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256F4" w14:textId="77777777" w:rsidR="00DE3F32" w:rsidRDefault="00DE3F32" w:rsidP="00DE3F32">
      <w:pPr>
        <w:pStyle w:val="Caption"/>
        <w:jc w:val="center"/>
        <w:rPr>
          <w:sz w:val="28"/>
          <w:szCs w:val="28"/>
        </w:rPr>
      </w:pPr>
      <w:bookmarkStart w:id="0" w:name="_Toc298495903"/>
    </w:p>
    <w:p w14:paraId="27DE8DBB" w14:textId="77777777" w:rsidR="00DE3F32" w:rsidRDefault="00DE3F32" w:rsidP="00DE3F32">
      <w:pPr>
        <w:pStyle w:val="Caption"/>
        <w:jc w:val="center"/>
        <w:rPr>
          <w:sz w:val="28"/>
          <w:szCs w:val="28"/>
        </w:rPr>
      </w:pPr>
    </w:p>
    <w:p w14:paraId="1FF01687" w14:textId="77777777" w:rsidR="00AC1AF4" w:rsidRPr="00AC1AF4" w:rsidRDefault="00AC1AF4" w:rsidP="00AC1AF4">
      <w:pPr>
        <w:pStyle w:val="Caption"/>
        <w:jc w:val="center"/>
        <w:rPr>
          <w:sz w:val="28"/>
          <w:szCs w:val="28"/>
        </w:rPr>
      </w:pPr>
    </w:p>
    <w:p w14:paraId="589CF97B" w14:textId="77777777" w:rsidR="00DE3F32" w:rsidRDefault="00DE3F32" w:rsidP="00DE3F32">
      <w:pPr>
        <w:pStyle w:val="Caption"/>
        <w:jc w:val="center"/>
        <w:rPr>
          <w:sz w:val="28"/>
          <w:szCs w:val="28"/>
        </w:rPr>
      </w:pPr>
    </w:p>
    <w:p w14:paraId="191BC59E" w14:textId="77777777" w:rsidR="00DE3F32" w:rsidRDefault="00DE3F32" w:rsidP="00DE3F32">
      <w:pPr>
        <w:pStyle w:val="Caption"/>
        <w:jc w:val="center"/>
        <w:rPr>
          <w:sz w:val="28"/>
          <w:szCs w:val="28"/>
        </w:rPr>
      </w:pPr>
    </w:p>
    <w:p w14:paraId="59790162" w14:textId="77777777" w:rsidR="00DE3F32" w:rsidRPr="009D2EAF" w:rsidRDefault="00915916" w:rsidP="00DE3F32">
      <w:pPr>
        <w:pStyle w:val="Caption"/>
        <w:jc w:val="center"/>
        <w:rPr>
          <w:sz w:val="32"/>
          <w:szCs w:val="32"/>
        </w:rPr>
      </w:pPr>
      <w:r w:rsidRPr="009D2EAF">
        <w:rPr>
          <w:sz w:val="32"/>
          <w:szCs w:val="32"/>
        </w:rPr>
        <w:t xml:space="preserve">Technical Guidelines for </w:t>
      </w:r>
      <w:r w:rsidR="00DE3F32" w:rsidRPr="009D2EAF">
        <w:rPr>
          <w:sz w:val="32"/>
          <w:szCs w:val="32"/>
        </w:rPr>
        <w:t>Ontario</w:t>
      </w:r>
      <w:r w:rsidR="009D2EAF" w:rsidRPr="009D2EAF">
        <w:rPr>
          <w:sz w:val="32"/>
          <w:szCs w:val="32"/>
        </w:rPr>
        <w:t>’s</w:t>
      </w:r>
      <w:r w:rsidR="00DE3F32" w:rsidRPr="009D2EAF">
        <w:rPr>
          <w:sz w:val="32"/>
          <w:szCs w:val="32"/>
        </w:rPr>
        <w:t xml:space="preserve"> Air Quality Health Index Plus </w:t>
      </w:r>
      <w:r w:rsidRPr="009D2EAF">
        <w:rPr>
          <w:sz w:val="32"/>
          <w:szCs w:val="32"/>
        </w:rPr>
        <w:t xml:space="preserve">and </w:t>
      </w:r>
      <w:r w:rsidR="00F0460F">
        <w:rPr>
          <w:sz w:val="32"/>
          <w:szCs w:val="32"/>
        </w:rPr>
        <w:t xml:space="preserve">the </w:t>
      </w:r>
      <w:r w:rsidR="009D2EAF" w:rsidRPr="009D2EAF">
        <w:rPr>
          <w:sz w:val="32"/>
          <w:szCs w:val="32"/>
        </w:rPr>
        <w:t xml:space="preserve">Associated </w:t>
      </w:r>
      <w:r w:rsidRPr="009D2EAF">
        <w:rPr>
          <w:sz w:val="32"/>
          <w:szCs w:val="32"/>
        </w:rPr>
        <w:t xml:space="preserve">Advisory </w:t>
      </w:r>
      <w:r w:rsidR="009D2EAF" w:rsidRPr="009D2EAF">
        <w:rPr>
          <w:sz w:val="32"/>
          <w:szCs w:val="32"/>
        </w:rPr>
        <w:t>Program</w:t>
      </w:r>
      <w:r w:rsidRPr="009D2EAF">
        <w:rPr>
          <w:sz w:val="32"/>
          <w:szCs w:val="32"/>
        </w:rPr>
        <w:t xml:space="preserve"> </w:t>
      </w:r>
    </w:p>
    <w:p w14:paraId="1236F548" w14:textId="77777777" w:rsidR="00DE3F32" w:rsidRDefault="00DE3F32" w:rsidP="00DE3F32">
      <w:pPr>
        <w:jc w:val="center"/>
        <w:rPr>
          <w:sz w:val="28"/>
          <w:szCs w:val="28"/>
        </w:rPr>
      </w:pPr>
    </w:p>
    <w:p w14:paraId="616C751D" w14:textId="77777777" w:rsidR="00915916" w:rsidRDefault="00915916" w:rsidP="00DE3F32">
      <w:pPr>
        <w:jc w:val="center"/>
        <w:rPr>
          <w:sz w:val="28"/>
          <w:szCs w:val="28"/>
        </w:rPr>
      </w:pPr>
    </w:p>
    <w:p w14:paraId="18D5CEF3" w14:textId="77777777" w:rsidR="00915916" w:rsidRDefault="00915916" w:rsidP="00DE3F32">
      <w:pPr>
        <w:jc w:val="center"/>
        <w:rPr>
          <w:sz w:val="28"/>
          <w:szCs w:val="28"/>
        </w:rPr>
      </w:pPr>
    </w:p>
    <w:p w14:paraId="5D710BF4" w14:textId="77777777" w:rsidR="00915916" w:rsidRDefault="00915916" w:rsidP="00DE3F32">
      <w:pPr>
        <w:jc w:val="center"/>
        <w:rPr>
          <w:sz w:val="28"/>
          <w:szCs w:val="28"/>
        </w:rPr>
      </w:pPr>
    </w:p>
    <w:p w14:paraId="54E47B03" w14:textId="77777777" w:rsidR="00915916" w:rsidRDefault="00915916" w:rsidP="00DE3F32">
      <w:pPr>
        <w:jc w:val="center"/>
        <w:rPr>
          <w:sz w:val="28"/>
          <w:szCs w:val="28"/>
        </w:rPr>
      </w:pPr>
    </w:p>
    <w:p w14:paraId="5C500717" w14:textId="77777777" w:rsidR="00915916" w:rsidRDefault="00915916" w:rsidP="00DE3F32">
      <w:pPr>
        <w:jc w:val="center"/>
        <w:rPr>
          <w:sz w:val="28"/>
          <w:szCs w:val="28"/>
        </w:rPr>
      </w:pPr>
    </w:p>
    <w:p w14:paraId="052CF7DE" w14:textId="77777777" w:rsidR="00915916" w:rsidRDefault="00F0460F" w:rsidP="00DE3F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Jointly developed </w:t>
      </w:r>
      <w:r w:rsidR="00915916">
        <w:rPr>
          <w:sz w:val="28"/>
          <w:szCs w:val="28"/>
        </w:rPr>
        <w:t xml:space="preserve">by: </w:t>
      </w:r>
    </w:p>
    <w:p w14:paraId="292DB274" w14:textId="77777777" w:rsidR="00DE3F32" w:rsidRDefault="00DE3F32" w:rsidP="00DE3F32">
      <w:pPr>
        <w:jc w:val="center"/>
        <w:rPr>
          <w:sz w:val="28"/>
          <w:szCs w:val="28"/>
        </w:rPr>
      </w:pPr>
    </w:p>
    <w:p w14:paraId="5923C576" w14:textId="77777777" w:rsidR="002B335F" w:rsidRDefault="002B335F" w:rsidP="00DE3F32">
      <w:pPr>
        <w:jc w:val="center"/>
        <w:rPr>
          <w:sz w:val="28"/>
          <w:szCs w:val="28"/>
        </w:rPr>
      </w:pPr>
    </w:p>
    <w:p w14:paraId="4C5B17FC" w14:textId="77777777" w:rsidR="0082656A" w:rsidRDefault="0082656A" w:rsidP="00DE3F32">
      <w:pPr>
        <w:jc w:val="center"/>
        <w:rPr>
          <w:sz w:val="28"/>
          <w:szCs w:val="28"/>
        </w:rPr>
      </w:pPr>
    </w:p>
    <w:p w14:paraId="5DB3E966" w14:textId="77777777" w:rsidR="00D20057" w:rsidRDefault="00D20057" w:rsidP="00DE3F32">
      <w:pPr>
        <w:jc w:val="center"/>
        <w:rPr>
          <w:sz w:val="28"/>
          <w:szCs w:val="28"/>
        </w:rPr>
      </w:pPr>
    </w:p>
    <w:p w14:paraId="5A0DD980" w14:textId="77777777" w:rsidR="0082656A" w:rsidRDefault="0082656A" w:rsidP="00DE3F32">
      <w:pPr>
        <w:jc w:val="center"/>
        <w:rPr>
          <w:sz w:val="28"/>
          <w:szCs w:val="28"/>
        </w:rPr>
      </w:pPr>
    </w:p>
    <w:p w14:paraId="605DEF78" w14:textId="1C5CBEB4" w:rsidR="00DE3F32" w:rsidRDefault="00DE3F32" w:rsidP="00DE3F32">
      <w:pPr>
        <w:jc w:val="center"/>
        <w:rPr>
          <w:sz w:val="28"/>
          <w:szCs w:val="28"/>
        </w:rPr>
      </w:pPr>
      <w:r>
        <w:rPr>
          <w:sz w:val="28"/>
          <w:szCs w:val="28"/>
        </w:rPr>
        <w:t>Ontario Ministry of the Environment</w:t>
      </w:r>
      <w:r w:rsidR="00072665">
        <w:rPr>
          <w:sz w:val="28"/>
          <w:szCs w:val="28"/>
        </w:rPr>
        <w:t>, Conservation and Parks</w:t>
      </w:r>
    </w:p>
    <w:p w14:paraId="0EB8C4FC" w14:textId="77777777" w:rsidR="00DE3F32" w:rsidRDefault="00F0460F" w:rsidP="00DE3F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and </w:t>
      </w:r>
    </w:p>
    <w:p w14:paraId="6169AAB9" w14:textId="5ABB25E1" w:rsidR="00F0460F" w:rsidRDefault="00F0460F" w:rsidP="00DE3F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Environment </w:t>
      </w:r>
      <w:r w:rsidR="006A672A">
        <w:rPr>
          <w:sz w:val="28"/>
          <w:szCs w:val="28"/>
        </w:rPr>
        <w:t>and Climate Change</w:t>
      </w:r>
      <w:r w:rsidR="00072665">
        <w:rPr>
          <w:sz w:val="28"/>
          <w:szCs w:val="28"/>
        </w:rPr>
        <w:t xml:space="preserve"> Canada</w:t>
      </w:r>
    </w:p>
    <w:p w14:paraId="2DC7575F" w14:textId="77777777" w:rsidR="00DE3F32" w:rsidRDefault="00DE3F32" w:rsidP="00DE3F32">
      <w:pPr>
        <w:jc w:val="center"/>
        <w:rPr>
          <w:sz w:val="28"/>
          <w:szCs w:val="28"/>
        </w:rPr>
      </w:pPr>
    </w:p>
    <w:p w14:paraId="536F9B05" w14:textId="77777777" w:rsidR="00F0460F" w:rsidRDefault="00F0460F" w:rsidP="00DE3F32">
      <w:pPr>
        <w:jc w:val="center"/>
        <w:rPr>
          <w:sz w:val="28"/>
          <w:szCs w:val="28"/>
        </w:rPr>
      </w:pPr>
    </w:p>
    <w:p w14:paraId="7B9B01E7" w14:textId="77777777" w:rsidR="00DE3F32" w:rsidRDefault="00DE3F32" w:rsidP="00DE3F32">
      <w:pPr>
        <w:jc w:val="center"/>
        <w:rPr>
          <w:sz w:val="28"/>
          <w:szCs w:val="28"/>
        </w:rPr>
      </w:pPr>
    </w:p>
    <w:p w14:paraId="04A4FB20" w14:textId="77777777" w:rsidR="00D20057" w:rsidRDefault="00D20057" w:rsidP="00DE3F32">
      <w:pPr>
        <w:jc w:val="center"/>
        <w:rPr>
          <w:sz w:val="28"/>
          <w:szCs w:val="28"/>
        </w:rPr>
      </w:pPr>
    </w:p>
    <w:p w14:paraId="4842A602" w14:textId="77777777" w:rsidR="00D20057" w:rsidRDefault="00D20057" w:rsidP="00DE3F32">
      <w:pPr>
        <w:jc w:val="center"/>
        <w:rPr>
          <w:sz w:val="28"/>
          <w:szCs w:val="28"/>
        </w:rPr>
      </w:pPr>
    </w:p>
    <w:p w14:paraId="3FE77B16" w14:textId="77777777" w:rsidR="00D20057" w:rsidRDefault="00D20057" w:rsidP="00DE3F32">
      <w:pPr>
        <w:jc w:val="center"/>
        <w:rPr>
          <w:sz w:val="28"/>
          <w:szCs w:val="28"/>
        </w:rPr>
      </w:pPr>
    </w:p>
    <w:p w14:paraId="2E69C519" w14:textId="58A919E1" w:rsidR="00DE3F32" w:rsidRDefault="00072665" w:rsidP="00DE3F32">
      <w:pPr>
        <w:jc w:val="center"/>
        <w:rPr>
          <w:sz w:val="28"/>
          <w:szCs w:val="28"/>
        </w:rPr>
      </w:pPr>
      <w:r>
        <w:rPr>
          <w:sz w:val="28"/>
          <w:szCs w:val="28"/>
        </w:rPr>
        <w:t>April 2021</w:t>
      </w:r>
    </w:p>
    <w:p w14:paraId="2ABB1C36" w14:textId="77777777" w:rsidR="00DE3F32" w:rsidRDefault="00DE3F32" w:rsidP="00DE3F32">
      <w:pPr>
        <w:jc w:val="center"/>
        <w:rPr>
          <w:sz w:val="28"/>
          <w:szCs w:val="28"/>
        </w:rPr>
      </w:pPr>
    </w:p>
    <w:p w14:paraId="67360C12" w14:textId="77777777" w:rsidR="00DE3F32" w:rsidRDefault="00DE3F32">
      <w:pPr>
        <w:rPr>
          <w:b/>
          <w:bCs/>
          <w:kern w:val="32"/>
          <w:sz w:val="28"/>
          <w:szCs w:val="28"/>
        </w:rPr>
      </w:pPr>
      <w:r>
        <w:rPr>
          <w:sz w:val="28"/>
          <w:szCs w:val="28"/>
        </w:rPr>
        <w:br w:type="page"/>
      </w:r>
    </w:p>
    <w:p w14:paraId="1F7A012F" w14:textId="77777777" w:rsidR="00160F38" w:rsidRPr="00864481" w:rsidRDefault="00160F38" w:rsidP="00A1765C">
      <w:pPr>
        <w:pStyle w:val="Heading3"/>
        <w:numPr>
          <w:ilvl w:val="0"/>
          <w:numId w:val="2"/>
        </w:numPr>
        <w:tabs>
          <w:tab w:val="clear" w:pos="720"/>
        </w:tabs>
        <w:spacing w:before="0" w:after="120"/>
        <w:ind w:left="360"/>
        <w:rPr>
          <w:szCs w:val="22"/>
        </w:rPr>
      </w:pPr>
      <w:r w:rsidRPr="00864481">
        <w:rPr>
          <w:szCs w:val="22"/>
        </w:rPr>
        <w:lastRenderedPageBreak/>
        <w:t>Introduction</w:t>
      </w:r>
    </w:p>
    <w:p w14:paraId="268C181B" w14:textId="1D6F1FD2" w:rsidR="00160F38" w:rsidRDefault="00160F38" w:rsidP="00A1765C">
      <w:pPr>
        <w:pStyle w:val="BodyText"/>
        <w:spacing w:after="120" w:line="240" w:lineRule="auto"/>
        <w:ind w:left="0"/>
        <w:rPr>
          <w:szCs w:val="22"/>
        </w:rPr>
      </w:pPr>
      <w:r>
        <w:rPr>
          <w:szCs w:val="22"/>
        </w:rPr>
        <w:t xml:space="preserve">The </w:t>
      </w:r>
      <w:r w:rsidR="00905F34" w:rsidRPr="00160F38">
        <w:rPr>
          <w:szCs w:val="22"/>
        </w:rPr>
        <w:t>A</w:t>
      </w:r>
      <w:r w:rsidR="00905F34">
        <w:rPr>
          <w:szCs w:val="22"/>
        </w:rPr>
        <w:t xml:space="preserve">ir </w:t>
      </w:r>
      <w:r w:rsidR="00905F34" w:rsidRPr="00160F38">
        <w:rPr>
          <w:szCs w:val="22"/>
        </w:rPr>
        <w:t>Q</w:t>
      </w:r>
      <w:r w:rsidR="00905F34">
        <w:rPr>
          <w:szCs w:val="22"/>
        </w:rPr>
        <w:t xml:space="preserve">uality </w:t>
      </w:r>
      <w:r w:rsidR="00905F34" w:rsidRPr="00160F38">
        <w:rPr>
          <w:szCs w:val="22"/>
        </w:rPr>
        <w:t>I</w:t>
      </w:r>
      <w:r w:rsidR="00905F34">
        <w:rPr>
          <w:szCs w:val="22"/>
        </w:rPr>
        <w:t>ndex (AQI)</w:t>
      </w:r>
      <w:r w:rsidR="00905F34" w:rsidRPr="00160F38">
        <w:rPr>
          <w:szCs w:val="22"/>
        </w:rPr>
        <w:t xml:space="preserve"> program</w:t>
      </w:r>
      <w:r w:rsidR="00905F34">
        <w:rPr>
          <w:szCs w:val="22"/>
        </w:rPr>
        <w:t xml:space="preserve"> of </w:t>
      </w:r>
      <w:r>
        <w:rPr>
          <w:szCs w:val="22"/>
        </w:rPr>
        <w:t>Ontario Ministry of the Environment</w:t>
      </w:r>
      <w:r w:rsidR="00966476">
        <w:rPr>
          <w:szCs w:val="22"/>
        </w:rPr>
        <w:t>, Conservation and Parks (MECP)</w:t>
      </w:r>
      <w:r>
        <w:rPr>
          <w:szCs w:val="22"/>
        </w:rPr>
        <w:t xml:space="preserve"> </w:t>
      </w:r>
      <w:r w:rsidRPr="00160F38">
        <w:rPr>
          <w:szCs w:val="22"/>
        </w:rPr>
        <w:t>was established in 1988</w:t>
      </w:r>
      <w:r w:rsidR="00F5128E">
        <w:rPr>
          <w:szCs w:val="22"/>
        </w:rPr>
        <w:t xml:space="preserve"> to provide the </w:t>
      </w:r>
      <w:r w:rsidR="00864481">
        <w:rPr>
          <w:szCs w:val="22"/>
        </w:rPr>
        <w:t>p</w:t>
      </w:r>
      <w:r w:rsidR="00F5128E">
        <w:rPr>
          <w:szCs w:val="22"/>
        </w:rPr>
        <w:t>ublic with continuous information on ambient air quality. The AQI program</w:t>
      </w:r>
      <w:r w:rsidRPr="00160F38">
        <w:rPr>
          <w:szCs w:val="22"/>
        </w:rPr>
        <w:t xml:space="preserve"> originally included ozone</w:t>
      </w:r>
      <w:r w:rsidR="00115CAE">
        <w:rPr>
          <w:szCs w:val="22"/>
        </w:rPr>
        <w:t xml:space="preserve"> (O</w:t>
      </w:r>
      <w:r w:rsidR="00115CAE" w:rsidRPr="00115CAE">
        <w:rPr>
          <w:szCs w:val="22"/>
          <w:vertAlign w:val="subscript"/>
        </w:rPr>
        <w:t>3</w:t>
      </w:r>
      <w:r w:rsidR="00115CAE">
        <w:rPr>
          <w:szCs w:val="22"/>
        </w:rPr>
        <w:t>)</w:t>
      </w:r>
      <w:r w:rsidRPr="00160F38">
        <w:rPr>
          <w:szCs w:val="22"/>
        </w:rPr>
        <w:t xml:space="preserve">, </w:t>
      </w:r>
      <w:r w:rsidR="00115CAE">
        <w:rPr>
          <w:szCs w:val="22"/>
        </w:rPr>
        <w:t>nitrogen dioxide (</w:t>
      </w:r>
      <w:r w:rsidRPr="00160F38">
        <w:rPr>
          <w:szCs w:val="22"/>
        </w:rPr>
        <w:t>NO</w:t>
      </w:r>
      <w:r w:rsidRPr="00415949">
        <w:rPr>
          <w:szCs w:val="22"/>
          <w:vertAlign w:val="subscript"/>
        </w:rPr>
        <w:t>2</w:t>
      </w:r>
      <w:r w:rsidR="00115CAE" w:rsidRPr="00115CAE">
        <w:rPr>
          <w:szCs w:val="22"/>
        </w:rPr>
        <w:t>)</w:t>
      </w:r>
      <w:r w:rsidRPr="00160F38">
        <w:rPr>
          <w:szCs w:val="22"/>
        </w:rPr>
        <w:t xml:space="preserve">, </w:t>
      </w:r>
      <w:r w:rsidR="00115CAE">
        <w:rPr>
          <w:szCs w:val="22"/>
        </w:rPr>
        <w:t>sulphur dioxide (</w:t>
      </w:r>
      <w:r w:rsidRPr="00160F38">
        <w:rPr>
          <w:szCs w:val="22"/>
        </w:rPr>
        <w:t>SO</w:t>
      </w:r>
      <w:r w:rsidRPr="00415949">
        <w:rPr>
          <w:szCs w:val="22"/>
          <w:vertAlign w:val="subscript"/>
        </w:rPr>
        <w:t>2</w:t>
      </w:r>
      <w:r w:rsidR="00115CAE" w:rsidRPr="00115CAE">
        <w:rPr>
          <w:szCs w:val="22"/>
        </w:rPr>
        <w:t>)</w:t>
      </w:r>
      <w:r w:rsidRPr="00160F38">
        <w:rPr>
          <w:szCs w:val="22"/>
        </w:rPr>
        <w:t xml:space="preserve">, </w:t>
      </w:r>
      <w:r w:rsidR="00115CAE">
        <w:rPr>
          <w:szCs w:val="22"/>
        </w:rPr>
        <w:t>carbon monoxide (</w:t>
      </w:r>
      <w:r w:rsidRPr="00160F38">
        <w:rPr>
          <w:szCs w:val="22"/>
        </w:rPr>
        <w:t>CO</w:t>
      </w:r>
      <w:r w:rsidR="00115CAE">
        <w:rPr>
          <w:szCs w:val="22"/>
        </w:rPr>
        <w:t>)</w:t>
      </w:r>
      <w:r w:rsidRPr="00160F38">
        <w:rPr>
          <w:szCs w:val="22"/>
        </w:rPr>
        <w:t xml:space="preserve">, suspended particles (SP) and </w:t>
      </w:r>
      <w:r w:rsidR="00115CAE">
        <w:rPr>
          <w:szCs w:val="22"/>
        </w:rPr>
        <w:t>total reduced sulphur (</w:t>
      </w:r>
      <w:r w:rsidRPr="00160F38">
        <w:rPr>
          <w:szCs w:val="22"/>
        </w:rPr>
        <w:t>TRS</w:t>
      </w:r>
      <w:r w:rsidR="00115CAE">
        <w:rPr>
          <w:szCs w:val="22"/>
        </w:rPr>
        <w:t>)</w:t>
      </w:r>
      <w:r w:rsidRPr="00160F38">
        <w:rPr>
          <w:szCs w:val="22"/>
        </w:rPr>
        <w:t xml:space="preserve"> compounds. On August 23, 2002, </w:t>
      </w:r>
      <w:r w:rsidR="00966476">
        <w:rPr>
          <w:szCs w:val="22"/>
        </w:rPr>
        <w:t>MECP</w:t>
      </w:r>
      <w:r w:rsidR="00966476" w:rsidRPr="00160F38">
        <w:rPr>
          <w:szCs w:val="22"/>
        </w:rPr>
        <w:t xml:space="preserve"> </w:t>
      </w:r>
      <w:r w:rsidRPr="00160F38">
        <w:rPr>
          <w:szCs w:val="22"/>
        </w:rPr>
        <w:t>replaced SP in the AQI with</w:t>
      </w:r>
      <w:r w:rsidR="00115CAE">
        <w:rPr>
          <w:szCs w:val="22"/>
        </w:rPr>
        <w:t xml:space="preserve"> fin</w:t>
      </w:r>
      <w:r w:rsidR="00E438D4">
        <w:rPr>
          <w:szCs w:val="22"/>
        </w:rPr>
        <w:t>e</w:t>
      </w:r>
      <w:r w:rsidR="00115CAE">
        <w:rPr>
          <w:szCs w:val="22"/>
        </w:rPr>
        <w:t xml:space="preserve"> particulate matter</w:t>
      </w:r>
      <w:r w:rsidRPr="00160F38">
        <w:rPr>
          <w:szCs w:val="22"/>
        </w:rPr>
        <w:t xml:space="preserve"> </w:t>
      </w:r>
      <w:r w:rsidR="00115CAE">
        <w:rPr>
          <w:szCs w:val="22"/>
        </w:rPr>
        <w:t>(</w:t>
      </w:r>
      <w:r w:rsidRPr="00160F38">
        <w:rPr>
          <w:szCs w:val="22"/>
        </w:rPr>
        <w:t>PM</w:t>
      </w:r>
      <w:r w:rsidRPr="00415949">
        <w:rPr>
          <w:szCs w:val="22"/>
          <w:vertAlign w:val="subscript"/>
        </w:rPr>
        <w:t>2.5</w:t>
      </w:r>
      <w:r w:rsidR="00115CAE" w:rsidRPr="00115CAE">
        <w:rPr>
          <w:szCs w:val="22"/>
        </w:rPr>
        <w:t>)</w:t>
      </w:r>
      <w:r w:rsidRPr="00160F38">
        <w:rPr>
          <w:szCs w:val="22"/>
        </w:rPr>
        <w:t xml:space="preserve">, making Ontario the first province in Canada to do so. In association with the AQI program, </w:t>
      </w:r>
      <w:r w:rsidR="00966476">
        <w:rPr>
          <w:szCs w:val="22"/>
        </w:rPr>
        <w:t>MECP</w:t>
      </w:r>
      <w:r w:rsidR="00966476" w:rsidRPr="00160F38">
        <w:rPr>
          <w:szCs w:val="22"/>
        </w:rPr>
        <w:t xml:space="preserve"> </w:t>
      </w:r>
      <w:r w:rsidRPr="00160F38">
        <w:rPr>
          <w:szCs w:val="22"/>
        </w:rPr>
        <w:t xml:space="preserve">launched the Air Quality Advisory program in 1993. </w:t>
      </w:r>
      <w:r w:rsidR="00E438D4">
        <w:rPr>
          <w:szCs w:val="22"/>
        </w:rPr>
        <w:t>T</w:t>
      </w:r>
      <w:r w:rsidRPr="00160F38">
        <w:rPr>
          <w:szCs w:val="22"/>
        </w:rPr>
        <w:t xml:space="preserve">his program was expanded </w:t>
      </w:r>
      <w:r w:rsidR="00E438D4">
        <w:rPr>
          <w:szCs w:val="22"/>
        </w:rPr>
        <w:t>in 2000</w:t>
      </w:r>
      <w:r w:rsidR="00E438D4" w:rsidRPr="00160F38">
        <w:rPr>
          <w:szCs w:val="22"/>
        </w:rPr>
        <w:t xml:space="preserve"> </w:t>
      </w:r>
      <w:r w:rsidRPr="00160F38">
        <w:rPr>
          <w:szCs w:val="22"/>
        </w:rPr>
        <w:t>to the Smog Alert program under wh</w:t>
      </w:r>
      <w:r w:rsidR="00AC1AF4">
        <w:rPr>
          <w:szCs w:val="22"/>
        </w:rPr>
        <w:t xml:space="preserve">ich smog advisories </w:t>
      </w:r>
      <w:r w:rsidR="00966476">
        <w:rPr>
          <w:szCs w:val="22"/>
        </w:rPr>
        <w:t xml:space="preserve">were </w:t>
      </w:r>
      <w:r w:rsidR="00AC1AF4">
        <w:rPr>
          <w:szCs w:val="22"/>
        </w:rPr>
        <w:t>issued.</w:t>
      </w:r>
      <w:r w:rsidR="00EF4DDD" w:rsidRPr="00EF4DDD">
        <w:rPr>
          <w:szCs w:val="22"/>
        </w:rPr>
        <w:t xml:space="preserve"> </w:t>
      </w:r>
      <w:r w:rsidR="00EF4DDD" w:rsidRPr="00160F38">
        <w:rPr>
          <w:szCs w:val="22"/>
        </w:rPr>
        <w:t xml:space="preserve">In </w:t>
      </w:r>
      <w:r w:rsidR="00966476" w:rsidRPr="00160F38">
        <w:rPr>
          <w:szCs w:val="22"/>
        </w:rPr>
        <w:t>20</w:t>
      </w:r>
      <w:r w:rsidR="00966476">
        <w:rPr>
          <w:szCs w:val="22"/>
        </w:rPr>
        <w:t>21</w:t>
      </w:r>
      <w:r w:rsidR="00EF4DDD">
        <w:rPr>
          <w:szCs w:val="22"/>
        </w:rPr>
        <w:t xml:space="preserve">, </w:t>
      </w:r>
      <w:r w:rsidR="00966476">
        <w:rPr>
          <w:szCs w:val="22"/>
        </w:rPr>
        <w:t>MECP</w:t>
      </w:r>
      <w:r w:rsidR="00966476" w:rsidRPr="00160F38">
        <w:rPr>
          <w:szCs w:val="22"/>
        </w:rPr>
        <w:t xml:space="preserve"> </w:t>
      </w:r>
      <w:r w:rsidR="00EF4DDD" w:rsidRPr="00160F38">
        <w:rPr>
          <w:szCs w:val="22"/>
        </w:rPr>
        <w:t xml:space="preserve">operates an extensive network of </w:t>
      </w:r>
      <w:r w:rsidR="00EF4DDD">
        <w:rPr>
          <w:szCs w:val="22"/>
        </w:rPr>
        <w:t xml:space="preserve">39 ambient </w:t>
      </w:r>
      <w:r w:rsidR="00EF4DDD" w:rsidRPr="00160F38">
        <w:rPr>
          <w:szCs w:val="22"/>
        </w:rPr>
        <w:t>air quality monitoring sites across the province.</w:t>
      </w:r>
    </w:p>
    <w:p w14:paraId="678587D7" w14:textId="4B247D3A" w:rsidR="008B1ED9" w:rsidRDefault="00864481" w:rsidP="00A1765C">
      <w:pPr>
        <w:spacing w:after="120"/>
      </w:pPr>
      <w:r w:rsidRPr="007B507E">
        <w:t>In 2006, Health Canada proposed the Air Quality Health Index</w:t>
      </w:r>
      <w:r>
        <w:t xml:space="preserve"> (AQHI)</w:t>
      </w:r>
      <w:r w:rsidRPr="007B507E">
        <w:t>, an index that derives a value based on the cumulative effects of three pollutants</w:t>
      </w:r>
      <w:r>
        <w:t xml:space="preserve">: </w:t>
      </w:r>
      <w:r w:rsidR="00115CAE">
        <w:t>O</w:t>
      </w:r>
      <w:r w:rsidR="00115CAE" w:rsidRPr="00115CAE">
        <w:rPr>
          <w:vertAlign w:val="subscript"/>
        </w:rPr>
        <w:t>3</w:t>
      </w:r>
      <w:r>
        <w:t>, NO</w:t>
      </w:r>
      <w:r w:rsidRPr="00864481">
        <w:rPr>
          <w:vertAlign w:val="subscript"/>
        </w:rPr>
        <w:t>2</w:t>
      </w:r>
      <w:r>
        <w:t>, and PM</w:t>
      </w:r>
      <w:r w:rsidRPr="00864481">
        <w:rPr>
          <w:vertAlign w:val="subscript"/>
        </w:rPr>
        <w:t>2.5</w:t>
      </w:r>
      <w:r w:rsidRPr="007B507E">
        <w:t xml:space="preserve">. It is being developed and implemented by Health Canada with the assistance of Environment </w:t>
      </w:r>
      <w:r w:rsidR="00E67E2E">
        <w:t xml:space="preserve">and Climate Change </w:t>
      </w:r>
      <w:r w:rsidR="00966476">
        <w:t xml:space="preserve">Canada (ECCC) </w:t>
      </w:r>
      <w:r w:rsidRPr="007B507E">
        <w:t>and all provinces.</w:t>
      </w:r>
      <w:r w:rsidRPr="00864481">
        <w:t xml:space="preserve"> </w:t>
      </w:r>
      <w:r w:rsidRPr="007B507E">
        <w:t xml:space="preserve">The </w:t>
      </w:r>
      <w:r>
        <w:t xml:space="preserve">AQHI </w:t>
      </w:r>
      <w:r w:rsidRPr="00BE314A">
        <w:t>informs the public about health risks associated with air quality and encou</w:t>
      </w:r>
      <w:r w:rsidRPr="007B507E">
        <w:t xml:space="preserve">rages the public to make their own decisions or modify their behaviour depending </w:t>
      </w:r>
      <w:r w:rsidR="0076096C">
        <w:t xml:space="preserve">on </w:t>
      </w:r>
      <w:r w:rsidRPr="007B507E">
        <w:t>how they are individually affected by air quality.</w:t>
      </w:r>
      <w:r w:rsidR="008B1ED9">
        <w:t xml:space="preserve"> </w:t>
      </w:r>
      <w:r w:rsidR="008B1ED9" w:rsidRPr="008E26DE">
        <w:t>Ontario participat</w:t>
      </w:r>
      <w:r w:rsidR="008B1ED9">
        <w:t>ed</w:t>
      </w:r>
      <w:r w:rsidR="008B1ED9" w:rsidRPr="008E26DE">
        <w:t xml:space="preserve"> in </w:t>
      </w:r>
      <w:r w:rsidR="008B1ED9">
        <w:t>further</w:t>
      </w:r>
      <w:r w:rsidR="008B1ED9" w:rsidRPr="008E26DE">
        <w:t xml:space="preserve"> development of the national A</w:t>
      </w:r>
      <w:r w:rsidR="008B1ED9">
        <w:t>QHI</w:t>
      </w:r>
      <w:r w:rsidR="008B1ED9" w:rsidRPr="008E26DE">
        <w:t xml:space="preserve"> by providing air quality data</w:t>
      </w:r>
      <w:r w:rsidR="00905F34">
        <w:t xml:space="preserve"> to the federal government</w:t>
      </w:r>
      <w:r w:rsidR="008B1ED9" w:rsidRPr="008E26DE">
        <w:t>.</w:t>
      </w:r>
    </w:p>
    <w:p w14:paraId="08B9409D" w14:textId="51E4EDEA" w:rsidR="00864481" w:rsidRPr="007B507E" w:rsidRDefault="008B1ED9" w:rsidP="00A1765C">
      <w:pPr>
        <w:spacing w:after="120"/>
      </w:pPr>
      <w:r w:rsidRPr="00FD1334">
        <w:t>The federal government</w:t>
      </w:r>
      <w:r w:rsidRPr="008E26DE">
        <w:t xml:space="preserve"> </w:t>
      </w:r>
      <w:r>
        <w:t xml:space="preserve">started piloting the AQHI in 2007 in select </w:t>
      </w:r>
      <w:r w:rsidR="00905F34">
        <w:t xml:space="preserve">urban communities in </w:t>
      </w:r>
      <w:r>
        <w:t>Ontar</w:t>
      </w:r>
      <w:r w:rsidR="00905F34">
        <w:t>io</w:t>
      </w:r>
      <w:r>
        <w:t xml:space="preserve">, in partnership with </w:t>
      </w:r>
      <w:r w:rsidR="00966476">
        <w:t>MECP</w:t>
      </w:r>
      <w:r>
        <w:t xml:space="preserve">. Meanwhile, the AQI </w:t>
      </w:r>
      <w:r w:rsidR="00EF4DDD">
        <w:t xml:space="preserve">was reported </w:t>
      </w:r>
      <w:r>
        <w:t xml:space="preserve">across the province. Conflicting </w:t>
      </w:r>
      <w:r w:rsidR="00905F34">
        <w:t xml:space="preserve">air quality </w:t>
      </w:r>
      <w:r>
        <w:t xml:space="preserve">messages between Ontario’s AQI and the federal AQHI </w:t>
      </w:r>
      <w:r w:rsidR="00EF4DDD">
        <w:t>were</w:t>
      </w:r>
      <w:r>
        <w:t xml:space="preserve"> observed during some poor air quality events.</w:t>
      </w:r>
    </w:p>
    <w:p w14:paraId="45F08407" w14:textId="3C80FC90" w:rsidR="008B1ED9" w:rsidRDefault="008B1ED9" w:rsidP="00A1765C">
      <w:pPr>
        <w:spacing w:after="120"/>
        <w:rPr>
          <w:bCs/>
        </w:rPr>
      </w:pPr>
      <w:r w:rsidRPr="003B6E40">
        <w:t xml:space="preserve">Public Health Ontario reviewed the AQI and the AQHI on behalf of </w:t>
      </w:r>
      <w:r>
        <w:t xml:space="preserve">Ministry of </w:t>
      </w:r>
      <w:r w:rsidRPr="003B6E40">
        <w:t>H</w:t>
      </w:r>
      <w:r>
        <w:t xml:space="preserve">ealth and </w:t>
      </w:r>
      <w:r w:rsidRPr="003B6E40">
        <w:t>L</w:t>
      </w:r>
      <w:r>
        <w:t>ong-</w:t>
      </w:r>
      <w:r w:rsidRPr="003B6E40">
        <w:t>T</w:t>
      </w:r>
      <w:r>
        <w:t xml:space="preserve">erm </w:t>
      </w:r>
      <w:r w:rsidRPr="003B6E40">
        <w:t>C</w:t>
      </w:r>
      <w:r>
        <w:t>are</w:t>
      </w:r>
      <w:r w:rsidRPr="003B6E40">
        <w:t xml:space="preserve"> with </w:t>
      </w:r>
      <w:r w:rsidR="00966476">
        <w:rPr>
          <w:szCs w:val="22"/>
        </w:rPr>
        <w:t>MECP</w:t>
      </w:r>
      <w:r w:rsidR="00966476" w:rsidRPr="003B6E40">
        <w:t xml:space="preserve">’s </w:t>
      </w:r>
      <w:r w:rsidRPr="003B6E40">
        <w:t>concurrence. On January 30, 2013, Public Health Ontario released a report titled “</w:t>
      </w:r>
      <w:r w:rsidRPr="003B6E40">
        <w:rPr>
          <w:i/>
        </w:rPr>
        <w:t>Review of Air Quality Index and Air Quality Health Index</w:t>
      </w:r>
      <w:r w:rsidRPr="003B6E40">
        <w:t>”. The Public Health Ontario report maintained a neutral position in comparing the two indices and did not recommend whether Ontario should adopt the A</w:t>
      </w:r>
      <w:r>
        <w:t>QHI</w:t>
      </w:r>
      <w:r w:rsidRPr="003B6E40">
        <w:t>.</w:t>
      </w:r>
    </w:p>
    <w:p w14:paraId="3705D4D7" w14:textId="77777777" w:rsidR="00864481" w:rsidRPr="00367D91" w:rsidRDefault="008B1ED9" w:rsidP="00A1765C">
      <w:pPr>
        <w:pStyle w:val="BodyText"/>
        <w:spacing w:after="120" w:line="240" w:lineRule="auto"/>
        <w:ind w:left="0"/>
        <w:rPr>
          <w:szCs w:val="22"/>
        </w:rPr>
      </w:pPr>
      <w:r>
        <w:rPr>
          <w:szCs w:val="22"/>
        </w:rPr>
        <w:t xml:space="preserve">In partnership with the federal government, </w:t>
      </w:r>
      <w:r w:rsidR="00D0184D" w:rsidRPr="00367D91">
        <w:rPr>
          <w:szCs w:val="22"/>
        </w:rPr>
        <w:t>Ontario</w:t>
      </w:r>
      <w:r>
        <w:rPr>
          <w:szCs w:val="22"/>
        </w:rPr>
        <w:t xml:space="preserve"> developed </w:t>
      </w:r>
      <w:r w:rsidR="00CB4F92">
        <w:rPr>
          <w:szCs w:val="22"/>
        </w:rPr>
        <w:t>a new Air Quality Health Index Plus (</w:t>
      </w:r>
      <w:r w:rsidR="00CB4F92" w:rsidRPr="00367D91">
        <w:rPr>
          <w:szCs w:val="22"/>
        </w:rPr>
        <w:t>AQHI Plus</w:t>
      </w:r>
      <w:r w:rsidR="00CB4F92">
        <w:rPr>
          <w:szCs w:val="22"/>
        </w:rPr>
        <w:t>), which is</w:t>
      </w:r>
      <w:r w:rsidR="00CB4F92" w:rsidRPr="00367D91">
        <w:rPr>
          <w:szCs w:val="22"/>
        </w:rPr>
        <w:t xml:space="preserve"> </w:t>
      </w:r>
      <w:r>
        <w:rPr>
          <w:szCs w:val="22"/>
        </w:rPr>
        <w:t xml:space="preserve">a hybrid index of </w:t>
      </w:r>
      <w:r w:rsidR="00D0184D" w:rsidRPr="00367D91">
        <w:rPr>
          <w:szCs w:val="22"/>
        </w:rPr>
        <w:t>Ontario’s</w:t>
      </w:r>
      <w:r w:rsidR="00E50052">
        <w:rPr>
          <w:szCs w:val="22"/>
        </w:rPr>
        <w:t xml:space="preserve"> </w:t>
      </w:r>
      <w:r>
        <w:rPr>
          <w:szCs w:val="22"/>
        </w:rPr>
        <w:t xml:space="preserve">AQI and </w:t>
      </w:r>
      <w:r w:rsidR="001C5174" w:rsidRPr="00367D91">
        <w:rPr>
          <w:szCs w:val="22"/>
        </w:rPr>
        <w:t>the federal AQHI</w:t>
      </w:r>
      <w:r w:rsidR="00CB4F92">
        <w:rPr>
          <w:szCs w:val="22"/>
        </w:rPr>
        <w:t xml:space="preserve"> and takes advantages of both indices</w:t>
      </w:r>
      <w:r w:rsidR="001C5174" w:rsidRPr="00367D91">
        <w:rPr>
          <w:szCs w:val="22"/>
        </w:rPr>
        <w:t xml:space="preserve">. </w:t>
      </w:r>
      <w:r w:rsidR="00FD65ED">
        <w:rPr>
          <w:szCs w:val="22"/>
        </w:rPr>
        <w:t xml:space="preserve">This document </w:t>
      </w:r>
      <w:r w:rsidR="00B42B9B">
        <w:rPr>
          <w:szCs w:val="22"/>
        </w:rPr>
        <w:t>outline</w:t>
      </w:r>
      <w:r w:rsidR="00FD65ED">
        <w:rPr>
          <w:szCs w:val="22"/>
        </w:rPr>
        <w:t xml:space="preserve">s </w:t>
      </w:r>
      <w:r w:rsidR="00B42B9B">
        <w:rPr>
          <w:szCs w:val="22"/>
        </w:rPr>
        <w:t xml:space="preserve">how </w:t>
      </w:r>
      <w:r w:rsidR="00CB4F92">
        <w:rPr>
          <w:szCs w:val="22"/>
        </w:rPr>
        <w:t>Ontario’s</w:t>
      </w:r>
      <w:r w:rsidRPr="00367D91">
        <w:rPr>
          <w:szCs w:val="22"/>
        </w:rPr>
        <w:t xml:space="preserve"> </w:t>
      </w:r>
      <w:r>
        <w:rPr>
          <w:szCs w:val="22"/>
        </w:rPr>
        <w:t>modified</w:t>
      </w:r>
      <w:r w:rsidRPr="00367D91">
        <w:rPr>
          <w:szCs w:val="22"/>
        </w:rPr>
        <w:t xml:space="preserve"> AQI </w:t>
      </w:r>
      <w:r>
        <w:rPr>
          <w:szCs w:val="22"/>
        </w:rPr>
        <w:t>(</w:t>
      </w:r>
      <w:proofErr w:type="spellStart"/>
      <w:r>
        <w:rPr>
          <w:szCs w:val="22"/>
        </w:rPr>
        <w:t>mAQI</w:t>
      </w:r>
      <w:proofErr w:type="spellEnd"/>
      <w:r>
        <w:rPr>
          <w:szCs w:val="22"/>
        </w:rPr>
        <w:t>)</w:t>
      </w:r>
      <w:r w:rsidR="00FD65ED">
        <w:rPr>
          <w:szCs w:val="22"/>
        </w:rPr>
        <w:t>, the federal</w:t>
      </w:r>
      <w:r w:rsidR="00CB4F92">
        <w:rPr>
          <w:szCs w:val="22"/>
        </w:rPr>
        <w:t xml:space="preserve"> </w:t>
      </w:r>
      <w:r w:rsidR="00E50052">
        <w:rPr>
          <w:szCs w:val="22"/>
        </w:rPr>
        <w:t>AQHI</w:t>
      </w:r>
      <w:r w:rsidR="00FD65ED">
        <w:rPr>
          <w:szCs w:val="22"/>
        </w:rPr>
        <w:t>, and the AQHI Plus</w:t>
      </w:r>
      <w:r w:rsidR="00B42B9B">
        <w:rPr>
          <w:szCs w:val="22"/>
        </w:rPr>
        <w:t xml:space="preserve"> are calculated from hourly concentrations</w:t>
      </w:r>
      <w:r w:rsidR="00FD65ED">
        <w:rPr>
          <w:szCs w:val="22"/>
        </w:rPr>
        <w:t xml:space="preserve">. </w:t>
      </w:r>
      <w:r w:rsidR="007C2166">
        <w:rPr>
          <w:szCs w:val="22"/>
        </w:rPr>
        <w:t xml:space="preserve">The </w:t>
      </w:r>
      <w:r w:rsidR="00B42B9B">
        <w:rPr>
          <w:szCs w:val="22"/>
        </w:rPr>
        <w:t xml:space="preserve">advisory program </w:t>
      </w:r>
      <w:r w:rsidR="007C2166">
        <w:rPr>
          <w:szCs w:val="22"/>
        </w:rPr>
        <w:t>associated with the AQHI Plus is</w:t>
      </w:r>
      <w:r w:rsidR="00B42B9B">
        <w:rPr>
          <w:szCs w:val="22"/>
        </w:rPr>
        <w:t xml:space="preserve"> briefly described as well. </w:t>
      </w:r>
    </w:p>
    <w:bookmarkEnd w:id="0"/>
    <w:p w14:paraId="75C2FCD7" w14:textId="77777777" w:rsidR="00864481" w:rsidRDefault="00864481" w:rsidP="00A1765C">
      <w:pPr>
        <w:spacing w:after="120"/>
        <w:rPr>
          <w:b/>
          <w:spacing w:val="-4"/>
          <w:kern w:val="28"/>
          <w:szCs w:val="22"/>
        </w:rPr>
      </w:pPr>
    </w:p>
    <w:p w14:paraId="546AC1E9" w14:textId="77777777" w:rsidR="008E4222" w:rsidRDefault="00E50052" w:rsidP="00A1765C">
      <w:pPr>
        <w:pStyle w:val="Heading3"/>
        <w:numPr>
          <w:ilvl w:val="0"/>
          <w:numId w:val="2"/>
        </w:numPr>
        <w:tabs>
          <w:tab w:val="clear" w:pos="720"/>
        </w:tabs>
        <w:spacing w:before="0" w:after="120"/>
        <w:ind w:left="360"/>
        <w:rPr>
          <w:szCs w:val="22"/>
        </w:rPr>
      </w:pPr>
      <w:r>
        <w:rPr>
          <w:szCs w:val="22"/>
        </w:rPr>
        <w:t xml:space="preserve">Ontario’s </w:t>
      </w:r>
      <w:proofErr w:type="spellStart"/>
      <w:r w:rsidR="008E4222" w:rsidRPr="00367D91">
        <w:rPr>
          <w:szCs w:val="22"/>
        </w:rPr>
        <w:t>mAQI</w:t>
      </w:r>
      <w:proofErr w:type="spellEnd"/>
      <w:r>
        <w:rPr>
          <w:szCs w:val="22"/>
        </w:rPr>
        <w:t xml:space="preserve"> </w:t>
      </w:r>
      <w:r w:rsidR="007C2166">
        <w:rPr>
          <w:szCs w:val="22"/>
        </w:rPr>
        <w:t>(</w:t>
      </w:r>
      <w:r w:rsidR="008E4222" w:rsidRPr="00367D91">
        <w:rPr>
          <w:szCs w:val="22"/>
        </w:rPr>
        <w:t>1-10+</w:t>
      </w:r>
      <w:r w:rsidR="007C2166">
        <w:rPr>
          <w:szCs w:val="22"/>
        </w:rPr>
        <w:t>)</w:t>
      </w:r>
    </w:p>
    <w:p w14:paraId="1E9DE096" w14:textId="1B96F557" w:rsidR="00E50052" w:rsidRDefault="008E4222" w:rsidP="00A1765C">
      <w:pPr>
        <w:pStyle w:val="BodyText"/>
        <w:numPr>
          <w:ilvl w:val="1"/>
          <w:numId w:val="2"/>
        </w:numPr>
        <w:spacing w:after="120"/>
        <w:ind w:left="0" w:firstLine="0"/>
      </w:pPr>
      <w:r w:rsidRPr="00367D91">
        <w:t xml:space="preserve">Collect concentration readings for up to </w:t>
      </w:r>
      <w:r w:rsidR="00966476">
        <w:t>two</w:t>
      </w:r>
      <w:r w:rsidR="00966476" w:rsidRPr="00367D91">
        <w:t xml:space="preserve"> </w:t>
      </w:r>
      <w:r w:rsidRPr="00367D91">
        <w:t>pollutants (O</w:t>
      </w:r>
      <w:r w:rsidRPr="00367D91">
        <w:rPr>
          <w:vertAlign w:val="subscript"/>
        </w:rPr>
        <w:t>3</w:t>
      </w:r>
      <w:r w:rsidR="00966476">
        <w:t xml:space="preserve"> and</w:t>
      </w:r>
      <w:r w:rsidR="00966476" w:rsidRPr="00367D91">
        <w:t xml:space="preserve"> </w:t>
      </w:r>
      <w:r w:rsidRPr="00367D91">
        <w:t>NO</w:t>
      </w:r>
      <w:r w:rsidRPr="00367D91">
        <w:rPr>
          <w:vertAlign w:val="subscript"/>
        </w:rPr>
        <w:t>2</w:t>
      </w:r>
      <w:r w:rsidRPr="00367D91">
        <w:t xml:space="preserve">) </w:t>
      </w:r>
      <w:r w:rsidR="00A27479" w:rsidRPr="00367D91">
        <w:t>from air</w:t>
      </w:r>
      <w:r w:rsidRPr="00367D91">
        <w:t xml:space="preserve"> monitoring stations across Ontario. Calculate the 1-hour average concentration of each pollutant at each station and report the values at the end of every hour.</w:t>
      </w:r>
    </w:p>
    <w:p w14:paraId="29BDA546" w14:textId="77777777" w:rsidR="00A27479" w:rsidRPr="0009469E" w:rsidRDefault="00A27479" w:rsidP="00A27479">
      <w:pPr>
        <w:pStyle w:val="BodyText"/>
        <w:numPr>
          <w:ilvl w:val="1"/>
          <w:numId w:val="2"/>
        </w:numPr>
        <w:spacing w:after="120"/>
        <w:ind w:left="0" w:firstLine="0"/>
      </w:pPr>
      <w:r>
        <w:t xml:space="preserve">Calculate the </w:t>
      </w:r>
      <w:proofErr w:type="spellStart"/>
      <w:r w:rsidR="00E91D23">
        <w:t>m</w:t>
      </w:r>
      <w:r w:rsidRPr="0009469E">
        <w:t>AQI</w:t>
      </w:r>
      <w:proofErr w:type="spellEnd"/>
      <w:r w:rsidRPr="00DD519F">
        <w:t xml:space="preserve"> </w:t>
      </w:r>
      <w:r>
        <w:t>for each station.</w:t>
      </w:r>
    </w:p>
    <w:p w14:paraId="6B7A2C8B" w14:textId="6EF431F2" w:rsidR="00E91D23" w:rsidRPr="00E91D23" w:rsidRDefault="00E91D23" w:rsidP="00E91D23">
      <w:pPr>
        <w:pStyle w:val="ListParagraph"/>
        <w:numPr>
          <w:ilvl w:val="2"/>
          <w:numId w:val="2"/>
        </w:numPr>
      </w:pPr>
      <w:r w:rsidRPr="00E91D23">
        <w:t>To calculate the sub-indices for O</w:t>
      </w:r>
      <w:r w:rsidRPr="006955A2">
        <w:rPr>
          <w:vertAlign w:val="subscript"/>
        </w:rPr>
        <w:t>3</w:t>
      </w:r>
      <w:r w:rsidR="00966476">
        <w:t xml:space="preserve"> and</w:t>
      </w:r>
      <w:r w:rsidR="00966476" w:rsidRPr="00E91D23">
        <w:t xml:space="preserve"> </w:t>
      </w:r>
      <w:r w:rsidRPr="00E91D23">
        <w:t>NO</w:t>
      </w:r>
      <w:r w:rsidRPr="006955A2">
        <w:rPr>
          <w:vertAlign w:val="subscript"/>
        </w:rPr>
        <w:t>2</w:t>
      </w:r>
      <w:r w:rsidRPr="00E91D23">
        <w:t>, use the formulae found in Table 1 for each station using the 1-hour average.</w:t>
      </w:r>
    </w:p>
    <w:p w14:paraId="490BC097" w14:textId="77777777" w:rsidR="00A27479" w:rsidRDefault="00E91D23" w:rsidP="00E91D23">
      <w:pPr>
        <w:pStyle w:val="BodyText"/>
        <w:numPr>
          <w:ilvl w:val="2"/>
          <w:numId w:val="2"/>
        </w:numPr>
        <w:spacing w:after="120"/>
      </w:pPr>
      <w:r w:rsidRPr="00E91D23">
        <w:t xml:space="preserve">Select the maximum sub-index from each station for the current hour; store it with the determining pollutant as the station </w:t>
      </w:r>
      <w:proofErr w:type="spellStart"/>
      <w:r w:rsidRPr="00E91D23">
        <w:t>mAQI</w:t>
      </w:r>
      <w:proofErr w:type="spellEnd"/>
      <w:r w:rsidRPr="00E91D23">
        <w:t>, and round to the nearest integer.</w:t>
      </w:r>
      <w:r w:rsidR="00A27479">
        <w:t xml:space="preserve"> </w:t>
      </w:r>
    </w:p>
    <w:p w14:paraId="62E83081" w14:textId="77777777" w:rsidR="00700362" w:rsidRDefault="00700362" w:rsidP="00A1765C">
      <w:pPr>
        <w:pStyle w:val="BodyText"/>
        <w:numPr>
          <w:ilvl w:val="1"/>
          <w:numId w:val="2"/>
        </w:numPr>
        <w:spacing w:after="120"/>
        <w:ind w:left="0" w:firstLine="0"/>
      </w:pPr>
      <w:r>
        <w:t xml:space="preserve">Calculate the </w:t>
      </w:r>
      <w:proofErr w:type="spellStart"/>
      <w:r>
        <w:t>mAQI</w:t>
      </w:r>
      <w:proofErr w:type="spellEnd"/>
      <w:r>
        <w:t xml:space="preserve"> for each community (</w:t>
      </w:r>
      <w:proofErr w:type="spellStart"/>
      <w:r>
        <w:t>mAQI</w:t>
      </w:r>
      <w:proofErr w:type="spellEnd"/>
      <w:r>
        <w:t>-C)</w:t>
      </w:r>
      <w:r w:rsidR="006955A2">
        <w:t>.</w:t>
      </w:r>
    </w:p>
    <w:p w14:paraId="0099A1EE" w14:textId="77777777" w:rsidR="00700362" w:rsidRDefault="00700362" w:rsidP="00700362">
      <w:pPr>
        <w:pStyle w:val="BodyText"/>
        <w:numPr>
          <w:ilvl w:val="2"/>
          <w:numId w:val="2"/>
        </w:numPr>
        <w:spacing w:after="120"/>
      </w:pPr>
      <w:r w:rsidRPr="0009469E">
        <w:lastRenderedPageBreak/>
        <w:t xml:space="preserve">If </w:t>
      </w:r>
      <w:r>
        <w:t>hourly concentrations</w:t>
      </w:r>
      <w:r w:rsidRPr="0009469E">
        <w:t xml:space="preserve"> </w:t>
      </w:r>
      <w:r>
        <w:t>are</w:t>
      </w:r>
      <w:r w:rsidRPr="0009469E">
        <w:t xml:space="preserve"> available for </w:t>
      </w:r>
      <w:r w:rsidR="006955A2">
        <w:t>more</w:t>
      </w:r>
      <w:r w:rsidRPr="0009469E">
        <w:t xml:space="preserve"> than one station in one community, calculate the community average</w:t>
      </w:r>
      <w:r>
        <w:t xml:space="preserve"> concentration</w:t>
      </w:r>
      <w:r w:rsidRPr="0009469E">
        <w:t xml:space="preserve"> of each pollutant</w:t>
      </w:r>
      <w:r w:rsidR="00EF4DDD">
        <w:t xml:space="preserve"> by </w:t>
      </w:r>
      <w:r w:rsidRPr="0009469E">
        <w:t>summing the hour</w:t>
      </w:r>
      <w:r w:rsidR="006955A2">
        <w:t>ly</w:t>
      </w:r>
      <w:r w:rsidRPr="0009469E">
        <w:t xml:space="preserve"> concentrations </w:t>
      </w:r>
      <w:r w:rsidR="006955A2">
        <w:t>of</w:t>
      </w:r>
      <w:r w:rsidRPr="0009469E">
        <w:t xml:space="preserve"> all the stations in the community and dividing by the number of stations. </w:t>
      </w:r>
    </w:p>
    <w:p w14:paraId="20E5CB81" w14:textId="77777777" w:rsidR="00700362" w:rsidRDefault="00700362" w:rsidP="00700362">
      <w:pPr>
        <w:pStyle w:val="BodyText"/>
        <w:numPr>
          <w:ilvl w:val="2"/>
          <w:numId w:val="2"/>
        </w:numPr>
        <w:spacing w:after="120"/>
      </w:pPr>
      <w:r w:rsidRPr="0009469E">
        <w:t>Calculate the sub-</w:t>
      </w:r>
      <w:proofErr w:type="spellStart"/>
      <w:r>
        <w:t>m</w:t>
      </w:r>
      <w:r w:rsidRPr="0009469E">
        <w:t>AQI</w:t>
      </w:r>
      <w:proofErr w:type="spellEnd"/>
      <w:r w:rsidRPr="0009469E">
        <w:t xml:space="preserve">-C for each pollutant using the </w:t>
      </w:r>
      <w:r>
        <w:t>formulae found in Table 1</w:t>
      </w:r>
      <w:r w:rsidRPr="0009469E">
        <w:t xml:space="preserve">. </w:t>
      </w:r>
    </w:p>
    <w:p w14:paraId="2ABCD581" w14:textId="77777777" w:rsidR="00700362" w:rsidRDefault="00700362" w:rsidP="00700362">
      <w:pPr>
        <w:pStyle w:val="BodyText"/>
        <w:numPr>
          <w:ilvl w:val="2"/>
          <w:numId w:val="2"/>
        </w:numPr>
        <w:spacing w:after="120"/>
      </w:pPr>
      <w:r w:rsidRPr="00E91D23">
        <w:t xml:space="preserve">Select the maximum sub-index from </w:t>
      </w:r>
      <w:r>
        <w:t>the community</w:t>
      </w:r>
      <w:r w:rsidRPr="00E91D23">
        <w:t xml:space="preserve"> for the current hour; store it with the determining pollutant as the </w:t>
      </w:r>
      <w:proofErr w:type="spellStart"/>
      <w:r w:rsidRPr="00E91D23">
        <w:t>mAQI</w:t>
      </w:r>
      <w:proofErr w:type="spellEnd"/>
      <w:r>
        <w:t>-C</w:t>
      </w:r>
      <w:r w:rsidRPr="00E91D23">
        <w:t>, and round to the nearest integer.</w:t>
      </w:r>
    </w:p>
    <w:p w14:paraId="29577957" w14:textId="77777777" w:rsidR="00700362" w:rsidRPr="006955A2" w:rsidRDefault="00700362" w:rsidP="006955A2">
      <w:pPr>
        <w:pStyle w:val="BodyText"/>
        <w:spacing w:after="120"/>
        <w:ind w:left="0"/>
        <w:rPr>
          <w:b/>
        </w:rPr>
      </w:pPr>
    </w:p>
    <w:p w14:paraId="1BD6B4AB" w14:textId="4AEBAFFA" w:rsidR="00F35B95" w:rsidRPr="0009469E" w:rsidRDefault="0089228C" w:rsidP="00A1765C">
      <w:pPr>
        <w:pStyle w:val="BodyText"/>
        <w:spacing w:after="120"/>
        <w:ind w:left="0"/>
        <w:jc w:val="center"/>
      </w:pPr>
      <w:r w:rsidRPr="0089228C">
        <w:rPr>
          <w:noProof/>
        </w:rPr>
        <w:drawing>
          <wp:inline distT="0" distB="0" distL="0" distR="0" wp14:anchorId="07FF87FB" wp14:editId="09FD0669">
            <wp:extent cx="5172075" cy="509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DCCD8" w14:textId="77777777" w:rsidR="00E73A14" w:rsidRPr="00E73A14" w:rsidRDefault="00E73A14" w:rsidP="00E73A14">
      <w:pPr>
        <w:pStyle w:val="Caption"/>
        <w:keepNext/>
        <w:spacing w:after="120"/>
        <w:rPr>
          <w:sz w:val="22"/>
          <w:szCs w:val="22"/>
        </w:rPr>
      </w:pPr>
      <w:r w:rsidRPr="00E73A14">
        <w:rPr>
          <w:sz w:val="22"/>
          <w:szCs w:val="22"/>
        </w:rPr>
        <w:t xml:space="preserve">Figure </w:t>
      </w:r>
      <w:r>
        <w:rPr>
          <w:sz w:val="22"/>
          <w:szCs w:val="22"/>
        </w:rPr>
        <w:t>1</w:t>
      </w:r>
      <w:r w:rsidR="009F3123">
        <w:rPr>
          <w:sz w:val="22"/>
          <w:szCs w:val="22"/>
        </w:rPr>
        <w:t>.</w:t>
      </w:r>
      <w:r w:rsidRPr="00E73A1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Calculating </w:t>
      </w:r>
      <w:proofErr w:type="spellStart"/>
      <w:r>
        <w:rPr>
          <w:sz w:val="22"/>
          <w:szCs w:val="22"/>
        </w:rPr>
        <w:t>m</w:t>
      </w:r>
      <w:r w:rsidRPr="00E73A14">
        <w:rPr>
          <w:sz w:val="22"/>
          <w:szCs w:val="22"/>
        </w:rPr>
        <w:t>AQI</w:t>
      </w:r>
      <w:proofErr w:type="spellEnd"/>
      <w:r w:rsidRPr="00E73A14">
        <w:rPr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 w:rsidR="00D0487C">
        <w:rPr>
          <w:sz w:val="22"/>
          <w:szCs w:val="22"/>
        </w:rPr>
        <w:t xml:space="preserve"> for stations and communities</w:t>
      </w:r>
    </w:p>
    <w:p w14:paraId="56082597" w14:textId="77777777" w:rsidR="00F35B95" w:rsidRDefault="00F35B95" w:rsidP="00A1765C">
      <w:pPr>
        <w:spacing w:after="120"/>
        <w:rPr>
          <w:b/>
          <w:bCs/>
          <w:sz w:val="20"/>
        </w:rPr>
      </w:pPr>
    </w:p>
    <w:p w14:paraId="1196ED02" w14:textId="77777777" w:rsidR="00C24E27" w:rsidRPr="00E73A14" w:rsidRDefault="00C24E27" w:rsidP="00A1765C">
      <w:pPr>
        <w:pStyle w:val="Caption"/>
        <w:keepNext/>
        <w:spacing w:after="120"/>
        <w:rPr>
          <w:sz w:val="22"/>
          <w:szCs w:val="22"/>
        </w:rPr>
      </w:pPr>
      <w:r w:rsidRPr="00E73A14">
        <w:rPr>
          <w:sz w:val="22"/>
          <w:szCs w:val="22"/>
        </w:rPr>
        <w:t xml:space="preserve">Table </w:t>
      </w:r>
      <w:r w:rsidR="00FE5444" w:rsidRPr="00E73A14">
        <w:rPr>
          <w:sz w:val="22"/>
          <w:szCs w:val="22"/>
        </w:rPr>
        <w:fldChar w:fldCharType="begin"/>
      </w:r>
      <w:r w:rsidR="00FE5444" w:rsidRPr="00E73A14">
        <w:rPr>
          <w:sz w:val="22"/>
          <w:szCs w:val="22"/>
        </w:rPr>
        <w:instrText xml:space="preserve"> SEQ Table \* ARABIC </w:instrText>
      </w:r>
      <w:r w:rsidR="00FE5444" w:rsidRPr="00E73A14">
        <w:rPr>
          <w:sz w:val="22"/>
          <w:szCs w:val="22"/>
        </w:rPr>
        <w:fldChar w:fldCharType="separate"/>
      </w:r>
      <w:r w:rsidR="00FE5444">
        <w:rPr>
          <w:noProof/>
          <w:sz w:val="22"/>
          <w:szCs w:val="22"/>
        </w:rPr>
        <w:t>1</w:t>
      </w:r>
      <w:r w:rsidR="00FE5444" w:rsidRPr="00E73A14">
        <w:rPr>
          <w:noProof/>
          <w:sz w:val="22"/>
          <w:szCs w:val="22"/>
        </w:rPr>
        <w:fldChar w:fldCharType="end"/>
      </w:r>
      <w:r w:rsidR="009F3123">
        <w:rPr>
          <w:noProof/>
          <w:sz w:val="22"/>
          <w:szCs w:val="22"/>
        </w:rPr>
        <w:t>.</w:t>
      </w:r>
      <w:r w:rsidRPr="00E73A14">
        <w:rPr>
          <w:sz w:val="22"/>
          <w:szCs w:val="22"/>
        </w:rPr>
        <w:t xml:space="preserve"> </w:t>
      </w:r>
      <w:proofErr w:type="spellStart"/>
      <w:r w:rsidRPr="00E73A14">
        <w:rPr>
          <w:sz w:val="22"/>
          <w:szCs w:val="22"/>
        </w:rPr>
        <w:t>mAQI</w:t>
      </w:r>
      <w:proofErr w:type="spellEnd"/>
      <w:r w:rsidRPr="00E73A14">
        <w:rPr>
          <w:sz w:val="22"/>
          <w:szCs w:val="22"/>
        </w:rPr>
        <w:t xml:space="preserve"> formulae</w:t>
      </w:r>
    </w:p>
    <w:tbl>
      <w:tblPr>
        <w:tblW w:w="90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1"/>
        <w:gridCol w:w="1439"/>
        <w:gridCol w:w="1923"/>
        <w:gridCol w:w="1230"/>
        <w:gridCol w:w="2121"/>
      </w:tblGrid>
      <w:tr w:rsidR="001F3690" w:rsidRPr="00C01242" w14:paraId="5CA8F0C8" w14:textId="77777777" w:rsidTr="006955A2">
        <w:trPr>
          <w:tblHeader/>
          <w:jc w:val="center"/>
        </w:trPr>
        <w:tc>
          <w:tcPr>
            <w:tcW w:w="2291" w:type="dxa"/>
            <w:shd w:val="clear" w:color="auto" w:fill="auto"/>
            <w:vAlign w:val="center"/>
          </w:tcPr>
          <w:p w14:paraId="660F2B1C" w14:textId="77777777" w:rsidR="001F3690" w:rsidRPr="00C01242" w:rsidRDefault="001F3690" w:rsidP="00A1765C">
            <w:pPr>
              <w:pStyle w:val="BodyText"/>
              <w:spacing w:after="100" w:afterAutospacing="1"/>
              <w:ind w:left="0"/>
              <w:jc w:val="center"/>
              <w:rPr>
                <w:b/>
                <w:sz w:val="16"/>
                <w:szCs w:val="16"/>
              </w:rPr>
            </w:pPr>
            <w:r w:rsidRPr="00C01242">
              <w:rPr>
                <w:b/>
                <w:sz w:val="16"/>
                <w:szCs w:val="16"/>
              </w:rPr>
              <w:br w:type="page"/>
              <w:t>Pollutant</w:t>
            </w:r>
          </w:p>
        </w:tc>
        <w:tc>
          <w:tcPr>
            <w:tcW w:w="1439" w:type="dxa"/>
            <w:vAlign w:val="center"/>
          </w:tcPr>
          <w:p w14:paraId="6EF5B2A7" w14:textId="77777777" w:rsidR="001F3690" w:rsidRPr="00C01242" w:rsidRDefault="001F3690" w:rsidP="00C01242">
            <w:pPr>
              <w:pStyle w:val="BodyText"/>
              <w:keepLines/>
              <w:spacing w:after="100" w:afterAutospacing="1"/>
              <w:ind w:left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C01242">
              <w:rPr>
                <w:b/>
                <w:sz w:val="16"/>
                <w:szCs w:val="16"/>
              </w:rPr>
              <w:t>mAQI</w:t>
            </w:r>
            <w:proofErr w:type="spellEnd"/>
            <w:r w:rsidRPr="00C01242">
              <w:rPr>
                <w:b/>
                <w:sz w:val="16"/>
                <w:szCs w:val="16"/>
              </w:rPr>
              <w:t xml:space="preserve"> Category</w:t>
            </w:r>
          </w:p>
        </w:tc>
        <w:tc>
          <w:tcPr>
            <w:tcW w:w="1923" w:type="dxa"/>
            <w:vAlign w:val="center"/>
          </w:tcPr>
          <w:p w14:paraId="62D39692" w14:textId="77777777" w:rsidR="001F3690" w:rsidRPr="00C01242" w:rsidRDefault="001F3690" w:rsidP="00C01242">
            <w:pPr>
              <w:pStyle w:val="BodyText"/>
              <w:keepLines/>
              <w:spacing w:after="100" w:afterAutospacing="1"/>
              <w:ind w:left="0"/>
              <w:jc w:val="center"/>
              <w:rPr>
                <w:b/>
                <w:sz w:val="16"/>
                <w:szCs w:val="16"/>
              </w:rPr>
            </w:pPr>
            <w:r w:rsidRPr="00C01242">
              <w:rPr>
                <w:b/>
                <w:sz w:val="16"/>
                <w:szCs w:val="16"/>
              </w:rPr>
              <w:t>Concentration Range</w:t>
            </w:r>
          </w:p>
        </w:tc>
        <w:tc>
          <w:tcPr>
            <w:tcW w:w="1230" w:type="dxa"/>
            <w:vAlign w:val="center"/>
          </w:tcPr>
          <w:p w14:paraId="6A443A13" w14:textId="77777777" w:rsidR="001F3690" w:rsidRPr="00C01242" w:rsidRDefault="001F3690" w:rsidP="00C01242">
            <w:pPr>
              <w:pStyle w:val="BodyText"/>
              <w:keepLines/>
              <w:spacing w:after="100" w:afterAutospacing="1"/>
              <w:ind w:left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C01242">
              <w:rPr>
                <w:b/>
                <w:sz w:val="16"/>
                <w:szCs w:val="16"/>
              </w:rPr>
              <w:t>mAQI</w:t>
            </w:r>
            <w:proofErr w:type="spellEnd"/>
            <w:r w:rsidRPr="00C01242">
              <w:rPr>
                <w:b/>
                <w:sz w:val="16"/>
                <w:szCs w:val="16"/>
              </w:rPr>
              <w:t xml:space="preserve"> Range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5674DF57" w14:textId="77777777" w:rsidR="001F3690" w:rsidRPr="00C01242" w:rsidRDefault="001F3690" w:rsidP="00C01242">
            <w:pPr>
              <w:pStyle w:val="BodyText"/>
              <w:keepLines/>
              <w:spacing w:after="100" w:afterAutospacing="1"/>
              <w:ind w:left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C01242">
              <w:rPr>
                <w:b/>
                <w:sz w:val="16"/>
                <w:szCs w:val="16"/>
              </w:rPr>
              <w:t>mAQI</w:t>
            </w:r>
            <w:proofErr w:type="spellEnd"/>
            <w:r w:rsidRPr="00C01242">
              <w:rPr>
                <w:b/>
                <w:sz w:val="16"/>
                <w:szCs w:val="16"/>
              </w:rPr>
              <w:t xml:space="preserve"> Equation</w:t>
            </w:r>
          </w:p>
        </w:tc>
      </w:tr>
      <w:tr w:rsidR="001F3690" w:rsidRPr="00C01242" w14:paraId="284CC3F3" w14:textId="77777777" w:rsidTr="006955A2">
        <w:trPr>
          <w:cantSplit/>
          <w:jc w:val="center"/>
        </w:trPr>
        <w:tc>
          <w:tcPr>
            <w:tcW w:w="2291" w:type="dxa"/>
            <w:vMerge w:val="restart"/>
            <w:shd w:val="clear" w:color="auto" w:fill="auto"/>
          </w:tcPr>
          <w:p w14:paraId="582A233D" w14:textId="77777777" w:rsidR="001F3690" w:rsidRPr="00C01242" w:rsidRDefault="001F3690" w:rsidP="007A5438">
            <w:pPr>
              <w:pStyle w:val="BodyText"/>
              <w:spacing w:after="0" w:line="240" w:lineRule="auto"/>
              <w:ind w:left="0"/>
              <w:rPr>
                <w:sz w:val="16"/>
                <w:szCs w:val="16"/>
              </w:rPr>
            </w:pPr>
            <w:r w:rsidRPr="00C01242">
              <w:rPr>
                <w:sz w:val="16"/>
                <w:szCs w:val="16"/>
              </w:rPr>
              <w:t>Ozone (O</w:t>
            </w:r>
            <w:r w:rsidRPr="00C01242">
              <w:rPr>
                <w:sz w:val="16"/>
                <w:szCs w:val="16"/>
                <w:vertAlign w:val="subscript"/>
              </w:rPr>
              <w:t>3</w:t>
            </w:r>
            <w:r w:rsidRPr="00C01242">
              <w:rPr>
                <w:sz w:val="16"/>
                <w:szCs w:val="16"/>
              </w:rPr>
              <w:t xml:space="preserve">) </w:t>
            </w:r>
          </w:p>
          <w:p w14:paraId="6396BB4B" w14:textId="77777777" w:rsidR="001F3690" w:rsidRPr="00C01242" w:rsidRDefault="001F3690" w:rsidP="007A5438">
            <w:pPr>
              <w:pStyle w:val="BodyText"/>
              <w:spacing w:after="0" w:line="240" w:lineRule="auto"/>
              <w:ind w:left="0"/>
              <w:rPr>
                <w:sz w:val="16"/>
                <w:szCs w:val="16"/>
              </w:rPr>
            </w:pPr>
            <w:r w:rsidRPr="00C01242">
              <w:rPr>
                <w:sz w:val="16"/>
                <w:szCs w:val="16"/>
              </w:rPr>
              <w:t>Unit: ppb</w:t>
            </w:r>
          </w:p>
          <w:p w14:paraId="289C07CF" w14:textId="77777777" w:rsidR="001F3690" w:rsidRPr="00C01242" w:rsidRDefault="001F3690" w:rsidP="007A5438">
            <w:pPr>
              <w:pStyle w:val="BodyText"/>
              <w:spacing w:after="0" w:line="240" w:lineRule="auto"/>
              <w:ind w:left="0"/>
              <w:rPr>
                <w:sz w:val="16"/>
                <w:szCs w:val="16"/>
              </w:rPr>
            </w:pPr>
            <w:r w:rsidRPr="00C01242">
              <w:rPr>
                <w:sz w:val="16"/>
                <w:szCs w:val="16"/>
              </w:rPr>
              <w:t>Average time: 1-hour</w:t>
            </w:r>
          </w:p>
          <w:p w14:paraId="04E468B2" w14:textId="77777777" w:rsidR="001F3690" w:rsidRPr="00C01242" w:rsidRDefault="001F3690" w:rsidP="007A5438">
            <w:pPr>
              <w:pStyle w:val="BodyText"/>
              <w:spacing w:after="0" w:line="240" w:lineRule="auto"/>
              <w:ind w:left="0"/>
              <w:rPr>
                <w:sz w:val="16"/>
                <w:szCs w:val="16"/>
              </w:rPr>
            </w:pPr>
            <w:r w:rsidRPr="00C01242">
              <w:rPr>
                <w:sz w:val="16"/>
                <w:szCs w:val="16"/>
              </w:rPr>
              <w:t>Poll. Code: 122</w:t>
            </w:r>
          </w:p>
        </w:tc>
        <w:tc>
          <w:tcPr>
            <w:tcW w:w="1439" w:type="dxa"/>
          </w:tcPr>
          <w:p w14:paraId="499115A2" w14:textId="77777777" w:rsidR="001F3690" w:rsidRPr="00C01242" w:rsidRDefault="001F3690" w:rsidP="00CE5235">
            <w:pPr>
              <w:pStyle w:val="BodyText"/>
              <w:keepLines/>
              <w:spacing w:after="0"/>
              <w:ind w:left="0"/>
              <w:rPr>
                <w:sz w:val="16"/>
                <w:szCs w:val="16"/>
              </w:rPr>
            </w:pPr>
            <w:r w:rsidRPr="00C01242">
              <w:rPr>
                <w:sz w:val="16"/>
                <w:szCs w:val="16"/>
              </w:rPr>
              <w:t>Good (1-3)</w:t>
            </w:r>
          </w:p>
        </w:tc>
        <w:tc>
          <w:tcPr>
            <w:tcW w:w="1923" w:type="dxa"/>
          </w:tcPr>
          <w:p w14:paraId="5DF7BEB1" w14:textId="77777777" w:rsidR="001F3690" w:rsidRPr="00C01242" w:rsidRDefault="001F3690" w:rsidP="00CE5235">
            <w:pPr>
              <w:pStyle w:val="BodyText"/>
              <w:keepLines/>
              <w:spacing w:after="0"/>
              <w:ind w:left="0"/>
              <w:rPr>
                <w:sz w:val="16"/>
                <w:szCs w:val="16"/>
              </w:rPr>
            </w:pPr>
            <w:r w:rsidRPr="00C01242">
              <w:rPr>
                <w:sz w:val="16"/>
                <w:szCs w:val="16"/>
              </w:rPr>
              <w:t>0 to 50</w:t>
            </w:r>
          </w:p>
        </w:tc>
        <w:tc>
          <w:tcPr>
            <w:tcW w:w="1230" w:type="dxa"/>
          </w:tcPr>
          <w:p w14:paraId="045B7A26" w14:textId="77777777" w:rsidR="001F3690" w:rsidRPr="00C01242" w:rsidRDefault="001F3690" w:rsidP="001F3690">
            <w:pPr>
              <w:pStyle w:val="BodyText"/>
              <w:keepLines/>
              <w:spacing w:after="0"/>
              <w:ind w:left="0"/>
              <w:rPr>
                <w:sz w:val="16"/>
                <w:szCs w:val="16"/>
              </w:rPr>
            </w:pPr>
            <w:r w:rsidRPr="00C01242">
              <w:rPr>
                <w:sz w:val="16"/>
                <w:szCs w:val="16"/>
              </w:rPr>
              <w:t>1 to 3.49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4469C238" w14:textId="77777777" w:rsidR="001F3690" w:rsidRPr="00C01242" w:rsidRDefault="001F3690" w:rsidP="007A5438">
            <w:pPr>
              <w:rPr>
                <w:bCs/>
                <w:sz w:val="16"/>
                <w:szCs w:val="16"/>
              </w:rPr>
            </w:pPr>
            <w:r w:rsidRPr="00C01242">
              <w:rPr>
                <w:bCs/>
                <w:sz w:val="16"/>
                <w:szCs w:val="16"/>
              </w:rPr>
              <w:t>0.04980 x [O3] + 1.000</w:t>
            </w:r>
          </w:p>
        </w:tc>
      </w:tr>
      <w:tr w:rsidR="001F3690" w:rsidRPr="00C01242" w14:paraId="111C0D2A" w14:textId="77777777" w:rsidTr="006955A2">
        <w:trPr>
          <w:cantSplit/>
          <w:jc w:val="center"/>
        </w:trPr>
        <w:tc>
          <w:tcPr>
            <w:tcW w:w="2291" w:type="dxa"/>
            <w:vMerge/>
            <w:shd w:val="clear" w:color="auto" w:fill="auto"/>
          </w:tcPr>
          <w:p w14:paraId="24060072" w14:textId="77777777" w:rsidR="001F3690" w:rsidRPr="00C01242" w:rsidRDefault="001F3690" w:rsidP="00CF654B">
            <w:pPr>
              <w:pStyle w:val="BodyText"/>
              <w:spacing w:after="100" w:afterAutospacing="1"/>
              <w:ind w:left="0"/>
              <w:rPr>
                <w:sz w:val="16"/>
                <w:szCs w:val="16"/>
              </w:rPr>
            </w:pPr>
          </w:p>
        </w:tc>
        <w:tc>
          <w:tcPr>
            <w:tcW w:w="1439" w:type="dxa"/>
          </w:tcPr>
          <w:p w14:paraId="154BCD9D" w14:textId="77777777" w:rsidR="001F3690" w:rsidRPr="00C01242" w:rsidRDefault="001F3690" w:rsidP="00CE5235">
            <w:pPr>
              <w:pStyle w:val="BodyText"/>
              <w:keepLines/>
              <w:spacing w:after="100" w:afterAutospacing="1"/>
              <w:ind w:left="0"/>
              <w:rPr>
                <w:sz w:val="16"/>
                <w:szCs w:val="16"/>
              </w:rPr>
            </w:pPr>
            <w:r w:rsidRPr="00C01242">
              <w:rPr>
                <w:sz w:val="16"/>
                <w:szCs w:val="16"/>
              </w:rPr>
              <w:t>Moderate (4-6)</w:t>
            </w:r>
          </w:p>
        </w:tc>
        <w:tc>
          <w:tcPr>
            <w:tcW w:w="1923" w:type="dxa"/>
          </w:tcPr>
          <w:p w14:paraId="181BBC5B" w14:textId="77777777" w:rsidR="001F3690" w:rsidRPr="00C01242" w:rsidRDefault="001F3690" w:rsidP="001F3690">
            <w:pPr>
              <w:pStyle w:val="BodyText"/>
              <w:keepLines/>
              <w:spacing w:after="100" w:afterAutospacing="1"/>
              <w:ind w:left="0"/>
              <w:rPr>
                <w:sz w:val="16"/>
                <w:szCs w:val="16"/>
              </w:rPr>
            </w:pPr>
            <w:r w:rsidRPr="00C01242">
              <w:rPr>
                <w:sz w:val="16"/>
                <w:szCs w:val="16"/>
              </w:rPr>
              <w:t>51 to 80</w:t>
            </w:r>
          </w:p>
        </w:tc>
        <w:tc>
          <w:tcPr>
            <w:tcW w:w="1230" w:type="dxa"/>
          </w:tcPr>
          <w:p w14:paraId="7B15AAFF" w14:textId="77777777" w:rsidR="001F3690" w:rsidRPr="00C01242" w:rsidRDefault="001F3690" w:rsidP="001F3690">
            <w:pPr>
              <w:pStyle w:val="BodyText"/>
              <w:keepLines/>
              <w:spacing w:after="100" w:afterAutospacing="1"/>
              <w:ind w:left="0"/>
              <w:rPr>
                <w:sz w:val="16"/>
                <w:szCs w:val="16"/>
              </w:rPr>
            </w:pPr>
            <w:r w:rsidRPr="00C01242">
              <w:rPr>
                <w:sz w:val="16"/>
                <w:szCs w:val="16"/>
              </w:rPr>
              <w:t>3.5 to 6.49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094E04D5" w14:textId="77777777" w:rsidR="001F3690" w:rsidRPr="00C01242" w:rsidRDefault="001F3690" w:rsidP="0018013C">
            <w:pPr>
              <w:rPr>
                <w:bCs/>
                <w:sz w:val="16"/>
                <w:szCs w:val="16"/>
              </w:rPr>
            </w:pPr>
            <w:r w:rsidRPr="00C01242">
              <w:rPr>
                <w:bCs/>
                <w:sz w:val="16"/>
                <w:szCs w:val="16"/>
              </w:rPr>
              <w:t>0.1031 x [O3] -1.758</w:t>
            </w:r>
          </w:p>
        </w:tc>
      </w:tr>
      <w:tr w:rsidR="001F3690" w:rsidRPr="00C01242" w14:paraId="6FCD1418" w14:textId="77777777" w:rsidTr="006955A2">
        <w:trPr>
          <w:cantSplit/>
          <w:jc w:val="center"/>
        </w:trPr>
        <w:tc>
          <w:tcPr>
            <w:tcW w:w="2291" w:type="dxa"/>
            <w:vMerge/>
            <w:shd w:val="clear" w:color="auto" w:fill="auto"/>
          </w:tcPr>
          <w:p w14:paraId="7C31B70E" w14:textId="77777777" w:rsidR="001F3690" w:rsidRPr="00C01242" w:rsidRDefault="001F3690" w:rsidP="00CF654B">
            <w:pPr>
              <w:pStyle w:val="BodyText"/>
              <w:spacing w:after="100" w:afterAutospacing="1"/>
              <w:ind w:left="0"/>
              <w:rPr>
                <w:sz w:val="16"/>
                <w:szCs w:val="16"/>
              </w:rPr>
            </w:pPr>
          </w:p>
        </w:tc>
        <w:tc>
          <w:tcPr>
            <w:tcW w:w="1439" w:type="dxa"/>
          </w:tcPr>
          <w:p w14:paraId="1A489A23" w14:textId="77777777" w:rsidR="001F3690" w:rsidRPr="00C01242" w:rsidRDefault="001F3690" w:rsidP="00CE5235">
            <w:pPr>
              <w:pStyle w:val="BodyText"/>
              <w:keepLines/>
              <w:spacing w:after="100" w:afterAutospacing="1"/>
              <w:ind w:left="0"/>
              <w:rPr>
                <w:sz w:val="16"/>
                <w:szCs w:val="16"/>
              </w:rPr>
            </w:pPr>
            <w:r w:rsidRPr="00C01242">
              <w:rPr>
                <w:sz w:val="16"/>
                <w:szCs w:val="16"/>
              </w:rPr>
              <w:t>Poor (7-10)</w:t>
            </w:r>
          </w:p>
        </w:tc>
        <w:tc>
          <w:tcPr>
            <w:tcW w:w="1923" w:type="dxa"/>
          </w:tcPr>
          <w:p w14:paraId="6E4DE28A" w14:textId="77777777" w:rsidR="001F3690" w:rsidRPr="00C01242" w:rsidRDefault="001F3690" w:rsidP="001F3690">
            <w:pPr>
              <w:pStyle w:val="BodyText"/>
              <w:keepLines/>
              <w:spacing w:after="100" w:afterAutospacing="1"/>
              <w:ind w:left="0"/>
              <w:rPr>
                <w:sz w:val="16"/>
                <w:szCs w:val="16"/>
              </w:rPr>
            </w:pPr>
            <w:r w:rsidRPr="00C01242">
              <w:rPr>
                <w:sz w:val="16"/>
                <w:szCs w:val="16"/>
              </w:rPr>
              <w:t>81 to 149</w:t>
            </w:r>
          </w:p>
        </w:tc>
        <w:tc>
          <w:tcPr>
            <w:tcW w:w="1230" w:type="dxa"/>
          </w:tcPr>
          <w:p w14:paraId="3CF8C051" w14:textId="77777777" w:rsidR="001F3690" w:rsidRPr="00C01242" w:rsidRDefault="001F3690" w:rsidP="001F3690">
            <w:pPr>
              <w:pStyle w:val="BodyText"/>
              <w:keepLines/>
              <w:spacing w:after="100" w:afterAutospacing="1"/>
              <w:ind w:left="0"/>
              <w:rPr>
                <w:sz w:val="16"/>
                <w:szCs w:val="16"/>
              </w:rPr>
            </w:pPr>
            <w:r w:rsidRPr="00C01242">
              <w:rPr>
                <w:sz w:val="16"/>
                <w:szCs w:val="16"/>
              </w:rPr>
              <w:t>6.5 to 10.49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2DF6CAC1" w14:textId="77777777" w:rsidR="001F3690" w:rsidRPr="00C01242" w:rsidRDefault="001F3690" w:rsidP="0018013C">
            <w:pPr>
              <w:rPr>
                <w:bCs/>
                <w:sz w:val="16"/>
                <w:szCs w:val="16"/>
              </w:rPr>
            </w:pPr>
            <w:r w:rsidRPr="00C01242">
              <w:rPr>
                <w:bCs/>
                <w:sz w:val="16"/>
                <w:szCs w:val="16"/>
              </w:rPr>
              <w:t>0.05868 x [O3] + 1.747</w:t>
            </w:r>
          </w:p>
        </w:tc>
      </w:tr>
      <w:tr w:rsidR="001F3690" w:rsidRPr="00C01242" w14:paraId="18F3E9BA" w14:textId="77777777" w:rsidTr="006955A2">
        <w:trPr>
          <w:cantSplit/>
          <w:jc w:val="center"/>
        </w:trPr>
        <w:tc>
          <w:tcPr>
            <w:tcW w:w="2291" w:type="dxa"/>
            <w:vMerge/>
            <w:shd w:val="clear" w:color="auto" w:fill="auto"/>
          </w:tcPr>
          <w:p w14:paraId="2988CF96" w14:textId="77777777" w:rsidR="001F3690" w:rsidRPr="00C01242" w:rsidRDefault="001F3690" w:rsidP="00CF654B">
            <w:pPr>
              <w:pStyle w:val="BodyText"/>
              <w:spacing w:after="100" w:afterAutospacing="1"/>
              <w:ind w:left="0"/>
              <w:rPr>
                <w:sz w:val="16"/>
                <w:szCs w:val="16"/>
              </w:rPr>
            </w:pPr>
          </w:p>
        </w:tc>
        <w:tc>
          <w:tcPr>
            <w:tcW w:w="1439" w:type="dxa"/>
          </w:tcPr>
          <w:p w14:paraId="00907281" w14:textId="77777777" w:rsidR="001F3690" w:rsidRPr="00C01242" w:rsidRDefault="001F3690" w:rsidP="00CE5235">
            <w:pPr>
              <w:pStyle w:val="BodyText"/>
              <w:keepLines/>
              <w:spacing w:after="100" w:afterAutospacing="1"/>
              <w:ind w:left="0"/>
              <w:rPr>
                <w:sz w:val="16"/>
                <w:szCs w:val="16"/>
              </w:rPr>
            </w:pPr>
            <w:r w:rsidRPr="00C01242">
              <w:rPr>
                <w:sz w:val="16"/>
                <w:szCs w:val="16"/>
              </w:rPr>
              <w:t>Very Poor (&gt;10)</w:t>
            </w:r>
          </w:p>
        </w:tc>
        <w:tc>
          <w:tcPr>
            <w:tcW w:w="1923" w:type="dxa"/>
          </w:tcPr>
          <w:p w14:paraId="40857D81" w14:textId="77777777" w:rsidR="001F3690" w:rsidRPr="00C01242" w:rsidRDefault="001F3690" w:rsidP="00CE5235">
            <w:pPr>
              <w:pStyle w:val="BodyText"/>
              <w:keepLines/>
              <w:spacing w:after="100" w:afterAutospacing="1"/>
              <w:ind w:left="0"/>
              <w:rPr>
                <w:sz w:val="16"/>
                <w:szCs w:val="16"/>
              </w:rPr>
            </w:pPr>
            <w:r w:rsidRPr="00C01242">
              <w:rPr>
                <w:sz w:val="16"/>
                <w:szCs w:val="16"/>
              </w:rPr>
              <w:t>&gt; 149</w:t>
            </w:r>
          </w:p>
        </w:tc>
        <w:tc>
          <w:tcPr>
            <w:tcW w:w="1230" w:type="dxa"/>
          </w:tcPr>
          <w:p w14:paraId="5C2C9202" w14:textId="77777777" w:rsidR="001F3690" w:rsidRPr="00C01242" w:rsidRDefault="001F3690" w:rsidP="00CE5235">
            <w:pPr>
              <w:pStyle w:val="BodyText"/>
              <w:keepLines/>
              <w:spacing w:after="100" w:afterAutospacing="1"/>
              <w:ind w:left="0"/>
              <w:rPr>
                <w:sz w:val="16"/>
                <w:szCs w:val="16"/>
              </w:rPr>
            </w:pPr>
            <w:r w:rsidRPr="00C01242">
              <w:rPr>
                <w:sz w:val="16"/>
                <w:szCs w:val="16"/>
              </w:rPr>
              <w:t>&gt; 10.49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34EA3B5B" w14:textId="77777777" w:rsidR="001F3690" w:rsidRPr="00C01242" w:rsidRDefault="001F3690" w:rsidP="0018013C">
            <w:pPr>
              <w:rPr>
                <w:bCs/>
                <w:sz w:val="16"/>
                <w:szCs w:val="16"/>
              </w:rPr>
            </w:pPr>
            <w:r w:rsidRPr="00C01242">
              <w:rPr>
                <w:bCs/>
                <w:sz w:val="16"/>
                <w:szCs w:val="16"/>
              </w:rPr>
              <w:t>0.05868 x [O3] + 1.747</w:t>
            </w:r>
          </w:p>
        </w:tc>
      </w:tr>
      <w:tr w:rsidR="001F3690" w:rsidRPr="00C01242" w14:paraId="59A73079" w14:textId="77777777" w:rsidTr="006955A2">
        <w:trPr>
          <w:cantSplit/>
          <w:jc w:val="center"/>
        </w:trPr>
        <w:tc>
          <w:tcPr>
            <w:tcW w:w="2291" w:type="dxa"/>
            <w:vMerge w:val="restart"/>
            <w:shd w:val="clear" w:color="auto" w:fill="auto"/>
          </w:tcPr>
          <w:p w14:paraId="605A4BFA" w14:textId="77777777" w:rsidR="001F3690" w:rsidRPr="00C01242" w:rsidRDefault="001F3690" w:rsidP="007A5438">
            <w:pPr>
              <w:pStyle w:val="BodyText"/>
              <w:spacing w:after="0" w:line="240" w:lineRule="auto"/>
              <w:ind w:left="0"/>
              <w:rPr>
                <w:sz w:val="16"/>
                <w:szCs w:val="16"/>
              </w:rPr>
            </w:pPr>
            <w:r w:rsidRPr="00C01242">
              <w:rPr>
                <w:sz w:val="16"/>
                <w:szCs w:val="16"/>
              </w:rPr>
              <w:lastRenderedPageBreak/>
              <w:t>Nitrogen Dioxide (NO</w:t>
            </w:r>
            <w:r w:rsidRPr="00C01242">
              <w:rPr>
                <w:sz w:val="16"/>
                <w:szCs w:val="16"/>
                <w:vertAlign w:val="subscript"/>
              </w:rPr>
              <w:t>2</w:t>
            </w:r>
            <w:r w:rsidRPr="00C01242">
              <w:rPr>
                <w:sz w:val="16"/>
                <w:szCs w:val="16"/>
              </w:rPr>
              <w:t>)</w:t>
            </w:r>
          </w:p>
          <w:p w14:paraId="032193A2" w14:textId="77777777" w:rsidR="001F3690" w:rsidRPr="00C01242" w:rsidRDefault="001F3690" w:rsidP="007A5438">
            <w:pPr>
              <w:pStyle w:val="BodyText"/>
              <w:spacing w:after="0" w:line="240" w:lineRule="auto"/>
              <w:ind w:left="0"/>
              <w:rPr>
                <w:sz w:val="16"/>
                <w:szCs w:val="16"/>
              </w:rPr>
            </w:pPr>
            <w:r w:rsidRPr="00C01242">
              <w:rPr>
                <w:sz w:val="16"/>
                <w:szCs w:val="16"/>
              </w:rPr>
              <w:t>Unit: ppb</w:t>
            </w:r>
          </w:p>
          <w:p w14:paraId="3A297136" w14:textId="77777777" w:rsidR="001F3690" w:rsidRPr="00C01242" w:rsidRDefault="001F3690" w:rsidP="007A5438">
            <w:pPr>
              <w:pStyle w:val="BodyText"/>
              <w:spacing w:after="0" w:line="240" w:lineRule="auto"/>
              <w:ind w:left="0"/>
              <w:rPr>
                <w:sz w:val="16"/>
                <w:szCs w:val="16"/>
              </w:rPr>
            </w:pPr>
            <w:r w:rsidRPr="00C01242">
              <w:rPr>
                <w:sz w:val="16"/>
                <w:szCs w:val="16"/>
              </w:rPr>
              <w:t>Average: 1-hour</w:t>
            </w:r>
          </w:p>
          <w:p w14:paraId="62E909C5" w14:textId="77777777" w:rsidR="001F3690" w:rsidRPr="00C01242" w:rsidRDefault="001F3690" w:rsidP="007A5438">
            <w:pPr>
              <w:pStyle w:val="BodyText"/>
              <w:spacing w:after="100" w:afterAutospacing="1"/>
              <w:ind w:left="0"/>
              <w:rPr>
                <w:sz w:val="16"/>
                <w:szCs w:val="16"/>
              </w:rPr>
            </w:pPr>
            <w:r w:rsidRPr="00C01242">
              <w:rPr>
                <w:sz w:val="16"/>
                <w:szCs w:val="16"/>
              </w:rPr>
              <w:t>Poll.  Code: 36</w:t>
            </w:r>
          </w:p>
        </w:tc>
        <w:tc>
          <w:tcPr>
            <w:tcW w:w="1439" w:type="dxa"/>
          </w:tcPr>
          <w:p w14:paraId="2128C3A7" w14:textId="77777777" w:rsidR="001F3690" w:rsidRPr="00C01242" w:rsidRDefault="001F3690" w:rsidP="00CE5235">
            <w:pPr>
              <w:pStyle w:val="BodyText"/>
              <w:keepLines/>
              <w:spacing w:after="0"/>
              <w:ind w:left="0"/>
              <w:rPr>
                <w:sz w:val="16"/>
                <w:szCs w:val="16"/>
              </w:rPr>
            </w:pPr>
            <w:r w:rsidRPr="00C01242">
              <w:rPr>
                <w:sz w:val="16"/>
                <w:szCs w:val="16"/>
              </w:rPr>
              <w:t>Good (1-3)</w:t>
            </w:r>
          </w:p>
        </w:tc>
        <w:tc>
          <w:tcPr>
            <w:tcW w:w="1923" w:type="dxa"/>
          </w:tcPr>
          <w:p w14:paraId="33E6A586" w14:textId="77777777" w:rsidR="001F3690" w:rsidRPr="00C01242" w:rsidRDefault="001F3690" w:rsidP="001F3690">
            <w:pPr>
              <w:pStyle w:val="BodyText"/>
              <w:keepLines/>
              <w:spacing w:after="100" w:afterAutospacing="1"/>
              <w:ind w:left="0"/>
              <w:rPr>
                <w:sz w:val="16"/>
                <w:szCs w:val="16"/>
              </w:rPr>
            </w:pPr>
            <w:r w:rsidRPr="00C01242">
              <w:rPr>
                <w:sz w:val="16"/>
                <w:szCs w:val="16"/>
              </w:rPr>
              <w:t>0 to 110</w:t>
            </w:r>
          </w:p>
        </w:tc>
        <w:tc>
          <w:tcPr>
            <w:tcW w:w="1230" w:type="dxa"/>
          </w:tcPr>
          <w:p w14:paraId="3268E6F0" w14:textId="77777777" w:rsidR="001F3690" w:rsidRPr="00C01242" w:rsidRDefault="001F3690" w:rsidP="00CE5235">
            <w:pPr>
              <w:pStyle w:val="BodyText"/>
              <w:keepLines/>
              <w:spacing w:after="0"/>
              <w:ind w:left="0"/>
              <w:rPr>
                <w:sz w:val="16"/>
                <w:szCs w:val="16"/>
              </w:rPr>
            </w:pPr>
            <w:r w:rsidRPr="00C01242">
              <w:rPr>
                <w:sz w:val="16"/>
                <w:szCs w:val="16"/>
              </w:rPr>
              <w:t>1 to 3.49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7D70562E" w14:textId="77777777" w:rsidR="001F3690" w:rsidRPr="00C01242" w:rsidRDefault="001F3690" w:rsidP="00CE5235">
            <w:pPr>
              <w:rPr>
                <w:bCs/>
                <w:sz w:val="16"/>
                <w:szCs w:val="16"/>
              </w:rPr>
            </w:pPr>
            <w:r w:rsidRPr="00C01242">
              <w:rPr>
                <w:bCs/>
                <w:sz w:val="16"/>
                <w:szCs w:val="16"/>
              </w:rPr>
              <w:t>0.02264 x [NO2] + 1.000</w:t>
            </w:r>
          </w:p>
        </w:tc>
      </w:tr>
      <w:tr w:rsidR="001F3690" w:rsidRPr="00C01242" w14:paraId="615A0D76" w14:textId="77777777" w:rsidTr="006955A2">
        <w:trPr>
          <w:cantSplit/>
          <w:jc w:val="center"/>
        </w:trPr>
        <w:tc>
          <w:tcPr>
            <w:tcW w:w="2291" w:type="dxa"/>
            <w:vMerge/>
            <w:shd w:val="clear" w:color="auto" w:fill="auto"/>
          </w:tcPr>
          <w:p w14:paraId="7DFB8545" w14:textId="77777777" w:rsidR="001F3690" w:rsidRPr="00C01242" w:rsidRDefault="001F3690" w:rsidP="00CE5235">
            <w:pPr>
              <w:pStyle w:val="BodyText"/>
              <w:spacing w:after="100" w:afterAutospacing="1"/>
              <w:ind w:left="0"/>
              <w:rPr>
                <w:sz w:val="16"/>
                <w:szCs w:val="16"/>
              </w:rPr>
            </w:pPr>
          </w:p>
        </w:tc>
        <w:tc>
          <w:tcPr>
            <w:tcW w:w="1439" w:type="dxa"/>
          </w:tcPr>
          <w:p w14:paraId="353496D0" w14:textId="77777777" w:rsidR="001F3690" w:rsidRPr="00C01242" w:rsidRDefault="001F3690" w:rsidP="00CE5235">
            <w:pPr>
              <w:pStyle w:val="BodyText"/>
              <w:keepLines/>
              <w:spacing w:after="100" w:afterAutospacing="1"/>
              <w:ind w:left="0"/>
              <w:rPr>
                <w:sz w:val="16"/>
                <w:szCs w:val="16"/>
              </w:rPr>
            </w:pPr>
            <w:r w:rsidRPr="00C01242">
              <w:rPr>
                <w:sz w:val="16"/>
                <w:szCs w:val="16"/>
              </w:rPr>
              <w:t>Moderate (4-6)</w:t>
            </w:r>
          </w:p>
        </w:tc>
        <w:tc>
          <w:tcPr>
            <w:tcW w:w="1923" w:type="dxa"/>
          </w:tcPr>
          <w:p w14:paraId="3D8A6F06" w14:textId="77777777" w:rsidR="001F3690" w:rsidRPr="00C01242" w:rsidRDefault="001F3690" w:rsidP="001F3690">
            <w:pPr>
              <w:pStyle w:val="BodyText"/>
              <w:keepLines/>
              <w:spacing w:after="100" w:afterAutospacing="1"/>
              <w:ind w:left="0"/>
              <w:rPr>
                <w:sz w:val="16"/>
                <w:szCs w:val="16"/>
              </w:rPr>
            </w:pPr>
            <w:r w:rsidRPr="00C01242">
              <w:rPr>
                <w:sz w:val="16"/>
                <w:szCs w:val="16"/>
              </w:rPr>
              <w:t>111 to 200</w:t>
            </w:r>
          </w:p>
        </w:tc>
        <w:tc>
          <w:tcPr>
            <w:tcW w:w="1230" w:type="dxa"/>
          </w:tcPr>
          <w:p w14:paraId="02D1FB45" w14:textId="77777777" w:rsidR="001F3690" w:rsidRPr="00C01242" w:rsidRDefault="001F3690" w:rsidP="00CE5235">
            <w:pPr>
              <w:pStyle w:val="BodyText"/>
              <w:keepLines/>
              <w:spacing w:after="100" w:afterAutospacing="1"/>
              <w:ind w:left="0"/>
              <w:rPr>
                <w:sz w:val="16"/>
                <w:szCs w:val="16"/>
              </w:rPr>
            </w:pPr>
            <w:r w:rsidRPr="00C01242">
              <w:rPr>
                <w:sz w:val="16"/>
                <w:szCs w:val="16"/>
              </w:rPr>
              <w:t>3.5 to 6.49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4CA1417C" w14:textId="77777777" w:rsidR="001F3690" w:rsidRPr="00C01242" w:rsidRDefault="001F3690" w:rsidP="00CE5235">
            <w:pPr>
              <w:rPr>
                <w:bCs/>
                <w:sz w:val="16"/>
                <w:szCs w:val="16"/>
              </w:rPr>
            </w:pPr>
            <w:r w:rsidRPr="00C01242">
              <w:rPr>
                <w:bCs/>
                <w:sz w:val="16"/>
                <w:szCs w:val="16"/>
              </w:rPr>
              <w:t>0.03360 x [NO2] - 0.2291</w:t>
            </w:r>
          </w:p>
        </w:tc>
      </w:tr>
      <w:tr w:rsidR="001F3690" w:rsidRPr="00C01242" w14:paraId="538BA0EF" w14:textId="77777777" w:rsidTr="006955A2">
        <w:trPr>
          <w:cantSplit/>
          <w:jc w:val="center"/>
        </w:trPr>
        <w:tc>
          <w:tcPr>
            <w:tcW w:w="2291" w:type="dxa"/>
            <w:vMerge/>
            <w:shd w:val="clear" w:color="auto" w:fill="auto"/>
          </w:tcPr>
          <w:p w14:paraId="56C3496C" w14:textId="77777777" w:rsidR="001F3690" w:rsidRPr="00C01242" w:rsidRDefault="001F3690" w:rsidP="00CE5235">
            <w:pPr>
              <w:pStyle w:val="BodyText"/>
              <w:spacing w:after="100" w:afterAutospacing="1"/>
              <w:ind w:left="0"/>
              <w:rPr>
                <w:sz w:val="16"/>
                <w:szCs w:val="16"/>
              </w:rPr>
            </w:pPr>
          </w:p>
        </w:tc>
        <w:tc>
          <w:tcPr>
            <w:tcW w:w="1439" w:type="dxa"/>
          </w:tcPr>
          <w:p w14:paraId="1CE4A11C" w14:textId="77777777" w:rsidR="001F3690" w:rsidRPr="00C01242" w:rsidRDefault="001F3690" w:rsidP="00CE5235">
            <w:pPr>
              <w:pStyle w:val="BodyText"/>
              <w:keepLines/>
              <w:spacing w:after="100" w:afterAutospacing="1"/>
              <w:ind w:left="0"/>
              <w:rPr>
                <w:sz w:val="16"/>
                <w:szCs w:val="16"/>
              </w:rPr>
            </w:pPr>
            <w:r w:rsidRPr="00C01242">
              <w:rPr>
                <w:sz w:val="16"/>
                <w:szCs w:val="16"/>
              </w:rPr>
              <w:t>Poor (7-10)</w:t>
            </w:r>
          </w:p>
        </w:tc>
        <w:tc>
          <w:tcPr>
            <w:tcW w:w="1923" w:type="dxa"/>
          </w:tcPr>
          <w:p w14:paraId="0A055FBB" w14:textId="77777777" w:rsidR="001F3690" w:rsidRPr="00C01242" w:rsidRDefault="001F3690" w:rsidP="001F3690">
            <w:pPr>
              <w:pStyle w:val="BodyText"/>
              <w:keepLines/>
              <w:spacing w:after="100" w:afterAutospacing="1"/>
              <w:ind w:left="0"/>
              <w:rPr>
                <w:sz w:val="16"/>
                <w:szCs w:val="16"/>
              </w:rPr>
            </w:pPr>
            <w:r w:rsidRPr="00C01242">
              <w:rPr>
                <w:sz w:val="16"/>
                <w:szCs w:val="16"/>
              </w:rPr>
              <w:t>201 to 524</w:t>
            </w:r>
          </w:p>
        </w:tc>
        <w:tc>
          <w:tcPr>
            <w:tcW w:w="1230" w:type="dxa"/>
          </w:tcPr>
          <w:p w14:paraId="0B363106" w14:textId="77777777" w:rsidR="001F3690" w:rsidRPr="00C01242" w:rsidRDefault="001F3690" w:rsidP="00CE5235">
            <w:pPr>
              <w:pStyle w:val="BodyText"/>
              <w:keepLines/>
              <w:spacing w:after="100" w:afterAutospacing="1"/>
              <w:ind w:left="0"/>
              <w:rPr>
                <w:sz w:val="16"/>
                <w:szCs w:val="16"/>
              </w:rPr>
            </w:pPr>
            <w:r w:rsidRPr="00C01242">
              <w:rPr>
                <w:sz w:val="16"/>
                <w:szCs w:val="16"/>
              </w:rPr>
              <w:t>6.5 to 10.49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39036D7A" w14:textId="77777777" w:rsidR="001F3690" w:rsidRPr="00C01242" w:rsidRDefault="001F3690" w:rsidP="00CE5235">
            <w:pPr>
              <w:rPr>
                <w:bCs/>
                <w:sz w:val="16"/>
                <w:szCs w:val="16"/>
              </w:rPr>
            </w:pPr>
            <w:r w:rsidRPr="00C01242">
              <w:rPr>
                <w:bCs/>
                <w:sz w:val="16"/>
                <w:szCs w:val="16"/>
              </w:rPr>
              <w:t>0.01235 x [NO2] + 4.017</w:t>
            </w:r>
          </w:p>
        </w:tc>
      </w:tr>
      <w:tr w:rsidR="001F3690" w:rsidRPr="00C01242" w14:paraId="7E77E930" w14:textId="77777777" w:rsidTr="006955A2">
        <w:trPr>
          <w:cantSplit/>
          <w:jc w:val="center"/>
        </w:trPr>
        <w:tc>
          <w:tcPr>
            <w:tcW w:w="2291" w:type="dxa"/>
            <w:vMerge/>
            <w:shd w:val="clear" w:color="auto" w:fill="auto"/>
          </w:tcPr>
          <w:p w14:paraId="2EA9D2D5" w14:textId="77777777" w:rsidR="001F3690" w:rsidRPr="00C01242" w:rsidRDefault="001F3690" w:rsidP="00CE5235">
            <w:pPr>
              <w:pStyle w:val="BodyText"/>
              <w:spacing w:after="100" w:afterAutospacing="1"/>
              <w:ind w:left="0"/>
              <w:rPr>
                <w:sz w:val="16"/>
                <w:szCs w:val="16"/>
              </w:rPr>
            </w:pPr>
          </w:p>
        </w:tc>
        <w:tc>
          <w:tcPr>
            <w:tcW w:w="1439" w:type="dxa"/>
          </w:tcPr>
          <w:p w14:paraId="4409FF55" w14:textId="77777777" w:rsidR="001F3690" w:rsidRPr="00C01242" w:rsidRDefault="001F3690" w:rsidP="00CE5235">
            <w:pPr>
              <w:pStyle w:val="BodyText"/>
              <w:keepLines/>
              <w:spacing w:after="100" w:afterAutospacing="1"/>
              <w:ind w:left="0"/>
              <w:rPr>
                <w:sz w:val="16"/>
                <w:szCs w:val="16"/>
              </w:rPr>
            </w:pPr>
            <w:r w:rsidRPr="00C01242">
              <w:rPr>
                <w:sz w:val="16"/>
                <w:szCs w:val="16"/>
              </w:rPr>
              <w:t>Very Poor (&gt;10)</w:t>
            </w:r>
          </w:p>
        </w:tc>
        <w:tc>
          <w:tcPr>
            <w:tcW w:w="1923" w:type="dxa"/>
          </w:tcPr>
          <w:p w14:paraId="4E95446F" w14:textId="77777777" w:rsidR="001F3690" w:rsidRPr="00C01242" w:rsidRDefault="001F3690" w:rsidP="00CE5235">
            <w:pPr>
              <w:pStyle w:val="BodyText"/>
              <w:keepLines/>
              <w:spacing w:after="100" w:afterAutospacing="1"/>
              <w:ind w:left="0"/>
              <w:rPr>
                <w:sz w:val="16"/>
                <w:szCs w:val="16"/>
              </w:rPr>
            </w:pPr>
            <w:r w:rsidRPr="00C01242">
              <w:rPr>
                <w:sz w:val="16"/>
                <w:szCs w:val="16"/>
              </w:rPr>
              <w:t>&gt; 524</w:t>
            </w:r>
          </w:p>
        </w:tc>
        <w:tc>
          <w:tcPr>
            <w:tcW w:w="1230" w:type="dxa"/>
          </w:tcPr>
          <w:p w14:paraId="4F6F2705" w14:textId="77777777" w:rsidR="001F3690" w:rsidRPr="00C01242" w:rsidRDefault="001F3690" w:rsidP="00CE5235">
            <w:pPr>
              <w:pStyle w:val="BodyText"/>
              <w:keepLines/>
              <w:spacing w:after="100" w:afterAutospacing="1"/>
              <w:ind w:left="0"/>
              <w:rPr>
                <w:sz w:val="16"/>
                <w:szCs w:val="16"/>
              </w:rPr>
            </w:pPr>
            <w:r w:rsidRPr="00C01242">
              <w:rPr>
                <w:sz w:val="16"/>
                <w:szCs w:val="16"/>
              </w:rPr>
              <w:t>&gt; 10.49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7638DCB4" w14:textId="77777777" w:rsidR="001F3690" w:rsidRPr="00C01242" w:rsidRDefault="001F3690" w:rsidP="00CE5235">
            <w:pPr>
              <w:rPr>
                <w:bCs/>
                <w:sz w:val="16"/>
                <w:szCs w:val="16"/>
              </w:rPr>
            </w:pPr>
            <w:r w:rsidRPr="00C01242">
              <w:rPr>
                <w:bCs/>
                <w:sz w:val="16"/>
                <w:szCs w:val="16"/>
              </w:rPr>
              <w:t>0.01810 x [NO2] + 1.000</w:t>
            </w:r>
          </w:p>
        </w:tc>
      </w:tr>
    </w:tbl>
    <w:p w14:paraId="22F869DB" w14:textId="77777777" w:rsidR="00A1765C" w:rsidRDefault="00A1765C">
      <w:pPr>
        <w:rPr>
          <w:b/>
          <w:spacing w:val="-4"/>
          <w:kern w:val="28"/>
          <w:szCs w:val="22"/>
        </w:rPr>
      </w:pPr>
      <w:bookmarkStart w:id="1" w:name="_GoBack"/>
      <w:bookmarkEnd w:id="1"/>
    </w:p>
    <w:p w14:paraId="2F01B892" w14:textId="77777777" w:rsidR="006955A2" w:rsidRDefault="006955A2">
      <w:pPr>
        <w:rPr>
          <w:b/>
          <w:spacing w:val="-4"/>
          <w:kern w:val="28"/>
          <w:szCs w:val="22"/>
        </w:rPr>
      </w:pPr>
    </w:p>
    <w:p w14:paraId="701293D9" w14:textId="77777777" w:rsidR="00C24E27" w:rsidRPr="00A1765C" w:rsidRDefault="00E73A14" w:rsidP="00A1765C">
      <w:pPr>
        <w:pStyle w:val="Heading3"/>
        <w:numPr>
          <w:ilvl w:val="0"/>
          <w:numId w:val="2"/>
        </w:numPr>
        <w:tabs>
          <w:tab w:val="clear" w:pos="720"/>
        </w:tabs>
        <w:spacing w:before="0" w:after="120"/>
        <w:ind w:left="360"/>
        <w:rPr>
          <w:szCs w:val="22"/>
        </w:rPr>
      </w:pPr>
      <w:r>
        <w:rPr>
          <w:szCs w:val="22"/>
        </w:rPr>
        <w:t>T</w:t>
      </w:r>
      <w:r w:rsidR="008E4222" w:rsidRPr="00734049">
        <w:rPr>
          <w:szCs w:val="22"/>
        </w:rPr>
        <w:t>he</w:t>
      </w:r>
      <w:r>
        <w:rPr>
          <w:szCs w:val="22"/>
        </w:rPr>
        <w:t xml:space="preserve"> </w:t>
      </w:r>
      <w:r w:rsidR="00DC5355">
        <w:rPr>
          <w:szCs w:val="22"/>
        </w:rPr>
        <w:t>federal</w:t>
      </w:r>
      <w:r w:rsidR="008E4222" w:rsidRPr="00734049">
        <w:rPr>
          <w:szCs w:val="22"/>
        </w:rPr>
        <w:t xml:space="preserve"> AQHI</w:t>
      </w:r>
      <w:r w:rsidR="00CC70E0">
        <w:rPr>
          <w:szCs w:val="22"/>
        </w:rPr>
        <w:t xml:space="preserve"> </w:t>
      </w:r>
      <w:r w:rsidR="00DC5355">
        <w:rPr>
          <w:szCs w:val="22"/>
        </w:rPr>
        <w:t>(</w:t>
      </w:r>
      <w:r w:rsidR="00125F07">
        <w:rPr>
          <w:szCs w:val="22"/>
        </w:rPr>
        <w:t>1</w:t>
      </w:r>
      <w:r w:rsidR="009917CB" w:rsidRPr="00734049">
        <w:rPr>
          <w:szCs w:val="22"/>
        </w:rPr>
        <w:t>-10+</w:t>
      </w:r>
      <w:r w:rsidR="00AC0DF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69FAE4" wp14:editId="47CAD5FE">
                <wp:simplePos x="0" y="0"/>
                <wp:positionH relativeFrom="column">
                  <wp:posOffset>1619250</wp:posOffset>
                </wp:positionH>
                <wp:positionV relativeFrom="paragraph">
                  <wp:posOffset>5534660</wp:posOffset>
                </wp:positionV>
                <wp:extent cx="0" cy="0"/>
                <wp:effectExtent l="9525" t="8890" r="9525" b="10160"/>
                <wp:wrapNone/>
                <wp:docPr id="6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0DA9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6" o:spid="_x0000_s1026" type="#_x0000_t32" style="position:absolute;margin-left:127.5pt;margin-top:435.8pt;width:0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"/>
            </w:pict>
          </mc:Fallback>
        </mc:AlternateContent>
      </w:r>
      <w:r w:rsidR="00DC5355">
        <w:rPr>
          <w:szCs w:val="22"/>
        </w:rPr>
        <w:t>)</w:t>
      </w:r>
    </w:p>
    <w:p w14:paraId="13BEF1BB" w14:textId="77777777" w:rsidR="0009469E" w:rsidRDefault="00C24E27" w:rsidP="00A1765C">
      <w:pPr>
        <w:pStyle w:val="BodyText"/>
        <w:numPr>
          <w:ilvl w:val="1"/>
          <w:numId w:val="2"/>
        </w:numPr>
        <w:spacing w:after="120"/>
        <w:ind w:left="0" w:firstLine="0"/>
      </w:pPr>
      <w:r w:rsidRPr="00367D91">
        <w:t>Collect concentration readings for three pollutants (</w:t>
      </w:r>
      <w:r w:rsidR="00A32FF5" w:rsidRPr="00367D91">
        <w:t>O</w:t>
      </w:r>
      <w:r w:rsidR="00A32FF5" w:rsidRPr="0009469E">
        <w:rPr>
          <w:vertAlign w:val="subscript"/>
        </w:rPr>
        <w:t>3</w:t>
      </w:r>
      <w:r w:rsidR="00A32FF5" w:rsidRPr="00367D91">
        <w:t xml:space="preserve">, </w:t>
      </w:r>
      <w:r w:rsidRPr="00367D91">
        <w:t>PM</w:t>
      </w:r>
      <w:r w:rsidRPr="0009469E">
        <w:rPr>
          <w:vertAlign w:val="subscript"/>
        </w:rPr>
        <w:t>2.5</w:t>
      </w:r>
      <w:r w:rsidRPr="00367D91">
        <w:t>, and NO</w:t>
      </w:r>
      <w:r w:rsidRPr="0009469E">
        <w:rPr>
          <w:vertAlign w:val="subscript"/>
        </w:rPr>
        <w:t>2</w:t>
      </w:r>
      <w:r w:rsidRPr="00367D91">
        <w:t>) from air monitoring stations across Ontario. Calculate the 1-hour average concentration of each pollutant at each station and report the values at the end of every hour.</w:t>
      </w:r>
    </w:p>
    <w:p w14:paraId="1F4C5D31" w14:textId="77777777" w:rsidR="0009469E" w:rsidRDefault="00C24E27" w:rsidP="00A1765C">
      <w:pPr>
        <w:pStyle w:val="BodyText"/>
        <w:numPr>
          <w:ilvl w:val="1"/>
          <w:numId w:val="2"/>
        </w:numPr>
        <w:spacing w:after="120"/>
        <w:ind w:left="0" w:firstLine="0"/>
      </w:pPr>
      <w:r w:rsidRPr="0009469E">
        <w:t xml:space="preserve">Average the concentration of each pollutant over the past 3 hours for each station. </w:t>
      </w:r>
      <w:r w:rsidR="00CC70E0" w:rsidRPr="00E50052">
        <w:t xml:space="preserve">If </w:t>
      </w:r>
      <w:r w:rsidR="00CC70E0">
        <w:t xml:space="preserve">2 readings are missing over the past 3 hours, </w:t>
      </w:r>
      <w:r w:rsidR="00CC70E0" w:rsidRPr="00E50052">
        <w:t xml:space="preserve">then set the station average to </w:t>
      </w:r>
      <w:r w:rsidR="00CC70E0">
        <w:t>missing</w:t>
      </w:r>
      <w:r w:rsidR="00CC70E0" w:rsidRPr="00E50052">
        <w:t>.</w:t>
      </w:r>
    </w:p>
    <w:p w14:paraId="4F9FD480" w14:textId="77777777" w:rsidR="00836757" w:rsidRPr="0009469E" w:rsidRDefault="0009469E" w:rsidP="00A1765C">
      <w:pPr>
        <w:pStyle w:val="BodyText"/>
        <w:numPr>
          <w:ilvl w:val="1"/>
          <w:numId w:val="2"/>
        </w:numPr>
        <w:spacing w:after="120"/>
        <w:ind w:left="0" w:firstLine="0"/>
      </w:pPr>
      <w:r>
        <w:t xml:space="preserve">Calculate </w:t>
      </w:r>
      <w:r w:rsidR="00DD519F">
        <w:t xml:space="preserve">the </w:t>
      </w:r>
      <w:r w:rsidR="00836757" w:rsidRPr="0009469E">
        <w:t>AQHI</w:t>
      </w:r>
      <w:r w:rsidR="00DD519F" w:rsidRPr="00DD519F">
        <w:t xml:space="preserve"> </w:t>
      </w:r>
      <w:r w:rsidR="00DD519F">
        <w:t>for each station</w:t>
      </w:r>
      <w:r>
        <w:t>.</w:t>
      </w:r>
    </w:p>
    <w:p w14:paraId="41A81914" w14:textId="77777777" w:rsidR="00467285" w:rsidRDefault="0009469E" w:rsidP="00A1765C">
      <w:pPr>
        <w:pStyle w:val="BodyText"/>
        <w:numPr>
          <w:ilvl w:val="2"/>
          <w:numId w:val="2"/>
        </w:numPr>
        <w:spacing w:after="120"/>
      </w:pPr>
      <w:r w:rsidRPr="00367D91">
        <w:t xml:space="preserve">If a 3-hour average is available for one station, calculate the sub-AQHI for each pollutant using the </w:t>
      </w:r>
      <w:r w:rsidR="00467285">
        <w:t xml:space="preserve">following </w:t>
      </w:r>
      <w:r w:rsidRPr="00367D91">
        <w:t>AQHI formulae for each station applying the 3-hour average</w:t>
      </w:r>
      <w:r w:rsidR="00467285">
        <w:t>.</w:t>
      </w:r>
      <w:r w:rsidRPr="00367D91">
        <w:t xml:space="preserve"> </w:t>
      </w:r>
    </w:p>
    <w:p w14:paraId="68D6E14A" w14:textId="77777777" w:rsidR="00A32FF5" w:rsidRPr="00A32FF5" w:rsidRDefault="00A32FF5" w:rsidP="00A32FF5">
      <w:pPr>
        <w:pStyle w:val="BodyText"/>
        <w:spacing w:after="120"/>
      </w:pPr>
      <w:r>
        <w:t>Sub-AQHI for O</w:t>
      </w:r>
      <w:r w:rsidRPr="00A32FF5">
        <w:rPr>
          <w:vertAlign w:val="subscript"/>
        </w:rPr>
        <w:t>3</w:t>
      </w:r>
      <w:r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10.4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×[e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(0.000537×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O3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-1]</m:t>
        </m:r>
      </m:oMath>
    </w:p>
    <w:p w14:paraId="168DC999" w14:textId="77777777" w:rsidR="00A32FF5" w:rsidRPr="00A32FF5" w:rsidRDefault="00A32FF5" w:rsidP="00A32FF5">
      <w:pPr>
        <w:pStyle w:val="BodyText"/>
        <w:spacing w:after="120"/>
      </w:pPr>
      <w:r>
        <w:t>Sub-AQHI for PM</w:t>
      </w:r>
      <w:r w:rsidRPr="00A32FF5">
        <w:rPr>
          <w:vertAlign w:val="subscript"/>
        </w:rPr>
        <w:t>2.5</w:t>
      </w:r>
      <w:r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10.4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×[e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(0.000487×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PM2.5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-1]</m:t>
        </m:r>
      </m:oMath>
    </w:p>
    <w:p w14:paraId="587BB3C5" w14:textId="77777777" w:rsidR="00467285" w:rsidRDefault="00467285" w:rsidP="00A1765C">
      <w:pPr>
        <w:pStyle w:val="BodyText"/>
        <w:spacing w:after="120"/>
        <w:rPr>
          <w:lang w:val="en-US" w:eastAsia="en-US"/>
        </w:rPr>
      </w:pPr>
      <w:r>
        <w:t>Sub-AQHI for NO</w:t>
      </w:r>
      <w:r w:rsidRPr="002627B0">
        <w:rPr>
          <w:vertAlign w:val="subscript"/>
        </w:rPr>
        <w:t>2</w:t>
      </w:r>
      <w:r>
        <w:t xml:space="preserve">: </w:t>
      </w:r>
      <m:oMath>
        <m:f>
          <m:fPr>
            <m:ctrlPr>
              <w:rPr>
                <w:rFonts w:ascii="Cambria Math" w:hAnsi="Cambria Math"/>
                <w:lang w:val="en-US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10.4</m:t>
            </m:r>
          </m:den>
        </m:f>
        <m:r>
          <w:rPr>
            <w:rFonts w:ascii="Cambria Math" w:hAnsi="Cambria Math"/>
            <w:lang w:val="en-US" w:eastAsia="en-US"/>
          </w:rPr>
          <m:t>×[</m:t>
        </m:r>
        <m:sSup>
          <m:sSupPr>
            <m:ctrlPr>
              <w:rPr>
                <w:rFonts w:ascii="Cambria Math" w:hAnsi="Cambria Math"/>
                <w:lang w:val="en-US" w:eastAsia="en-US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(0.000871×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  <w:lang w:val="en-US" w:eastAsia="en-US"/>
          </w:rPr>
          <m:t>-1]</m:t>
        </m:r>
      </m:oMath>
    </w:p>
    <w:p w14:paraId="1CAC6775" w14:textId="77777777" w:rsidR="0009469E" w:rsidRDefault="0009469E" w:rsidP="00A1765C">
      <w:pPr>
        <w:pStyle w:val="BodyText"/>
        <w:numPr>
          <w:ilvl w:val="2"/>
          <w:numId w:val="2"/>
        </w:numPr>
        <w:spacing w:after="120"/>
      </w:pPr>
      <w:r w:rsidRPr="00367D91">
        <w:t>Set the AQHI to the sum of the sub-AQHIs</w:t>
      </w:r>
      <w:r w:rsidR="00C574F5">
        <w:t xml:space="preserve"> and round to the nearest integer</w:t>
      </w:r>
      <w:r w:rsidRPr="00367D91">
        <w:t>.  Store the AQHI of each station.</w:t>
      </w:r>
      <w:r w:rsidR="00125F07">
        <w:t xml:space="preserve"> If the AQHI is less than 0.5, then set the value to 1. </w:t>
      </w:r>
    </w:p>
    <w:p w14:paraId="1D09B3A5" w14:textId="77777777" w:rsidR="00467285" w:rsidRPr="0009469E" w:rsidRDefault="00467285" w:rsidP="00A1765C">
      <w:pPr>
        <w:pStyle w:val="BodyText"/>
        <w:numPr>
          <w:ilvl w:val="1"/>
          <w:numId w:val="2"/>
        </w:numPr>
        <w:spacing w:after="120"/>
        <w:ind w:left="0" w:firstLine="0"/>
      </w:pPr>
      <w:r>
        <w:t>Calculate</w:t>
      </w:r>
      <w:r w:rsidR="00DD519F">
        <w:t xml:space="preserve"> the</w:t>
      </w:r>
      <w:r>
        <w:t xml:space="preserve"> AQHI </w:t>
      </w:r>
      <w:r w:rsidR="00DD519F">
        <w:t xml:space="preserve">for each community </w:t>
      </w:r>
      <w:r>
        <w:t>(AQHI-C).</w:t>
      </w:r>
    </w:p>
    <w:p w14:paraId="183D8701" w14:textId="77777777" w:rsidR="00467285" w:rsidRDefault="00467285" w:rsidP="00A1765C">
      <w:pPr>
        <w:pStyle w:val="BodyText"/>
        <w:numPr>
          <w:ilvl w:val="2"/>
          <w:numId w:val="2"/>
        </w:numPr>
        <w:spacing w:after="120"/>
      </w:pPr>
      <w:r w:rsidRPr="0009469E">
        <w:t xml:space="preserve">If a 3-hour average is available for </w:t>
      </w:r>
      <w:r w:rsidR="002758D4">
        <w:t>more</w:t>
      </w:r>
      <w:r w:rsidR="006955A2">
        <w:t xml:space="preserve"> than one</w:t>
      </w:r>
      <w:r w:rsidR="002758D4">
        <w:t xml:space="preserve"> </w:t>
      </w:r>
      <w:r w:rsidRPr="0009469E">
        <w:t>station in one community, calculate the community average</w:t>
      </w:r>
      <w:r w:rsidR="00DD519F">
        <w:t xml:space="preserve"> concentration</w:t>
      </w:r>
      <w:r w:rsidRPr="0009469E">
        <w:t xml:space="preserve"> of each pollutant. The community average </w:t>
      </w:r>
      <w:r w:rsidR="00DD519F">
        <w:t xml:space="preserve">concentration </w:t>
      </w:r>
      <w:r w:rsidRPr="0009469E">
        <w:t xml:space="preserve">of each pollutant can be determined by summing the 3-hour concentration averages from all the stations in the community and dividing by the number of stations. </w:t>
      </w:r>
    </w:p>
    <w:p w14:paraId="0B70DE79" w14:textId="77777777" w:rsidR="00467285" w:rsidRDefault="00467285" w:rsidP="00A1765C">
      <w:pPr>
        <w:pStyle w:val="BodyText"/>
        <w:numPr>
          <w:ilvl w:val="2"/>
          <w:numId w:val="2"/>
        </w:numPr>
        <w:spacing w:after="120"/>
      </w:pPr>
      <w:r w:rsidRPr="0009469E">
        <w:t xml:space="preserve">Calculate the sub-AQHI-C for each pollutant using the </w:t>
      </w:r>
      <w:r>
        <w:t>above</w:t>
      </w:r>
      <w:r w:rsidR="0076096C">
        <w:t>-</w:t>
      </w:r>
      <w:r>
        <w:t xml:space="preserve">mentioned </w:t>
      </w:r>
      <w:r w:rsidRPr="0009469E">
        <w:t xml:space="preserve">AQHI formulae applying the community-averaged </w:t>
      </w:r>
      <w:r>
        <w:t>3-</w:t>
      </w:r>
      <w:r w:rsidRPr="0009469E">
        <w:t>hour reading</w:t>
      </w:r>
      <w:r w:rsidR="00A32FF5">
        <w:t>s</w:t>
      </w:r>
      <w:r w:rsidRPr="0009469E">
        <w:t>. Set the AQHI-C to the sum of the sub-AQHI-Cs</w:t>
      </w:r>
      <w:r w:rsidR="00C574F5">
        <w:t xml:space="preserve"> and round to the nearest integer</w:t>
      </w:r>
      <w:r w:rsidRPr="0009469E">
        <w:t>.  Store the AQHI-C of each community.</w:t>
      </w:r>
      <w:r w:rsidR="00125F07" w:rsidRPr="00125F07">
        <w:t xml:space="preserve"> </w:t>
      </w:r>
      <w:r w:rsidR="00125F07">
        <w:t>If the AQHI-C is less than 0.5, then set the value to 1.</w:t>
      </w:r>
    </w:p>
    <w:p w14:paraId="041388C6" w14:textId="77777777" w:rsidR="00F35B95" w:rsidRPr="0009469E" w:rsidRDefault="0005143A" w:rsidP="00A1765C">
      <w:pPr>
        <w:pStyle w:val="BodyText"/>
        <w:ind w:left="360"/>
        <w:jc w:val="center"/>
      </w:pPr>
      <w:r w:rsidRPr="0005143A">
        <w:rPr>
          <w:noProof/>
        </w:rPr>
        <w:lastRenderedPageBreak/>
        <w:drawing>
          <wp:inline distT="0" distB="0" distL="0" distR="0" wp14:anchorId="4B8050F5" wp14:editId="14AE9F1F">
            <wp:extent cx="4795330" cy="6622610"/>
            <wp:effectExtent l="0" t="0" r="571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447" cy="662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2CBF9" w14:textId="77777777" w:rsidR="00E73A14" w:rsidRPr="00E73A14" w:rsidRDefault="00E73A14" w:rsidP="00E73A14">
      <w:pPr>
        <w:pStyle w:val="Caption"/>
        <w:keepNext/>
        <w:spacing w:after="120"/>
        <w:rPr>
          <w:sz w:val="22"/>
          <w:szCs w:val="22"/>
        </w:rPr>
      </w:pPr>
      <w:r w:rsidRPr="00E73A14">
        <w:rPr>
          <w:sz w:val="22"/>
          <w:szCs w:val="22"/>
        </w:rPr>
        <w:t>Figure 2</w:t>
      </w:r>
      <w:r w:rsidR="009F3123">
        <w:rPr>
          <w:sz w:val="22"/>
          <w:szCs w:val="22"/>
        </w:rPr>
        <w:t>.</w:t>
      </w:r>
      <w:r w:rsidRPr="00E73A1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Calculating </w:t>
      </w:r>
      <w:r w:rsidRPr="00E73A14">
        <w:rPr>
          <w:sz w:val="22"/>
          <w:szCs w:val="22"/>
        </w:rPr>
        <w:t xml:space="preserve">AQHI </w:t>
      </w:r>
      <w:r>
        <w:rPr>
          <w:sz w:val="22"/>
          <w:szCs w:val="22"/>
        </w:rPr>
        <w:t>values</w:t>
      </w:r>
      <w:r w:rsidR="0005143A">
        <w:rPr>
          <w:sz w:val="22"/>
          <w:szCs w:val="22"/>
        </w:rPr>
        <w:t xml:space="preserve"> for communities and stations</w:t>
      </w:r>
    </w:p>
    <w:p w14:paraId="5B080A90" w14:textId="77777777" w:rsidR="009917CB" w:rsidRPr="00367D91" w:rsidRDefault="00157E54" w:rsidP="00E94203">
      <w:pPr>
        <w:pStyle w:val="Heading3"/>
        <w:numPr>
          <w:ilvl w:val="0"/>
          <w:numId w:val="2"/>
        </w:numPr>
        <w:tabs>
          <w:tab w:val="clear" w:pos="720"/>
        </w:tabs>
        <w:spacing w:before="0" w:after="120" w:line="240" w:lineRule="auto"/>
        <w:ind w:left="360"/>
        <w:rPr>
          <w:szCs w:val="22"/>
        </w:rPr>
      </w:pPr>
      <w:r w:rsidRPr="00367D91">
        <w:rPr>
          <w:szCs w:val="22"/>
        </w:rPr>
        <w:br w:type="page"/>
      </w:r>
      <w:r w:rsidR="00DC5355">
        <w:rPr>
          <w:szCs w:val="22"/>
        </w:rPr>
        <w:lastRenderedPageBreak/>
        <w:t xml:space="preserve">Ontario’s </w:t>
      </w:r>
      <w:r w:rsidR="00497C6F">
        <w:rPr>
          <w:szCs w:val="22"/>
        </w:rPr>
        <w:t>AQHI Plus</w:t>
      </w:r>
      <w:r w:rsidR="00DC5355">
        <w:rPr>
          <w:szCs w:val="22"/>
        </w:rPr>
        <w:t xml:space="preserve"> (1-10+)</w:t>
      </w:r>
    </w:p>
    <w:p w14:paraId="5E8A20EF" w14:textId="77777777" w:rsidR="00497C6F" w:rsidRDefault="009917CB" w:rsidP="00A1765C">
      <w:pPr>
        <w:pStyle w:val="BodyText"/>
        <w:numPr>
          <w:ilvl w:val="1"/>
          <w:numId w:val="2"/>
        </w:numPr>
        <w:spacing w:after="120" w:line="240" w:lineRule="auto"/>
        <w:ind w:left="0" w:firstLine="0"/>
      </w:pPr>
      <w:r w:rsidRPr="00497C6F">
        <w:t xml:space="preserve">For each station and each community, select and store the </w:t>
      </w:r>
      <w:proofErr w:type="spellStart"/>
      <w:r w:rsidRPr="00497C6F">
        <w:t>mAQI</w:t>
      </w:r>
      <w:proofErr w:type="spellEnd"/>
      <w:r w:rsidRPr="00497C6F">
        <w:t xml:space="preserve"> and AQHI rounded to the nearest integer. </w:t>
      </w:r>
    </w:p>
    <w:p w14:paraId="741E5CDE" w14:textId="77777777" w:rsidR="00497C6F" w:rsidRDefault="009917CB" w:rsidP="00A1765C">
      <w:pPr>
        <w:pStyle w:val="BodyText"/>
        <w:numPr>
          <w:ilvl w:val="1"/>
          <w:numId w:val="2"/>
        </w:numPr>
        <w:spacing w:after="120" w:line="240" w:lineRule="auto"/>
        <w:ind w:left="0" w:firstLine="0"/>
      </w:pPr>
      <w:r w:rsidRPr="00497C6F">
        <w:rPr>
          <w:szCs w:val="22"/>
        </w:rPr>
        <w:t xml:space="preserve">Compare the </w:t>
      </w:r>
      <w:proofErr w:type="spellStart"/>
      <w:r w:rsidRPr="00497C6F">
        <w:rPr>
          <w:szCs w:val="22"/>
        </w:rPr>
        <w:t>mAQI</w:t>
      </w:r>
      <w:proofErr w:type="spellEnd"/>
      <w:r w:rsidRPr="00497C6F">
        <w:rPr>
          <w:szCs w:val="22"/>
        </w:rPr>
        <w:t xml:space="preserve"> and the AQHI for each station and community. Always use the AQHI value for the AQHI</w:t>
      </w:r>
      <w:r w:rsidR="00157E54" w:rsidRPr="00497C6F">
        <w:rPr>
          <w:szCs w:val="22"/>
          <w:vertAlign w:val="superscript"/>
        </w:rPr>
        <w:t xml:space="preserve"> </w:t>
      </w:r>
      <w:r w:rsidR="00157E54" w:rsidRPr="00497C6F">
        <w:rPr>
          <w:szCs w:val="22"/>
        </w:rPr>
        <w:t>Plus</w:t>
      </w:r>
      <w:r w:rsidRPr="00497C6F">
        <w:rPr>
          <w:szCs w:val="22"/>
        </w:rPr>
        <w:t xml:space="preserve">, except when the </w:t>
      </w:r>
      <w:proofErr w:type="spellStart"/>
      <w:r w:rsidRPr="00497C6F">
        <w:rPr>
          <w:szCs w:val="22"/>
        </w:rPr>
        <w:t>mAQI</w:t>
      </w:r>
      <w:proofErr w:type="spellEnd"/>
      <w:r w:rsidRPr="00497C6F">
        <w:rPr>
          <w:szCs w:val="22"/>
        </w:rPr>
        <w:t xml:space="preserve"> is greater than </w:t>
      </w:r>
      <w:r w:rsidR="00157E54" w:rsidRPr="00497C6F">
        <w:rPr>
          <w:szCs w:val="22"/>
        </w:rPr>
        <w:t xml:space="preserve">6 and greater than </w:t>
      </w:r>
      <w:r w:rsidRPr="00497C6F">
        <w:rPr>
          <w:szCs w:val="22"/>
        </w:rPr>
        <w:t>the AQHI</w:t>
      </w:r>
      <w:r w:rsidR="00553D4E">
        <w:rPr>
          <w:szCs w:val="22"/>
        </w:rPr>
        <w:t xml:space="preserve"> or when the </w:t>
      </w:r>
      <w:proofErr w:type="spellStart"/>
      <w:r w:rsidR="00553D4E">
        <w:rPr>
          <w:szCs w:val="22"/>
        </w:rPr>
        <w:t>mAQI</w:t>
      </w:r>
      <w:proofErr w:type="spellEnd"/>
      <w:r w:rsidR="00553D4E">
        <w:rPr>
          <w:szCs w:val="22"/>
        </w:rPr>
        <w:t xml:space="preserve"> is greater than 6 and the AQHI is missing</w:t>
      </w:r>
      <w:r w:rsidRPr="00497C6F">
        <w:rPr>
          <w:szCs w:val="22"/>
        </w:rPr>
        <w:t xml:space="preserve">; then use the </w:t>
      </w:r>
      <w:proofErr w:type="spellStart"/>
      <w:r w:rsidRPr="00497C6F">
        <w:rPr>
          <w:szCs w:val="22"/>
        </w:rPr>
        <w:t>mAQI</w:t>
      </w:r>
      <w:proofErr w:type="spellEnd"/>
      <w:r w:rsidRPr="00497C6F">
        <w:rPr>
          <w:szCs w:val="22"/>
        </w:rPr>
        <w:t xml:space="preserve"> value instead.</w:t>
      </w:r>
    </w:p>
    <w:p w14:paraId="4BDDAE01" w14:textId="77777777" w:rsidR="009917CB" w:rsidRPr="00F35B95" w:rsidRDefault="00F261A4" w:rsidP="00A1765C">
      <w:pPr>
        <w:pStyle w:val="BodyText"/>
        <w:numPr>
          <w:ilvl w:val="1"/>
          <w:numId w:val="2"/>
        </w:numPr>
        <w:spacing w:after="120" w:line="240" w:lineRule="auto"/>
        <w:ind w:left="0" w:firstLine="0"/>
      </w:pPr>
      <w:r>
        <w:rPr>
          <w:szCs w:val="22"/>
        </w:rPr>
        <w:t xml:space="preserve">Store </w:t>
      </w:r>
      <w:r w:rsidR="009917CB" w:rsidRPr="00497C6F">
        <w:rPr>
          <w:szCs w:val="22"/>
        </w:rPr>
        <w:t xml:space="preserve">the </w:t>
      </w:r>
      <w:r w:rsidR="00DD519F" w:rsidRPr="00497C6F">
        <w:rPr>
          <w:szCs w:val="22"/>
        </w:rPr>
        <w:t xml:space="preserve">hourly </w:t>
      </w:r>
      <w:r w:rsidR="009917CB" w:rsidRPr="00497C6F">
        <w:rPr>
          <w:szCs w:val="22"/>
        </w:rPr>
        <w:t>AQHI</w:t>
      </w:r>
      <w:r w:rsidR="00157E54" w:rsidRPr="00497C6F">
        <w:rPr>
          <w:szCs w:val="22"/>
        </w:rPr>
        <w:t xml:space="preserve"> Plus</w:t>
      </w:r>
      <w:r w:rsidR="009917CB" w:rsidRPr="00497C6F">
        <w:rPr>
          <w:szCs w:val="22"/>
        </w:rPr>
        <w:t xml:space="preserve"> with the determining reason (AQHI or </w:t>
      </w:r>
      <w:proofErr w:type="spellStart"/>
      <w:r w:rsidR="009917CB" w:rsidRPr="00497C6F">
        <w:rPr>
          <w:szCs w:val="22"/>
        </w:rPr>
        <w:t>mAQI</w:t>
      </w:r>
      <w:proofErr w:type="spellEnd"/>
      <w:r w:rsidR="009917CB" w:rsidRPr="00497C6F">
        <w:rPr>
          <w:szCs w:val="22"/>
        </w:rPr>
        <w:t>) for each station and community.</w:t>
      </w:r>
    </w:p>
    <w:p w14:paraId="126931DC" w14:textId="77777777" w:rsidR="00F35B95" w:rsidRDefault="00DC5355" w:rsidP="00A1765C">
      <w:pPr>
        <w:pStyle w:val="BodyText"/>
        <w:ind w:left="0"/>
        <w:jc w:val="center"/>
      </w:pPr>
      <w:r w:rsidRPr="00DC5355">
        <w:rPr>
          <w:noProof/>
        </w:rPr>
        <w:drawing>
          <wp:inline distT="0" distB="0" distL="0" distR="0" wp14:anchorId="0A1B331E" wp14:editId="5084CAFB">
            <wp:extent cx="4355069" cy="280657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963" cy="280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A8210" w14:textId="77777777" w:rsidR="00E73A14" w:rsidRPr="009F3123" w:rsidRDefault="00E73A14" w:rsidP="00E73A14">
      <w:pPr>
        <w:pStyle w:val="Caption"/>
        <w:keepNext/>
        <w:spacing w:after="120"/>
        <w:rPr>
          <w:sz w:val="22"/>
          <w:szCs w:val="22"/>
        </w:rPr>
      </w:pPr>
      <w:r w:rsidRPr="009F3123">
        <w:rPr>
          <w:sz w:val="22"/>
          <w:szCs w:val="22"/>
        </w:rPr>
        <w:t>Figure 3</w:t>
      </w:r>
      <w:r w:rsidR="009F3123" w:rsidRPr="009F3123">
        <w:rPr>
          <w:sz w:val="22"/>
          <w:szCs w:val="22"/>
        </w:rPr>
        <w:t>.</w:t>
      </w:r>
      <w:r w:rsidRPr="009F3123">
        <w:rPr>
          <w:sz w:val="22"/>
          <w:szCs w:val="22"/>
        </w:rPr>
        <w:t xml:space="preserve"> </w:t>
      </w:r>
      <w:r w:rsidR="0076682C">
        <w:rPr>
          <w:sz w:val="22"/>
          <w:szCs w:val="22"/>
        </w:rPr>
        <w:t>Calculating</w:t>
      </w:r>
      <w:r w:rsidRPr="009F3123">
        <w:rPr>
          <w:sz w:val="22"/>
          <w:szCs w:val="22"/>
        </w:rPr>
        <w:t xml:space="preserve"> AQHI Plus values</w:t>
      </w:r>
    </w:p>
    <w:p w14:paraId="704C820A" w14:textId="77777777" w:rsidR="00F35B95" w:rsidRPr="009F3123" w:rsidRDefault="00F35B95" w:rsidP="00F35B95">
      <w:pPr>
        <w:pStyle w:val="BodyText"/>
        <w:ind w:left="0"/>
      </w:pPr>
    </w:p>
    <w:p w14:paraId="4225BEDB" w14:textId="77777777" w:rsidR="00C46CB4" w:rsidRPr="00367D91" w:rsidRDefault="00DC5355" w:rsidP="00A1765C">
      <w:pPr>
        <w:pStyle w:val="Heading3"/>
        <w:numPr>
          <w:ilvl w:val="0"/>
          <w:numId w:val="2"/>
        </w:numPr>
        <w:tabs>
          <w:tab w:val="clear" w:pos="720"/>
        </w:tabs>
        <w:spacing w:before="0" w:after="120" w:line="240" w:lineRule="auto"/>
        <w:ind w:left="360"/>
        <w:rPr>
          <w:szCs w:val="22"/>
        </w:rPr>
      </w:pPr>
      <w:r>
        <w:rPr>
          <w:szCs w:val="22"/>
        </w:rPr>
        <w:t>Associated Advisory Program</w:t>
      </w:r>
      <w:r w:rsidR="00333A17" w:rsidRPr="00367D91">
        <w:rPr>
          <w:szCs w:val="22"/>
        </w:rPr>
        <w:t xml:space="preserve"> </w:t>
      </w:r>
    </w:p>
    <w:p w14:paraId="3D17AFE6" w14:textId="094E601B" w:rsidR="00C46CB4" w:rsidRPr="00D841B1" w:rsidRDefault="00C50A74" w:rsidP="00A1765C">
      <w:pPr>
        <w:pStyle w:val="BodyText"/>
        <w:numPr>
          <w:ilvl w:val="1"/>
          <w:numId w:val="2"/>
        </w:numPr>
        <w:spacing w:after="120" w:line="240" w:lineRule="auto"/>
        <w:ind w:left="0" w:firstLine="0"/>
        <w:rPr>
          <w:szCs w:val="22"/>
        </w:rPr>
      </w:pPr>
      <w:r w:rsidRPr="00A97F5F">
        <w:rPr>
          <w:szCs w:val="22"/>
        </w:rPr>
        <w:t xml:space="preserve">Environment </w:t>
      </w:r>
      <w:r w:rsidR="00E67E2E">
        <w:rPr>
          <w:szCs w:val="22"/>
        </w:rPr>
        <w:t>and Climate Change</w:t>
      </w:r>
      <w:r w:rsidRPr="00A97F5F">
        <w:rPr>
          <w:szCs w:val="22"/>
        </w:rPr>
        <w:t xml:space="preserve"> </w:t>
      </w:r>
      <w:r w:rsidR="00E76886">
        <w:rPr>
          <w:szCs w:val="22"/>
        </w:rPr>
        <w:t xml:space="preserve">Canada </w:t>
      </w:r>
      <w:r w:rsidRPr="00A97F5F">
        <w:rPr>
          <w:szCs w:val="22"/>
        </w:rPr>
        <w:t>forecast</w:t>
      </w:r>
      <w:r w:rsidR="00A97F5F">
        <w:rPr>
          <w:szCs w:val="22"/>
        </w:rPr>
        <w:t>s</w:t>
      </w:r>
      <w:r w:rsidRPr="00A97F5F">
        <w:rPr>
          <w:szCs w:val="22"/>
        </w:rPr>
        <w:t xml:space="preserve"> AQHI </w:t>
      </w:r>
      <w:r w:rsidR="00D841B1">
        <w:rPr>
          <w:szCs w:val="22"/>
        </w:rPr>
        <w:t xml:space="preserve">Plus </w:t>
      </w:r>
      <w:r w:rsidR="00A97F5F">
        <w:rPr>
          <w:szCs w:val="22"/>
        </w:rPr>
        <w:t xml:space="preserve">numeric </w:t>
      </w:r>
      <w:r w:rsidRPr="00A97F5F">
        <w:rPr>
          <w:szCs w:val="22"/>
        </w:rPr>
        <w:t xml:space="preserve">values using near-real-time measurements and air quality forecast models. </w:t>
      </w:r>
    </w:p>
    <w:p w14:paraId="50C3EA50" w14:textId="1EC9A5CE" w:rsidR="00A97F5F" w:rsidRDefault="00514F22" w:rsidP="00A1765C">
      <w:pPr>
        <w:pStyle w:val="BodyText"/>
        <w:numPr>
          <w:ilvl w:val="1"/>
          <w:numId w:val="2"/>
        </w:numPr>
        <w:spacing w:after="120" w:line="240" w:lineRule="auto"/>
        <w:ind w:left="0" w:firstLine="0"/>
        <w:rPr>
          <w:szCs w:val="22"/>
        </w:rPr>
      </w:pPr>
      <w:r w:rsidRPr="00367D91">
        <w:rPr>
          <w:szCs w:val="22"/>
        </w:rPr>
        <w:t xml:space="preserve">If, according to the </w:t>
      </w:r>
      <w:r w:rsidR="00E76886">
        <w:rPr>
          <w:szCs w:val="22"/>
        </w:rPr>
        <w:t>37</w:t>
      </w:r>
      <w:r w:rsidR="006955A2">
        <w:rPr>
          <w:szCs w:val="22"/>
        </w:rPr>
        <w:t>-hour</w:t>
      </w:r>
      <w:r w:rsidRPr="00367D91">
        <w:rPr>
          <w:szCs w:val="22"/>
        </w:rPr>
        <w:t xml:space="preserve"> AQHI Plus forecast, the AQHI Plus</w:t>
      </w:r>
      <w:r w:rsidRPr="00A97F5F">
        <w:rPr>
          <w:szCs w:val="22"/>
        </w:rPr>
        <w:t xml:space="preserve"> </w:t>
      </w:r>
      <w:r w:rsidRPr="00367D91">
        <w:rPr>
          <w:szCs w:val="22"/>
        </w:rPr>
        <w:t>is expected to be in the “high risk” category for ≥3 hours (persistent)</w:t>
      </w:r>
      <w:r w:rsidR="0035244D">
        <w:rPr>
          <w:szCs w:val="22"/>
        </w:rPr>
        <w:t>, issue a S</w:t>
      </w:r>
      <w:r w:rsidRPr="00367D91">
        <w:rPr>
          <w:szCs w:val="22"/>
        </w:rPr>
        <w:t>mog</w:t>
      </w:r>
      <w:r w:rsidR="0035244D">
        <w:rPr>
          <w:szCs w:val="22"/>
        </w:rPr>
        <w:t xml:space="preserve"> and Air Health</w:t>
      </w:r>
      <w:r w:rsidRPr="00367D91">
        <w:rPr>
          <w:szCs w:val="22"/>
        </w:rPr>
        <w:t xml:space="preserve"> </w:t>
      </w:r>
      <w:r w:rsidR="0035244D">
        <w:rPr>
          <w:szCs w:val="22"/>
        </w:rPr>
        <w:t>A</w:t>
      </w:r>
      <w:r w:rsidRPr="00367D91">
        <w:rPr>
          <w:szCs w:val="22"/>
        </w:rPr>
        <w:t>dvisory</w:t>
      </w:r>
      <w:r w:rsidR="00DD519F">
        <w:rPr>
          <w:szCs w:val="22"/>
        </w:rPr>
        <w:t xml:space="preserve"> to the public</w:t>
      </w:r>
      <w:r w:rsidRPr="00367D91">
        <w:rPr>
          <w:szCs w:val="22"/>
        </w:rPr>
        <w:t xml:space="preserve">. </w:t>
      </w:r>
    </w:p>
    <w:p w14:paraId="0700DE26" w14:textId="77777777" w:rsidR="00A97F5F" w:rsidRDefault="00514F22" w:rsidP="00A1765C">
      <w:pPr>
        <w:pStyle w:val="BodyText"/>
        <w:numPr>
          <w:ilvl w:val="1"/>
          <w:numId w:val="2"/>
        </w:numPr>
        <w:spacing w:after="120" w:line="240" w:lineRule="auto"/>
        <w:ind w:left="0" w:firstLine="0"/>
        <w:rPr>
          <w:szCs w:val="22"/>
        </w:rPr>
      </w:pPr>
      <w:r w:rsidRPr="00367D91">
        <w:rPr>
          <w:szCs w:val="22"/>
        </w:rPr>
        <w:t xml:space="preserve">If the “high risk” air quality condition is </w:t>
      </w:r>
      <w:r w:rsidR="006E38F6">
        <w:rPr>
          <w:szCs w:val="22"/>
        </w:rPr>
        <w:t>expect</w:t>
      </w:r>
      <w:r w:rsidR="00333A17">
        <w:rPr>
          <w:szCs w:val="22"/>
        </w:rPr>
        <w:t>ed</w:t>
      </w:r>
      <w:r w:rsidRPr="00367D91">
        <w:rPr>
          <w:szCs w:val="22"/>
        </w:rPr>
        <w:t xml:space="preserve"> to </w:t>
      </w:r>
      <w:r w:rsidR="00333A17">
        <w:rPr>
          <w:szCs w:val="22"/>
        </w:rPr>
        <w:t>last for 1 or 2 hours</w:t>
      </w:r>
      <w:r w:rsidRPr="00367D91">
        <w:rPr>
          <w:szCs w:val="22"/>
        </w:rPr>
        <w:t xml:space="preserve">, issue a </w:t>
      </w:r>
      <w:r w:rsidR="0035244D">
        <w:rPr>
          <w:szCs w:val="22"/>
        </w:rPr>
        <w:t>S</w:t>
      </w:r>
      <w:r w:rsidRPr="00367D91">
        <w:rPr>
          <w:szCs w:val="22"/>
        </w:rPr>
        <w:t xml:space="preserve">pecial </w:t>
      </w:r>
      <w:r w:rsidR="0035244D">
        <w:rPr>
          <w:szCs w:val="22"/>
        </w:rPr>
        <w:t>A</w:t>
      </w:r>
      <w:r w:rsidRPr="00367D91">
        <w:rPr>
          <w:szCs w:val="22"/>
        </w:rPr>
        <w:t xml:space="preserve">ir </w:t>
      </w:r>
      <w:r w:rsidR="0035244D">
        <w:rPr>
          <w:szCs w:val="22"/>
        </w:rPr>
        <w:t>Q</w:t>
      </w:r>
      <w:r w:rsidRPr="00367D91">
        <w:rPr>
          <w:szCs w:val="22"/>
        </w:rPr>
        <w:t xml:space="preserve">uality </w:t>
      </w:r>
      <w:r w:rsidR="0035244D">
        <w:rPr>
          <w:szCs w:val="22"/>
        </w:rPr>
        <w:t>S</w:t>
      </w:r>
      <w:r w:rsidRPr="00367D91">
        <w:rPr>
          <w:szCs w:val="22"/>
        </w:rPr>
        <w:t>tatement</w:t>
      </w:r>
      <w:r w:rsidR="004F40CB">
        <w:rPr>
          <w:szCs w:val="22"/>
        </w:rPr>
        <w:t xml:space="preserve"> to the public</w:t>
      </w:r>
      <w:r w:rsidRPr="00367D91">
        <w:rPr>
          <w:szCs w:val="22"/>
        </w:rPr>
        <w:t xml:space="preserve">. </w:t>
      </w:r>
    </w:p>
    <w:p w14:paraId="47571E89" w14:textId="77777777" w:rsidR="00C45AD3" w:rsidRDefault="00514F22" w:rsidP="00A1765C">
      <w:pPr>
        <w:pStyle w:val="BodyText"/>
        <w:numPr>
          <w:ilvl w:val="1"/>
          <w:numId w:val="2"/>
        </w:numPr>
        <w:spacing w:after="120" w:line="240" w:lineRule="auto"/>
        <w:ind w:left="0" w:firstLine="0"/>
        <w:rPr>
          <w:szCs w:val="22"/>
        </w:rPr>
      </w:pPr>
      <w:r w:rsidRPr="00367D91">
        <w:rPr>
          <w:szCs w:val="22"/>
        </w:rPr>
        <w:t>Otherwise, take no action.</w:t>
      </w:r>
    </w:p>
    <w:p w14:paraId="743B5997" w14:textId="7C761E80" w:rsidR="009D488D" w:rsidRDefault="00E76886" w:rsidP="00A1765C">
      <w:pPr>
        <w:pStyle w:val="BodyText"/>
        <w:ind w:left="0"/>
        <w:jc w:val="center"/>
        <w:rPr>
          <w:szCs w:val="22"/>
        </w:rPr>
      </w:pPr>
      <w:r w:rsidRPr="00E76886">
        <w:rPr>
          <w:noProof/>
        </w:rPr>
        <w:lastRenderedPageBreak/>
        <w:drawing>
          <wp:inline distT="0" distB="0" distL="0" distR="0" wp14:anchorId="41EBCB9C" wp14:editId="5EA1B3A8">
            <wp:extent cx="3857625" cy="3876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8DE4F" w14:textId="3FE933D0" w:rsidR="00E73A14" w:rsidRPr="00E73A14" w:rsidRDefault="00E73A14" w:rsidP="00E73A14">
      <w:pPr>
        <w:pStyle w:val="Caption"/>
        <w:keepNext/>
        <w:spacing w:after="120"/>
        <w:rPr>
          <w:sz w:val="22"/>
          <w:szCs w:val="22"/>
        </w:rPr>
      </w:pPr>
      <w:r w:rsidRPr="00E73A14">
        <w:rPr>
          <w:sz w:val="22"/>
          <w:szCs w:val="22"/>
        </w:rPr>
        <w:t xml:space="preserve">Figure </w:t>
      </w:r>
      <w:r>
        <w:rPr>
          <w:sz w:val="22"/>
          <w:szCs w:val="22"/>
        </w:rPr>
        <w:t>4</w:t>
      </w:r>
      <w:r w:rsidR="009F3123">
        <w:rPr>
          <w:sz w:val="22"/>
          <w:szCs w:val="22"/>
        </w:rPr>
        <w:t>.</w:t>
      </w:r>
      <w:r w:rsidRPr="00E73A1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Issuing an air quality </w:t>
      </w:r>
      <w:r w:rsidR="008D3C59">
        <w:rPr>
          <w:sz w:val="22"/>
          <w:szCs w:val="22"/>
        </w:rPr>
        <w:t>alert</w:t>
      </w:r>
    </w:p>
    <w:p w14:paraId="37A53845" w14:textId="77777777" w:rsidR="00E73A14" w:rsidRDefault="00E73A14" w:rsidP="00E73A14">
      <w:pPr>
        <w:pStyle w:val="BodyText"/>
        <w:ind w:left="0"/>
        <w:rPr>
          <w:szCs w:val="22"/>
        </w:rPr>
      </w:pPr>
    </w:p>
    <w:p w14:paraId="586C720D" w14:textId="77777777" w:rsidR="00C45AD3" w:rsidRDefault="00043DF2" w:rsidP="00A1765C">
      <w:pPr>
        <w:pStyle w:val="Heading3"/>
        <w:numPr>
          <w:ilvl w:val="0"/>
          <w:numId w:val="2"/>
        </w:numPr>
        <w:tabs>
          <w:tab w:val="clear" w:pos="720"/>
        </w:tabs>
        <w:spacing w:before="0" w:after="120" w:line="240" w:lineRule="auto"/>
        <w:ind w:left="360"/>
        <w:rPr>
          <w:szCs w:val="22"/>
        </w:rPr>
      </w:pPr>
      <w:r>
        <w:rPr>
          <w:szCs w:val="22"/>
        </w:rPr>
        <w:t>References</w:t>
      </w:r>
    </w:p>
    <w:p w14:paraId="53604566" w14:textId="77777777" w:rsidR="00C45AD3" w:rsidRDefault="00C45AD3" w:rsidP="00A1765C">
      <w:pPr>
        <w:pStyle w:val="BodyText"/>
        <w:numPr>
          <w:ilvl w:val="1"/>
          <w:numId w:val="2"/>
        </w:numPr>
        <w:spacing w:after="120" w:line="240" w:lineRule="auto"/>
        <w:ind w:left="0" w:firstLine="0"/>
        <w:rPr>
          <w:szCs w:val="22"/>
        </w:rPr>
      </w:pPr>
      <w:r>
        <w:rPr>
          <w:szCs w:val="22"/>
        </w:rPr>
        <w:t>Ontario Ministry of the Environment. 2013. Air Quality in Ontario</w:t>
      </w:r>
      <w:r w:rsidR="00313637">
        <w:rPr>
          <w:szCs w:val="22"/>
        </w:rPr>
        <w:t xml:space="preserve"> – Report for 2011. PIBS 9196e.</w:t>
      </w:r>
    </w:p>
    <w:p w14:paraId="2F532A61" w14:textId="77777777" w:rsidR="00137E46" w:rsidRPr="00C45AD3" w:rsidRDefault="00137E46" w:rsidP="00A1765C">
      <w:pPr>
        <w:pStyle w:val="BodyText"/>
        <w:numPr>
          <w:ilvl w:val="1"/>
          <w:numId w:val="2"/>
        </w:numPr>
        <w:spacing w:after="120" w:line="240" w:lineRule="auto"/>
        <w:ind w:left="0" w:firstLine="0"/>
        <w:rPr>
          <w:szCs w:val="22"/>
        </w:rPr>
      </w:pPr>
      <w:r>
        <w:rPr>
          <w:szCs w:val="22"/>
        </w:rPr>
        <w:t xml:space="preserve">Chen, H. and R. Copes. 2013. Review of Air Quality Index and Air Quality Health Index. Public Health Ontario. </w:t>
      </w:r>
    </w:p>
    <w:p w14:paraId="248D9A4A" w14:textId="77777777" w:rsidR="002758D4" w:rsidRDefault="00C45AD3" w:rsidP="00A1765C">
      <w:pPr>
        <w:pStyle w:val="BodyText"/>
        <w:numPr>
          <w:ilvl w:val="1"/>
          <w:numId w:val="2"/>
        </w:numPr>
        <w:spacing w:after="120" w:line="240" w:lineRule="auto"/>
        <w:ind w:left="0" w:firstLine="0"/>
        <w:rPr>
          <w:szCs w:val="22"/>
        </w:rPr>
      </w:pPr>
      <w:proofErr w:type="spellStart"/>
      <w:r w:rsidRPr="00C45AD3">
        <w:rPr>
          <w:szCs w:val="22"/>
        </w:rPr>
        <w:t>Mignacca</w:t>
      </w:r>
      <w:proofErr w:type="spellEnd"/>
      <w:r w:rsidRPr="00C45AD3">
        <w:rPr>
          <w:szCs w:val="22"/>
        </w:rPr>
        <w:t xml:space="preserve">, D., Fraser, D., Yap, D. and Fudge, D. </w:t>
      </w:r>
      <w:r>
        <w:rPr>
          <w:szCs w:val="22"/>
        </w:rPr>
        <w:t xml:space="preserve">1991. A Guide to the Ontario Air Quality Index System. Ontario Ministry of the Environment. </w:t>
      </w:r>
    </w:p>
    <w:p w14:paraId="6764D48F" w14:textId="77777777" w:rsidR="002758D4" w:rsidRPr="002758D4" w:rsidRDefault="002758D4" w:rsidP="002758D4">
      <w:pPr>
        <w:pStyle w:val="BodyText"/>
        <w:numPr>
          <w:ilvl w:val="1"/>
          <w:numId w:val="2"/>
        </w:numPr>
        <w:spacing w:after="120" w:line="240" w:lineRule="auto"/>
        <w:ind w:left="0" w:firstLine="0"/>
        <w:rPr>
          <w:szCs w:val="22"/>
        </w:rPr>
      </w:pPr>
      <w:proofErr w:type="spellStart"/>
      <w:r w:rsidRPr="002758D4">
        <w:rPr>
          <w:szCs w:val="22"/>
        </w:rPr>
        <w:t>Stieb</w:t>
      </w:r>
      <w:proofErr w:type="spellEnd"/>
      <w:r w:rsidRPr="002758D4">
        <w:rPr>
          <w:szCs w:val="22"/>
        </w:rPr>
        <w:t xml:space="preserve">, D.M., Burnett, R.T., Smith-Doiron, M., </w:t>
      </w:r>
      <w:proofErr w:type="spellStart"/>
      <w:r w:rsidRPr="002758D4">
        <w:rPr>
          <w:szCs w:val="22"/>
        </w:rPr>
        <w:t>Brion</w:t>
      </w:r>
      <w:proofErr w:type="spellEnd"/>
      <w:r w:rsidRPr="002758D4">
        <w:rPr>
          <w:szCs w:val="22"/>
        </w:rPr>
        <w:t xml:space="preserve">, O., Shin, H.H. and Economou V. 2008. A New Multipollutant, No-Threshold Air Quality Health Index Based on Short-Term Associations Observed in Daily Time-Series Analyses. </w:t>
      </w:r>
      <w:r w:rsidRPr="002758D4">
        <w:rPr>
          <w:i/>
          <w:iCs/>
          <w:szCs w:val="22"/>
        </w:rPr>
        <w:t xml:space="preserve">J. Air &amp; Waste Manage. Assoc. </w:t>
      </w:r>
      <w:r w:rsidRPr="002758D4">
        <w:rPr>
          <w:b/>
          <w:bCs/>
          <w:szCs w:val="22"/>
        </w:rPr>
        <w:t>58</w:t>
      </w:r>
      <w:r w:rsidRPr="002758D4">
        <w:rPr>
          <w:szCs w:val="22"/>
        </w:rPr>
        <w:t>:435–450</w:t>
      </w:r>
    </w:p>
    <w:sectPr w:rsidR="002758D4" w:rsidRPr="002758D4" w:rsidSect="00A1765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72AB7" w14:textId="77777777" w:rsidR="00E40FDC" w:rsidRDefault="00E40FDC" w:rsidP="00E11BB1">
      <w:r>
        <w:separator/>
      </w:r>
    </w:p>
  </w:endnote>
  <w:endnote w:type="continuationSeparator" w:id="0">
    <w:p w14:paraId="3EA834B8" w14:textId="77777777" w:rsidR="00E40FDC" w:rsidRDefault="00E40FDC" w:rsidP="00E11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DAB5D" w14:textId="77777777" w:rsidR="000E3B5D" w:rsidRDefault="000E3B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5880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DEA2FD" w14:textId="77777777" w:rsidR="00E11BB1" w:rsidRDefault="00E11B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4D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1F8D0A" w14:textId="77777777" w:rsidR="00E11BB1" w:rsidRDefault="00E11B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0BD3C" w14:textId="77777777" w:rsidR="000E3B5D" w:rsidRDefault="000E3B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CD0AF" w14:textId="77777777" w:rsidR="00E40FDC" w:rsidRDefault="00E40FDC" w:rsidP="00E11BB1">
      <w:r>
        <w:separator/>
      </w:r>
    </w:p>
  </w:footnote>
  <w:footnote w:type="continuationSeparator" w:id="0">
    <w:p w14:paraId="078073DD" w14:textId="77777777" w:rsidR="00E40FDC" w:rsidRDefault="00E40FDC" w:rsidP="00E11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7AC52" w14:textId="77777777" w:rsidR="000E3B5D" w:rsidRDefault="000E3B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22C40" w14:textId="77777777" w:rsidR="00D571F4" w:rsidRDefault="00D571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7EB01" w14:textId="77777777" w:rsidR="000E3B5D" w:rsidRDefault="000E3B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913A2"/>
    <w:multiLevelType w:val="hybridMultilevel"/>
    <w:tmpl w:val="CB003416"/>
    <w:lvl w:ilvl="0" w:tplc="772C2FC8">
      <w:start w:val="1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C4442E"/>
    <w:multiLevelType w:val="hybridMultilevel"/>
    <w:tmpl w:val="1CDA2542"/>
    <w:lvl w:ilvl="0" w:tplc="C6F8B8A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B7EC5"/>
    <w:multiLevelType w:val="multilevel"/>
    <w:tmpl w:val="5EA8D608"/>
    <w:lvl w:ilvl="0"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9500"/>
      <w:numFmt w:val="decimalZero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06905CB"/>
    <w:multiLevelType w:val="hybridMultilevel"/>
    <w:tmpl w:val="FEDCE0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02EE8"/>
    <w:multiLevelType w:val="multilevel"/>
    <w:tmpl w:val="B58A0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25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D670483"/>
    <w:multiLevelType w:val="hybridMultilevel"/>
    <w:tmpl w:val="40463D58"/>
    <w:lvl w:ilvl="0" w:tplc="C9929FF0">
      <w:start w:val="1"/>
      <w:numFmt w:val="upperLetter"/>
      <w:lvlText w:val="%1)"/>
      <w:lvlJc w:val="left"/>
      <w:pPr>
        <w:ind w:left="360" w:hanging="360"/>
      </w:pPr>
      <w:rPr>
        <w:rFonts w:ascii="Calibri" w:eastAsia="Times New Roman" w:hAnsi="Calibri" w:cs="Calibri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630A36"/>
    <w:multiLevelType w:val="hybridMultilevel"/>
    <w:tmpl w:val="B0F654A4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940256"/>
    <w:multiLevelType w:val="multilevel"/>
    <w:tmpl w:val="AAC60DC8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Restart w:val="0"/>
      <w:pStyle w:val="Heading2"/>
      <w:lvlText w:val="%1.%2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0F5633E"/>
    <w:multiLevelType w:val="hybridMultilevel"/>
    <w:tmpl w:val="9132B65E"/>
    <w:lvl w:ilvl="0" w:tplc="A9546C70">
      <w:start w:val="1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E32AC5"/>
    <w:multiLevelType w:val="hybridMultilevel"/>
    <w:tmpl w:val="AC54B34E"/>
    <w:lvl w:ilvl="0" w:tplc="C58410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  <w:color w:val="auto"/>
      </w:rPr>
    </w:lvl>
    <w:lvl w:ilvl="2" w:tplc="1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D63A8"/>
    <w:multiLevelType w:val="hybridMultilevel"/>
    <w:tmpl w:val="1CDA2542"/>
    <w:lvl w:ilvl="0" w:tplc="C6F8B8A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570E2"/>
    <w:multiLevelType w:val="hybridMultilevel"/>
    <w:tmpl w:val="3E7438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6CA06F7"/>
    <w:multiLevelType w:val="hybridMultilevel"/>
    <w:tmpl w:val="8F4018A2"/>
    <w:lvl w:ilvl="0" w:tplc="577A76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B2642D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  <w:szCs w:val="20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47489"/>
    <w:multiLevelType w:val="hybridMultilevel"/>
    <w:tmpl w:val="0A281F9E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11"/>
  </w:num>
  <w:num w:numId="8">
    <w:abstractNumId w:val="2"/>
  </w:num>
  <w:num w:numId="9">
    <w:abstractNumId w:val="10"/>
  </w:num>
  <w:num w:numId="10">
    <w:abstractNumId w:val="1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3"/>
  </w:num>
  <w:num w:numId="16">
    <w:abstractNumId w:val="13"/>
  </w:num>
  <w:num w:numId="17">
    <w:abstractNumId w:val="9"/>
  </w:num>
  <w:num w:numId="18">
    <w:abstractNumId w:val="12"/>
  </w:num>
  <w:num w:numId="19">
    <w:abstractNumId w:val="7"/>
  </w:num>
  <w:num w:numId="20">
    <w:abstractNumId w:val="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74"/>
    <w:rsid w:val="00042302"/>
    <w:rsid w:val="00043DF2"/>
    <w:rsid w:val="0005143A"/>
    <w:rsid w:val="000603A3"/>
    <w:rsid w:val="00072665"/>
    <w:rsid w:val="000730AA"/>
    <w:rsid w:val="0009469E"/>
    <w:rsid w:val="000A4FA6"/>
    <w:rsid w:val="000B218C"/>
    <w:rsid w:val="000D2564"/>
    <w:rsid w:val="000E3B5D"/>
    <w:rsid w:val="00115CAE"/>
    <w:rsid w:val="00125F07"/>
    <w:rsid w:val="00137E46"/>
    <w:rsid w:val="00142336"/>
    <w:rsid w:val="00157E54"/>
    <w:rsid w:val="00160F38"/>
    <w:rsid w:val="00171828"/>
    <w:rsid w:val="0018013C"/>
    <w:rsid w:val="001A4774"/>
    <w:rsid w:val="001C5174"/>
    <w:rsid w:val="001D3696"/>
    <w:rsid w:val="001F3690"/>
    <w:rsid w:val="00217FC0"/>
    <w:rsid w:val="002217AF"/>
    <w:rsid w:val="002627B0"/>
    <w:rsid w:val="00266B73"/>
    <w:rsid w:val="002758D4"/>
    <w:rsid w:val="00287286"/>
    <w:rsid w:val="00292534"/>
    <w:rsid w:val="0029731B"/>
    <w:rsid w:val="002B335F"/>
    <w:rsid w:val="002B5901"/>
    <w:rsid w:val="002D7CBD"/>
    <w:rsid w:val="002D7F08"/>
    <w:rsid w:val="002E2A24"/>
    <w:rsid w:val="0030120B"/>
    <w:rsid w:val="00311A20"/>
    <w:rsid w:val="00313637"/>
    <w:rsid w:val="00332792"/>
    <w:rsid w:val="00333A17"/>
    <w:rsid w:val="003413F8"/>
    <w:rsid w:val="00342069"/>
    <w:rsid w:val="0035244D"/>
    <w:rsid w:val="00367D91"/>
    <w:rsid w:val="00372B21"/>
    <w:rsid w:val="00387978"/>
    <w:rsid w:val="00404C88"/>
    <w:rsid w:val="00415949"/>
    <w:rsid w:val="00467285"/>
    <w:rsid w:val="00497C6F"/>
    <w:rsid w:val="004C26CF"/>
    <w:rsid w:val="004F40CB"/>
    <w:rsid w:val="00511640"/>
    <w:rsid w:val="00514F22"/>
    <w:rsid w:val="00542DA4"/>
    <w:rsid w:val="00553D4E"/>
    <w:rsid w:val="005A450D"/>
    <w:rsid w:val="005D251B"/>
    <w:rsid w:val="00642B38"/>
    <w:rsid w:val="00664700"/>
    <w:rsid w:val="006955A2"/>
    <w:rsid w:val="006A672A"/>
    <w:rsid w:val="006C5FBB"/>
    <w:rsid w:val="006E38F6"/>
    <w:rsid w:val="006E6B08"/>
    <w:rsid w:val="00700362"/>
    <w:rsid w:val="00734049"/>
    <w:rsid w:val="00734D71"/>
    <w:rsid w:val="0076096C"/>
    <w:rsid w:val="0076682C"/>
    <w:rsid w:val="00774C41"/>
    <w:rsid w:val="007976A3"/>
    <w:rsid w:val="007A5438"/>
    <w:rsid w:val="007B2243"/>
    <w:rsid w:val="007C15D3"/>
    <w:rsid w:val="007C2166"/>
    <w:rsid w:val="007D4D68"/>
    <w:rsid w:val="0082656A"/>
    <w:rsid w:val="00836757"/>
    <w:rsid w:val="00864481"/>
    <w:rsid w:val="0089228C"/>
    <w:rsid w:val="008B1ED9"/>
    <w:rsid w:val="008C6B66"/>
    <w:rsid w:val="008D3C59"/>
    <w:rsid w:val="008E4222"/>
    <w:rsid w:val="008F5EBF"/>
    <w:rsid w:val="00905F34"/>
    <w:rsid w:val="00915916"/>
    <w:rsid w:val="0092135D"/>
    <w:rsid w:val="00960252"/>
    <w:rsid w:val="00966476"/>
    <w:rsid w:val="00971141"/>
    <w:rsid w:val="009917CB"/>
    <w:rsid w:val="009C26BF"/>
    <w:rsid w:val="009C5B95"/>
    <w:rsid w:val="009D2EAF"/>
    <w:rsid w:val="009D488D"/>
    <w:rsid w:val="009F3123"/>
    <w:rsid w:val="00A1197C"/>
    <w:rsid w:val="00A1765C"/>
    <w:rsid w:val="00A27479"/>
    <w:rsid w:val="00A32FF5"/>
    <w:rsid w:val="00A62270"/>
    <w:rsid w:val="00A648D9"/>
    <w:rsid w:val="00A80346"/>
    <w:rsid w:val="00A96369"/>
    <w:rsid w:val="00A97F5F"/>
    <w:rsid w:val="00AC0DFF"/>
    <w:rsid w:val="00AC1AF4"/>
    <w:rsid w:val="00AF1657"/>
    <w:rsid w:val="00B337A9"/>
    <w:rsid w:val="00B42B9B"/>
    <w:rsid w:val="00B47C8D"/>
    <w:rsid w:val="00B7299A"/>
    <w:rsid w:val="00B72D5D"/>
    <w:rsid w:val="00B90193"/>
    <w:rsid w:val="00BA0314"/>
    <w:rsid w:val="00BD55FE"/>
    <w:rsid w:val="00BD5BE1"/>
    <w:rsid w:val="00BE229D"/>
    <w:rsid w:val="00BF044F"/>
    <w:rsid w:val="00BF3697"/>
    <w:rsid w:val="00C01242"/>
    <w:rsid w:val="00C24E27"/>
    <w:rsid w:val="00C45AD3"/>
    <w:rsid w:val="00C46CB4"/>
    <w:rsid w:val="00C50A74"/>
    <w:rsid w:val="00C574F5"/>
    <w:rsid w:val="00C66C23"/>
    <w:rsid w:val="00CB4F92"/>
    <w:rsid w:val="00CC1414"/>
    <w:rsid w:val="00CC70E0"/>
    <w:rsid w:val="00CD60CC"/>
    <w:rsid w:val="00CE4872"/>
    <w:rsid w:val="00CF654B"/>
    <w:rsid w:val="00D0184D"/>
    <w:rsid w:val="00D0487C"/>
    <w:rsid w:val="00D20057"/>
    <w:rsid w:val="00D571F4"/>
    <w:rsid w:val="00D646DC"/>
    <w:rsid w:val="00D841B1"/>
    <w:rsid w:val="00DC0D22"/>
    <w:rsid w:val="00DC5355"/>
    <w:rsid w:val="00DD519F"/>
    <w:rsid w:val="00DE3F32"/>
    <w:rsid w:val="00E021F6"/>
    <w:rsid w:val="00E04C28"/>
    <w:rsid w:val="00E11BB1"/>
    <w:rsid w:val="00E20C50"/>
    <w:rsid w:val="00E26220"/>
    <w:rsid w:val="00E40FDC"/>
    <w:rsid w:val="00E438D4"/>
    <w:rsid w:val="00E50052"/>
    <w:rsid w:val="00E67E2E"/>
    <w:rsid w:val="00E73A14"/>
    <w:rsid w:val="00E76886"/>
    <w:rsid w:val="00E90E22"/>
    <w:rsid w:val="00E91D23"/>
    <w:rsid w:val="00E94203"/>
    <w:rsid w:val="00EC68F3"/>
    <w:rsid w:val="00ED2679"/>
    <w:rsid w:val="00EE7033"/>
    <w:rsid w:val="00EF4DDD"/>
    <w:rsid w:val="00F0460F"/>
    <w:rsid w:val="00F13FA4"/>
    <w:rsid w:val="00F15BDA"/>
    <w:rsid w:val="00F1645C"/>
    <w:rsid w:val="00F234EB"/>
    <w:rsid w:val="00F261A4"/>
    <w:rsid w:val="00F35B95"/>
    <w:rsid w:val="00F5128E"/>
    <w:rsid w:val="00F6075E"/>
    <w:rsid w:val="00F70674"/>
    <w:rsid w:val="00F97605"/>
    <w:rsid w:val="00FD65ED"/>
    <w:rsid w:val="00FE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  <w14:docId w14:val="2F7BA4A1"/>
  <w15:docId w15:val="{699F1A9A-65AB-4288-B9B4-60829A49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sz w:val="22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5174"/>
  </w:style>
  <w:style w:type="paragraph" w:styleId="Heading1">
    <w:name w:val="heading 1"/>
    <w:basedOn w:val="Normal"/>
    <w:next w:val="Normal"/>
    <w:link w:val="Heading1Char"/>
    <w:qFormat/>
    <w:rsid w:val="00A96369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qFormat/>
    <w:rsid w:val="001C5174"/>
    <w:pPr>
      <w:keepNext/>
      <w:keepLines/>
      <w:numPr>
        <w:ilvl w:val="1"/>
        <w:numId w:val="1"/>
      </w:numPr>
      <w:spacing w:before="140" w:after="60" w:line="220" w:lineRule="atLeast"/>
      <w:outlineLvl w:val="1"/>
    </w:pPr>
    <w:rPr>
      <w:b/>
      <w:i/>
      <w:spacing w:val="-4"/>
      <w:kern w:val="28"/>
      <w:sz w:val="24"/>
    </w:rPr>
  </w:style>
  <w:style w:type="paragraph" w:styleId="Heading3">
    <w:name w:val="heading 3"/>
    <w:basedOn w:val="Heading2"/>
    <w:next w:val="BodyText"/>
    <w:qFormat/>
    <w:rsid w:val="001C5174"/>
    <w:pPr>
      <w:numPr>
        <w:ilvl w:val="2"/>
      </w:numPr>
      <w:shd w:val="clear" w:color="auto" w:fill="FFFFFF"/>
      <w:outlineLvl w:val="2"/>
    </w:pPr>
    <w:rPr>
      <w:i w:val="0"/>
      <w:sz w:val="22"/>
    </w:rPr>
  </w:style>
  <w:style w:type="paragraph" w:styleId="Heading4">
    <w:name w:val="heading 4"/>
    <w:basedOn w:val="Normal"/>
    <w:next w:val="BodyText"/>
    <w:qFormat/>
    <w:rsid w:val="001C5174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1C5174"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1C5174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1C517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C5174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1C517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C5174"/>
    <w:pPr>
      <w:spacing w:after="220" w:line="220" w:lineRule="atLeast"/>
      <w:ind w:left="1080"/>
    </w:pPr>
  </w:style>
  <w:style w:type="table" w:styleId="TableGrid">
    <w:name w:val="Table Grid"/>
    <w:basedOn w:val="TableNormal"/>
    <w:rsid w:val="001C5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C5174"/>
    <w:rPr>
      <w:rFonts w:ascii="Tahoma" w:hAnsi="Tahoma"/>
      <w:sz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0D2564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rsid w:val="000D256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ED267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C24E27"/>
    <w:rPr>
      <w:b/>
      <w:bCs/>
      <w:sz w:val="20"/>
    </w:rPr>
  </w:style>
  <w:style w:type="character" w:customStyle="1" w:styleId="Heading1Char">
    <w:name w:val="Heading 1 Char"/>
    <w:link w:val="Heading1"/>
    <w:rsid w:val="00A96369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627B0"/>
    <w:rPr>
      <w:color w:val="808080"/>
    </w:rPr>
  </w:style>
  <w:style w:type="paragraph" w:styleId="Header">
    <w:name w:val="header"/>
    <w:basedOn w:val="Normal"/>
    <w:link w:val="HeaderChar"/>
    <w:rsid w:val="00E11B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11BB1"/>
  </w:style>
  <w:style w:type="paragraph" w:styleId="Footer">
    <w:name w:val="footer"/>
    <w:basedOn w:val="Normal"/>
    <w:link w:val="FooterChar"/>
    <w:uiPriority w:val="99"/>
    <w:rsid w:val="00E11B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BB1"/>
  </w:style>
  <w:style w:type="character" w:styleId="CommentReference">
    <w:name w:val="annotation reference"/>
    <w:basedOn w:val="DefaultParagraphFont"/>
    <w:rsid w:val="00A80346"/>
    <w:rPr>
      <w:sz w:val="16"/>
      <w:szCs w:val="16"/>
    </w:rPr>
  </w:style>
  <w:style w:type="paragraph" w:styleId="CommentText">
    <w:name w:val="annotation text"/>
    <w:basedOn w:val="Normal"/>
    <w:link w:val="CommentTextChar"/>
    <w:rsid w:val="00A80346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A80346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rsid w:val="00A803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80346"/>
    <w:rPr>
      <w:b/>
      <w:bCs/>
      <w:sz w:val="20"/>
    </w:rPr>
  </w:style>
  <w:style w:type="paragraph" w:styleId="ListParagraph">
    <w:name w:val="List Paragraph"/>
    <w:basedOn w:val="Normal"/>
    <w:uiPriority w:val="34"/>
    <w:qFormat/>
    <w:rsid w:val="00E91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999FB-9DBA-47B4-B21D-D1073CE6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Air Quality Health Index in Alberta</vt:lpstr>
    </vt:vector>
  </TitlesOfParts>
  <Company>GOA</Company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Air Quality Health Index in Alberta</dc:title>
  <dc:creator>GoA</dc:creator>
  <cp:lastModifiedBy>Larkin, Pamela (MECP)</cp:lastModifiedBy>
  <cp:revision>8</cp:revision>
  <cp:lastPrinted>2015-03-17T20:26:00Z</cp:lastPrinted>
  <dcterms:created xsi:type="dcterms:W3CDTF">2021-04-21T19:59:00Z</dcterms:created>
  <dcterms:modified xsi:type="dcterms:W3CDTF">2021-04-23T18:50:00Z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iteId">
    <vt:lpwstr>cddc1229-ac2a-4b97-b78a-0e5cacb5865c</vt:lpwstr>
  </property>
  <property fmtid="{D5CDD505-2E9C-101B-9397-08002B2CF9AE}" pid="4" name="MSIP_Label_034a106e-6316-442c-ad35-738afd673d2b_Owner">
    <vt:lpwstr>Pamela.Larkin@ontario.ca</vt:lpwstr>
  </property>
  <property fmtid="{D5CDD505-2E9C-101B-9397-08002B2CF9AE}" pid="5" name="MSIP_Label_034a106e-6316-442c-ad35-738afd673d2b_SetDate">
    <vt:lpwstr>2021-04-21T19:58:33.6728049Z</vt:lpwstr>
  </property>
  <property fmtid="{D5CDD505-2E9C-101B-9397-08002B2CF9AE}" pid="6" name="MSIP_Label_034a106e-6316-442c-ad35-738afd673d2b_Name">
    <vt:lpwstr>OPS - Unclassified Information</vt:lpwstr>
  </property>
  <property fmtid="{D5CDD505-2E9C-101B-9397-08002B2CF9AE}" pid="7" name="MSIP_Label_034a106e-6316-442c-ad35-738afd673d2b_Application">
    <vt:lpwstr>Microsoft Azure Information Protection</vt:lpwstr>
  </property>
  <property fmtid="{D5CDD505-2E9C-101B-9397-08002B2CF9AE}" pid="8" name="MSIP_Label_034a106e-6316-442c-ad35-738afd673d2b_ActionId">
    <vt:lpwstr>73176b50-f4f7-47d5-9b13-711e346b3a3a</vt:lpwstr>
  </property>
  <property fmtid="{D5CDD505-2E9C-101B-9397-08002B2CF9AE}" pid="9" name="MSIP_Label_034a106e-6316-442c-ad35-738afd673d2b_Extended_MSFT_Method">
    <vt:lpwstr>Automatic</vt:lpwstr>
  </property>
  <property fmtid="{D5CDD505-2E9C-101B-9397-08002B2CF9AE}" pid="10" name="Sensitivity">
    <vt:lpwstr>OPS - Unclassified Information</vt:lpwstr>
  </property>
</Properties>
</file>