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1"/>
        <w:numPr>
          <w:ilvl w:val="0"/>
          <w:numId w:val="1"/>
        </w:numPr>
        <w:bidi w:val="0"/>
        <w:jc w:val="start"/>
        <w:outlineLvl w:val="0"/>
        <w:rPr/>
      </w:pPr>
      <w:r>
        <w:rPr/>
        <w:t>Smlouva o sdružených službách dodávky elektřiny č. EPS-2026-047113</w:t>
      </w:r>
    </w:p>
    <w:p>
      <w:pPr>
        <w:pStyle w:val="Body"/>
        <w:bidi w:val="0"/>
        <w:spacing w:before="0" w:after="142"/>
        <w:jc w:val="both"/>
        <w:rPr/>
      </w:pPr>
      <w:r>
        <w:rPr/>
        <w:t>Dodavatel: Energie Pod Sněžkou, a.s., se sídlem Horní Úpa 117, 542 21 Pec pod Sněžkou, IČO 99887766, zapsaná v obchodním rejstříku vedeném Krajským soudem v Hradci Králové, oddíl B, vložka 9876.</w:t>
      </w:r>
    </w:p>
    <w:p>
      <w:pPr>
        <w:pStyle w:val="Body"/>
        <w:bidi w:val="0"/>
        <w:spacing w:before="0" w:after="142"/>
        <w:jc w:val="both"/>
        <w:rPr/>
      </w:pPr>
      <w:r>
        <w:rPr/>
        <w:t>Zákazník: Jiří Šťastný, narozen 14. 7. 1983, bydliště Žižkova 1287/12, 586 01 Jihlava, číslo odběrného místa EAN 859182400199887766.</w:t>
      </w:r>
    </w:p>
    <w:p>
      <w:pPr>
        <w:pStyle w:val="H2"/>
        <w:numPr>
          <w:ilvl w:val="1"/>
          <w:numId w:val="1"/>
        </w:numPr>
        <w:bidi w:val="0"/>
        <w:jc w:val="start"/>
        <w:outlineLvl w:val="1"/>
        <w:rPr/>
      </w:pPr>
      <w:r>
        <w:rPr/>
        <w:t>Článek I. Předmět smlouvy</w:t>
      </w:r>
    </w:p>
    <w:p>
      <w:pPr>
        <w:pStyle w:val="Body"/>
        <w:bidi w:val="0"/>
        <w:spacing w:before="0" w:after="142"/>
        <w:jc w:val="both"/>
        <w:rPr/>
      </w:pPr>
      <w:r>
        <w:rPr/>
        <w:t>Předmětem této smlouvy je závazek dodavatele dodávat zákazníkovi elektřinu do odběrného místa a zajistit na vlastní jméno a účet distribuci elektřiny a ostatní související služby. Zákazník se zavazuje odebranou elektřinu řádně a včas zaplatit. Účinnost dodávky začíná dnem 1. 11. 2026. Příliš žluťoučký kůň úpěl ďábelské ódy.</w:t>
      </w:r>
    </w:p>
    <w:p>
      <w:pPr>
        <w:pStyle w:val="H2"/>
        <w:numPr>
          <w:ilvl w:val="1"/>
          <w:numId w:val="1"/>
        </w:numPr>
        <w:bidi w:val="0"/>
        <w:jc w:val="start"/>
        <w:outlineLvl w:val="1"/>
        <w:rPr/>
      </w:pPr>
      <w:r>
        <w:rPr/>
        <w:t>Článek II. Doba trvání smlouvy</w:t>
      </w:r>
    </w:p>
    <w:p>
      <w:pPr>
        <w:pStyle w:val="Body"/>
        <w:bidi w:val="0"/>
        <w:spacing w:before="0" w:after="142"/>
        <w:jc w:val="both"/>
        <w:rPr/>
      </w:pPr>
      <w:r>
        <w:rPr/>
        <w:t>Smlouva se uzavírá na dobu neurčitou. Každá ze smluvních stran je oprávněna smlouvu vypovědět písemnou výpovědí s výpovědní dobou tři měsíce, která začíná běžet prvním dnem měsíce následujícího po doručení výpovědi druhé smluvní straně. Zákazník, který je spotřebitelem, může smlouvu vypovědět bez sankce i v případě změny ceny nebo obchodních podmínek.</w:t>
      </w:r>
    </w:p>
    <w:p>
      <w:pPr>
        <w:pStyle w:val="H2"/>
        <w:numPr>
          <w:ilvl w:val="1"/>
          <w:numId w:val="1"/>
        </w:numPr>
        <w:bidi w:val="0"/>
        <w:jc w:val="start"/>
        <w:outlineLvl w:val="1"/>
        <w:rPr/>
      </w:pPr>
      <w:r>
        <w:rPr/>
        <w:t>Článek III. Cena a platební podmínky</w:t>
      </w:r>
    </w:p>
    <w:p>
      <w:pPr>
        <w:pStyle w:val="Body"/>
        <w:bidi w:val="0"/>
        <w:spacing w:before="0" w:after="142"/>
        <w:jc w:val="both"/>
        <w:rPr/>
      </w:pPr>
      <w:r>
        <w:rPr/>
        <w:t>Cena za dodávku elektřiny je stanovena ceníkem dodavatele uvedeným níže. Ceny regulovaných složek se řídí cenovým rozhodnutím Energetického regulačního úřadu. Zákazník bude platit měsíční zálohy převodem na účet dodavatele vždy k patnáctému dni kalendářního měsíce. Vyúčtování proběhne jednou ročně na základě odečtu elektroměru.</w:t>
      </w:r>
    </w:p>
    <w:p>
      <w:pPr>
        <w:pStyle w:val="H2"/>
        <w:numPr>
          <w:ilvl w:val="1"/>
          <w:numId w:val="1"/>
        </w:numPr>
        <w:bidi w:val="0"/>
        <w:jc w:val="start"/>
        <w:outlineLvl w:val="1"/>
        <w:rPr/>
      </w:pPr>
      <w:r>
        <w:rPr/>
        <w:t>Příloha č. 1 – Ceník k 1. 11. 2026 – produkt Stabilní elektřina 24, distribuční sazba D27d</w:t>
      </w:r>
    </w:p>
    <w:tbl>
      <w:tblPr>
        <w:tblW w:w="5000" w:type="pct"/>
        <w:jc w:val="start"/>
        <w:tblInd w:w="-5" w:type="dxa"/>
        <w:tblLayout w:type="fixed"/>
        <w:tblCellMar>
          <w:top w:w="57" w:type="dxa"/>
          <w:start w:w="57" w:type="dxa"/>
          <w:bottom w:w="57" w:type="dxa"/>
          <w:end w:w="57" w:type="dxa"/>
        </w:tblCellMar>
      </w:tblPr>
      <w:tblGrid>
        <w:gridCol w:w="3649"/>
        <w:gridCol w:w="1255"/>
        <w:gridCol w:w="1654"/>
        <w:gridCol w:w="1653"/>
        <w:gridCol w:w="1655"/>
      </w:tblGrid>
      <w:tr>
        <w:trPr>
          <w:tblHeader w:val="true"/>
        </w:trPr>
        <w:tc>
          <w:tcPr>
            <w:tcW w:w="3649" w:type="dxa"/>
            <w:tcBorders>
              <w:top w:val="single" w:sz="4" w:space="0" w:color="444444"/>
              <w:start w:val="single" w:sz="4" w:space="0" w:color="444444"/>
              <w:bottom w:val="single" w:sz="4" w:space="0" w:color="444444"/>
              <w:end w:val="single" w:sz="4" w:space="0" w:color="444444"/>
            </w:tcBorders>
            <w:shd w:fill="E8E8E8" w:val="clear"/>
          </w:tcPr>
          <w:p>
            <w:pPr>
              <w:pStyle w:val="TBold"/>
              <w:bidi w:val="0"/>
              <w:jc w:val="start"/>
              <w:rPr/>
            </w:pPr>
            <w:r>
              <w:rPr/>
              <w:t>Položka</w:t>
            </w:r>
          </w:p>
        </w:tc>
        <w:tc>
          <w:tcPr>
            <w:tcW w:w="1255" w:type="dxa"/>
            <w:tcBorders>
              <w:top w:val="single" w:sz="4" w:space="0" w:color="444444"/>
              <w:start w:val="single" w:sz="4" w:space="0" w:color="444444"/>
              <w:bottom w:val="single" w:sz="4" w:space="0" w:color="444444"/>
              <w:end w:val="single" w:sz="4" w:space="0" w:color="444444"/>
            </w:tcBorders>
            <w:shd w:fill="E8E8E8" w:val="clear"/>
          </w:tcPr>
          <w:p>
            <w:pPr>
              <w:pStyle w:val="TBold"/>
              <w:bidi w:val="0"/>
              <w:jc w:val="start"/>
              <w:rPr/>
            </w:pPr>
            <w:r>
              <w:rPr/>
              <w:t>Jednotka</w:t>
            </w:r>
          </w:p>
        </w:tc>
        <w:tc>
          <w:tcPr>
            <w:tcW w:w="1654" w:type="dxa"/>
            <w:tcBorders>
              <w:top w:val="single" w:sz="4" w:space="0" w:color="444444"/>
              <w:start w:val="single" w:sz="4" w:space="0" w:color="444444"/>
              <w:bottom w:val="single" w:sz="4" w:space="0" w:color="444444"/>
              <w:end w:val="single" w:sz="4" w:space="0" w:color="444444"/>
            </w:tcBorders>
            <w:shd w:fill="E8E8E8" w:val="clear"/>
          </w:tcPr>
          <w:p>
            <w:pPr>
              <w:pStyle w:val="TBold"/>
              <w:bidi w:val="0"/>
              <w:jc w:val="start"/>
              <w:rPr/>
            </w:pPr>
            <w:r>
              <w:rPr/>
              <w:t>Cena bez DPH</w:t>
            </w:r>
          </w:p>
        </w:tc>
        <w:tc>
          <w:tcPr>
            <w:tcW w:w="1653" w:type="dxa"/>
            <w:tcBorders>
              <w:top w:val="single" w:sz="4" w:space="0" w:color="444444"/>
              <w:start w:val="single" w:sz="4" w:space="0" w:color="444444"/>
              <w:bottom w:val="single" w:sz="4" w:space="0" w:color="444444"/>
              <w:end w:val="single" w:sz="4" w:space="0" w:color="444444"/>
            </w:tcBorders>
            <w:shd w:fill="E8E8E8" w:val="clear"/>
          </w:tcPr>
          <w:p>
            <w:pPr>
              <w:pStyle w:val="TBold"/>
              <w:bidi w:val="0"/>
              <w:jc w:val="start"/>
              <w:rPr/>
            </w:pPr>
            <w:r>
              <w:rPr/>
              <w:t>DPH 21 %</w:t>
            </w:r>
          </w:p>
        </w:tc>
        <w:tc>
          <w:tcPr>
            <w:tcW w:w="1655" w:type="dxa"/>
            <w:tcBorders>
              <w:top w:val="single" w:sz="4" w:space="0" w:color="444444"/>
              <w:start w:val="single" w:sz="4" w:space="0" w:color="444444"/>
              <w:bottom w:val="single" w:sz="4" w:space="0" w:color="444444"/>
              <w:end w:val="single" w:sz="4" w:space="0" w:color="444444"/>
            </w:tcBorders>
            <w:shd w:fill="E8E8E8" w:val="clear"/>
          </w:tcPr>
          <w:p>
            <w:pPr>
              <w:pStyle w:val="TBold"/>
              <w:bidi w:val="0"/>
              <w:jc w:val="start"/>
              <w:rPr/>
            </w:pPr>
            <w:r>
              <w:rPr/>
              <w:t>Cena s DPH</w:t>
            </w:r>
          </w:p>
        </w:tc>
      </w:tr>
      <w:tr>
        <w:trPr/>
        <w:tc>
          <w:tcPr>
            <w:tcW w:w="9866" w:type="dxa"/>
            <w:gridSpan w:val="5"/>
            <w:tcBorders>
              <w:top w:val="single" w:sz="4" w:space="0" w:color="444444"/>
              <w:start w:val="single" w:sz="4" w:space="0" w:color="444444"/>
              <w:bottom w:val="single" w:sz="4" w:space="0" w:color="444444"/>
              <w:end w:val="single" w:sz="4" w:space="0" w:color="444444"/>
            </w:tcBorders>
          </w:tcPr>
          <w:p>
            <w:pPr>
              <w:pStyle w:val="TTxt"/>
              <w:bidi w:val="0"/>
              <w:jc w:val="start"/>
              <w:rPr/>
            </w:pPr>
            <w:r>
              <w:rPr/>
              <w:t>Silová elektřina a služby dodavatele</w:t>
            </w:r>
          </w:p>
        </w:tc>
      </w:tr>
      <w:tr>
        <w:trPr/>
        <w:tc>
          <w:tcPr>
            <w:tcW w:w="3649"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Cena silové elektřiny VT</w:t>
            </w:r>
          </w:p>
        </w:tc>
        <w:tc>
          <w:tcPr>
            <w:tcW w:w="1255"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Kč/MWh</w:t>
            </w:r>
          </w:p>
        </w:tc>
        <w:tc>
          <w:tcPr>
            <w:tcW w:w="1654"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2 890,00</w:t>
            </w:r>
          </w:p>
        </w:tc>
        <w:tc>
          <w:tcPr>
            <w:tcW w:w="1653"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606,90</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3 496,90</w:t>
            </w:r>
          </w:p>
        </w:tc>
      </w:tr>
      <w:tr>
        <w:trPr/>
        <w:tc>
          <w:tcPr>
            <w:tcW w:w="3649"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Cena silové elektřiny NT</w:t>
            </w:r>
          </w:p>
        </w:tc>
        <w:tc>
          <w:tcPr>
            <w:tcW w:w="1255"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Kč/MWh</w:t>
            </w:r>
          </w:p>
        </w:tc>
        <w:tc>
          <w:tcPr>
            <w:tcW w:w="1654"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2 450,00</w:t>
            </w:r>
          </w:p>
        </w:tc>
        <w:tc>
          <w:tcPr>
            <w:tcW w:w="1653"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514,50</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2 964,50</w:t>
            </w:r>
          </w:p>
        </w:tc>
      </w:tr>
      <w:tr>
        <w:trPr/>
        <w:tc>
          <w:tcPr>
            <w:tcW w:w="3649"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Stálý měsíční plat</w:t>
            </w:r>
          </w:p>
        </w:tc>
        <w:tc>
          <w:tcPr>
            <w:tcW w:w="1255"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Kč/měsíc</w:t>
            </w:r>
          </w:p>
        </w:tc>
        <w:tc>
          <w:tcPr>
            <w:tcW w:w="1654"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129,00</w:t>
            </w:r>
          </w:p>
        </w:tc>
        <w:tc>
          <w:tcPr>
            <w:tcW w:w="1653"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27,09</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156,09</w:t>
            </w:r>
          </w:p>
        </w:tc>
      </w:tr>
      <w:tr>
        <w:trPr/>
        <w:tc>
          <w:tcPr>
            <w:tcW w:w="3649"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Distribuční sazba D27d – VT</w:t>
            </w:r>
          </w:p>
        </w:tc>
        <w:tc>
          <w:tcPr>
            <w:tcW w:w="1255"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Kč/MWh</w:t>
            </w:r>
          </w:p>
        </w:tc>
        <w:tc>
          <w:tcPr>
            <w:tcW w:w="1654"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1 832,15</w:t>
            </w:r>
          </w:p>
        </w:tc>
        <w:tc>
          <w:tcPr>
            <w:tcW w:w="1653"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384,75</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2 216,90</w:t>
            </w:r>
          </w:p>
        </w:tc>
      </w:tr>
      <w:tr>
        <w:trPr/>
        <w:tc>
          <w:tcPr>
            <w:tcW w:w="3649"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Distribuční sazba D27d – NT</w:t>
            </w:r>
          </w:p>
        </w:tc>
        <w:tc>
          <w:tcPr>
            <w:tcW w:w="1255"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Kč/MWh</w:t>
            </w:r>
          </w:p>
        </w:tc>
        <w:tc>
          <w:tcPr>
            <w:tcW w:w="1654"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312,40</w:t>
            </w:r>
          </w:p>
        </w:tc>
        <w:tc>
          <w:tcPr>
            <w:tcW w:w="1653"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65,60</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378,00</w:t>
            </w:r>
          </w:p>
        </w:tc>
      </w:tr>
      <w:tr>
        <w:trPr/>
        <w:tc>
          <w:tcPr>
            <w:tcW w:w="3649"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Měsíční plat za jistič 3×25 A</w:t>
            </w:r>
          </w:p>
        </w:tc>
        <w:tc>
          <w:tcPr>
            <w:tcW w:w="1255"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Kč/měsíc</w:t>
            </w:r>
          </w:p>
        </w:tc>
        <w:tc>
          <w:tcPr>
            <w:tcW w:w="1654"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412,00</w:t>
            </w:r>
          </w:p>
        </w:tc>
        <w:tc>
          <w:tcPr>
            <w:tcW w:w="1653"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86,52</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498,52</w:t>
            </w:r>
          </w:p>
        </w:tc>
      </w:tr>
      <w:tr>
        <w:trPr/>
        <w:tc>
          <w:tcPr>
            <w:tcW w:w="3649"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Cena za systémové služby</w:t>
            </w:r>
          </w:p>
        </w:tc>
        <w:tc>
          <w:tcPr>
            <w:tcW w:w="1255"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Kč/MWh</w:t>
            </w:r>
          </w:p>
        </w:tc>
        <w:tc>
          <w:tcPr>
            <w:tcW w:w="1654"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162,50</w:t>
            </w:r>
          </w:p>
        </w:tc>
        <w:tc>
          <w:tcPr>
            <w:tcW w:w="1653"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34,13</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196,63</w:t>
            </w:r>
          </w:p>
        </w:tc>
      </w:tr>
      <w:tr>
        <w:trPr/>
        <w:tc>
          <w:tcPr>
            <w:tcW w:w="3649"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Poplatek za činnost operátora trhu</w:t>
            </w:r>
          </w:p>
        </w:tc>
        <w:tc>
          <w:tcPr>
            <w:tcW w:w="1255"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Kč/měsíc</w:t>
            </w:r>
          </w:p>
        </w:tc>
        <w:tc>
          <w:tcPr>
            <w:tcW w:w="1654"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4,90</w:t>
            </w:r>
          </w:p>
        </w:tc>
        <w:tc>
          <w:tcPr>
            <w:tcW w:w="1653"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1,03</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5,93</w:t>
            </w:r>
          </w:p>
        </w:tc>
      </w:tr>
      <w:tr>
        <w:trPr/>
        <w:tc>
          <w:tcPr>
            <w:tcW w:w="3649"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Daň z elektřiny</w:t>
            </w:r>
          </w:p>
        </w:tc>
        <w:tc>
          <w:tcPr>
            <w:tcW w:w="1255" w:type="dxa"/>
            <w:tcBorders>
              <w:top w:val="single" w:sz="4" w:space="0" w:color="444444"/>
              <w:start w:val="single" w:sz="4" w:space="0" w:color="444444"/>
              <w:bottom w:val="single" w:sz="4" w:space="0" w:color="444444"/>
              <w:end w:val="single" w:sz="4" w:space="0" w:color="444444"/>
            </w:tcBorders>
          </w:tcPr>
          <w:p>
            <w:pPr>
              <w:pStyle w:val="TTxt"/>
              <w:bidi w:val="0"/>
              <w:jc w:val="start"/>
              <w:rPr/>
            </w:pPr>
            <w:r>
              <w:rPr/>
              <w:t>Kč/MWh</w:t>
            </w:r>
          </w:p>
        </w:tc>
        <w:tc>
          <w:tcPr>
            <w:tcW w:w="1654"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28,30</w:t>
            </w:r>
          </w:p>
        </w:tc>
        <w:tc>
          <w:tcPr>
            <w:tcW w:w="1653"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5,94</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34,24</w:t>
            </w:r>
          </w:p>
        </w:tc>
      </w:tr>
      <w:tr>
        <w:trPr/>
        <w:tc>
          <w:tcPr>
            <w:tcW w:w="8211" w:type="dxa"/>
            <w:gridSpan w:val="4"/>
            <w:tcBorders>
              <w:top w:val="single" w:sz="4" w:space="0" w:color="444444"/>
              <w:start w:val="single" w:sz="4" w:space="0" w:color="444444"/>
              <w:bottom w:val="single" w:sz="4" w:space="0" w:color="444444"/>
              <w:end w:val="single" w:sz="4" w:space="0" w:color="444444"/>
            </w:tcBorders>
          </w:tcPr>
          <w:p>
            <w:pPr>
              <w:pStyle w:val="TBold"/>
              <w:bidi w:val="0"/>
              <w:jc w:val="start"/>
              <w:rPr/>
            </w:pPr>
            <w:r>
              <w:rPr/>
              <w:t>Celkem za rok bez DPH (odhad 4,2 MWh)</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21 305,94</w:t>
            </w:r>
          </w:p>
        </w:tc>
      </w:tr>
      <w:tr>
        <w:trPr/>
        <w:tc>
          <w:tcPr>
            <w:tcW w:w="8211" w:type="dxa"/>
            <w:gridSpan w:val="4"/>
            <w:tcBorders>
              <w:top w:val="single" w:sz="4" w:space="0" w:color="444444"/>
              <w:start w:val="single" w:sz="4" w:space="0" w:color="444444"/>
              <w:bottom w:val="single" w:sz="4" w:space="0" w:color="444444"/>
              <w:end w:val="single" w:sz="4" w:space="0" w:color="444444"/>
            </w:tcBorders>
          </w:tcPr>
          <w:p>
            <w:pPr>
              <w:pStyle w:val="TBold"/>
              <w:bidi w:val="0"/>
              <w:jc w:val="start"/>
              <w:rPr/>
            </w:pPr>
            <w:r>
              <w:rPr/>
              <w:t>DPH 21 %</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4 474,25</w:t>
            </w:r>
          </w:p>
        </w:tc>
      </w:tr>
      <w:tr>
        <w:trPr/>
        <w:tc>
          <w:tcPr>
            <w:tcW w:w="8211" w:type="dxa"/>
            <w:gridSpan w:val="4"/>
            <w:tcBorders>
              <w:top w:val="single" w:sz="4" w:space="0" w:color="444444"/>
              <w:start w:val="single" w:sz="4" w:space="0" w:color="444444"/>
              <w:bottom w:val="single" w:sz="4" w:space="0" w:color="444444"/>
              <w:end w:val="single" w:sz="4" w:space="0" w:color="444444"/>
            </w:tcBorders>
          </w:tcPr>
          <w:p>
            <w:pPr>
              <w:pStyle w:val="TBold"/>
              <w:bidi w:val="0"/>
              <w:jc w:val="start"/>
              <w:rPr/>
            </w:pPr>
            <w:r>
              <w:rPr/>
              <w:t>Celkem za rok včetně DPH</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25 780,19</w:t>
            </w:r>
          </w:p>
        </w:tc>
      </w:tr>
      <w:tr>
        <w:trPr/>
        <w:tc>
          <w:tcPr>
            <w:tcW w:w="8211" w:type="dxa"/>
            <w:gridSpan w:val="4"/>
            <w:tcBorders>
              <w:top w:val="single" w:sz="4" w:space="0" w:color="444444"/>
              <w:start w:val="single" w:sz="4" w:space="0" w:color="444444"/>
              <w:bottom w:val="single" w:sz="4" w:space="0" w:color="444444"/>
              <w:end w:val="single" w:sz="4" w:space="0" w:color="444444"/>
            </w:tcBorders>
          </w:tcPr>
          <w:p>
            <w:pPr>
              <w:pStyle w:val="TBold"/>
              <w:bidi w:val="0"/>
              <w:jc w:val="start"/>
              <w:rPr/>
            </w:pPr>
            <w:r>
              <w:rPr/>
              <w:t>Měsíční záloha</w:t>
            </w:r>
          </w:p>
        </w:tc>
        <w:tc>
          <w:tcPr>
            <w:tcW w:w="1655" w:type="dxa"/>
            <w:tcBorders>
              <w:top w:val="single" w:sz="4" w:space="0" w:color="444444"/>
              <w:start w:val="single" w:sz="4" w:space="0" w:color="444444"/>
              <w:bottom w:val="single" w:sz="4" w:space="0" w:color="444444"/>
              <w:end w:val="single" w:sz="4" w:space="0" w:color="444444"/>
            </w:tcBorders>
          </w:tcPr>
          <w:p>
            <w:pPr>
              <w:pStyle w:val="TNum"/>
              <w:bidi w:val="0"/>
              <w:jc w:val="end"/>
              <w:rPr/>
            </w:pPr>
            <w:r>
              <w:rPr/>
              <w:t>2 148,35</w:t>
            </w:r>
          </w:p>
        </w:tc>
      </w:tr>
    </w:tbl>
    <w:p>
      <w:pPr>
        <w:pStyle w:val="H2"/>
        <w:numPr>
          <w:ilvl w:val="1"/>
          <w:numId w:val="1"/>
        </w:numPr>
        <w:bidi w:val="0"/>
        <w:jc w:val="start"/>
        <w:outlineLvl w:val="1"/>
        <w:rPr/>
      </w:pPr>
      <w:r>
        <w:rPr/>
        <w:t>Článek IV. Práva a povinnosti</w:t>
      </w:r>
    </w:p>
    <w:p>
      <w:pPr>
        <w:pStyle w:val="Body"/>
        <w:bidi w:val="0"/>
        <w:spacing w:before="0" w:after="142"/>
        <w:jc w:val="both"/>
        <w:rPr/>
      </w:pPr>
      <w:r>
        <w:rPr/>
        <w:t>Dodavatel je povinen informovat zákazníka o každé změně ceny nejpozději třicet dní před její účinností. Zákazník je povinen umožnit provozovateli distribuční soustavy přístup k měřicímu zařízení a neprodleně oznámit jakoukoli závadu na elektroměru. Údaje o spotřebě se zpracovávají výhradně pro účely vyúčtování. PŘÍLIŠ ŽLUŤOUČKÝ KŮŇ ÚPĚL ĎÁBELSKÉ ÓDY.</w:t>
      </w:r>
    </w:p>
    <w:p>
      <w:pPr>
        <w:pStyle w:val="H2"/>
        <w:numPr>
          <w:ilvl w:val="1"/>
          <w:numId w:val="1"/>
        </w:numPr>
        <w:bidi w:val="0"/>
        <w:jc w:val="start"/>
        <w:outlineLvl w:val="1"/>
        <w:rPr/>
      </w:pPr>
      <w:r>
        <w:rPr/>
        <w:t>Článek V. Reklamace a řešení sporů</w:t>
      </w:r>
    </w:p>
    <w:p>
      <w:pPr>
        <w:pStyle w:val="Body"/>
        <w:bidi w:val="0"/>
        <w:spacing w:before="0" w:after="142"/>
        <w:jc w:val="both"/>
        <w:rPr/>
      </w:pPr>
      <w:r>
        <w:rPr/>
        <w:t>Reklamaci vyúčtování může zákazník uplatnit písemně nebo elektronicky do třiceti dnů od doručení faktury. Dodavatel reklamaci vyřídí do patnácti dnů. Spotřebitel má právo obrátit se na Energetický regulační úřad jako na subjekt mimosoudního řešení spotřebitelských sporů. Žádné ustanovení této smlouvy nevylučuje právo zákazníka obrátit se na soud.</w:t>
      </w:r>
    </w:p>
    <w:p>
      <w:pPr>
        <w:pStyle w:val="H2"/>
        <w:numPr>
          <w:ilvl w:val="1"/>
          <w:numId w:val="1"/>
        </w:numPr>
        <w:bidi w:val="0"/>
        <w:jc w:val="start"/>
        <w:outlineLvl w:val="1"/>
        <w:rPr/>
      </w:pPr>
      <w:r>
        <w:rPr/>
        <w:t>Článek VI. Ochrana osobních údajů</w:t>
      </w:r>
    </w:p>
    <w:p>
      <w:pPr>
        <w:pStyle w:val="Body"/>
        <w:bidi w:val="0"/>
        <w:spacing w:before="0" w:after="142"/>
        <w:jc w:val="both"/>
        <w:rPr/>
      </w:pPr>
      <w:r>
        <w:rPr/>
        <w:t>Osobní údaje zákazníka jsou zpracovávány v souladu s nařízením Evropského parlamentu a Rady (EU) 2016/679. Podrobnosti o zpracování, včetně práv subjektu údajů, jsou uvedeny v zásadách ochrany osobních údajů, které tvoří přílohu č. 2 této smlouvy. Ďáblice, Říčany, Úštěk a Žďár nad Sázavou jsou místa zákaznických center dodavatele.</w:t>
      </w:r>
    </w:p>
    <w:p>
      <w:pPr>
        <w:pStyle w:val="H2"/>
        <w:numPr>
          <w:ilvl w:val="1"/>
          <w:numId w:val="1"/>
        </w:numPr>
        <w:bidi w:val="0"/>
        <w:jc w:val="start"/>
        <w:outlineLvl w:val="1"/>
        <w:rPr/>
      </w:pPr>
      <w:r>
        <w:rPr/>
        <w:t>Článek VII. Závěrečná ustanovení</w:t>
      </w:r>
    </w:p>
    <w:p>
      <w:pPr>
        <w:pStyle w:val="Body"/>
        <w:bidi w:val="0"/>
        <w:spacing w:before="0" w:after="142"/>
        <w:jc w:val="both"/>
        <w:rPr/>
      </w:pPr>
      <w:r>
        <w:rPr/>
        <w:t>Tato smlouva je vyhotovena ve dvou stejnopisech, z nichž každá strana obdrží jeden. Smlouvu lze měnit pouze písemnými dodatky podepsanými oběma stranami. Nedílnou součástí smlouvy jsou obchodní podmínky dodavatele a ceník. Smluvní strany prohlašují, že si smlouvu přečetly, jejímu obsahu rozumějí a na důkaz své svobodné vůle připojují své podpisy.</w:t>
      </w:r>
    </w:p>
    <w:p>
      <w:pPr>
        <w:pStyle w:val="H2"/>
        <w:numPr>
          <w:ilvl w:val="1"/>
          <w:numId w:val="1"/>
        </w:numPr>
        <w:bidi w:val="0"/>
        <w:jc w:val="start"/>
        <w:outlineLvl w:val="1"/>
        <w:rPr/>
      </w:pPr>
      <w:r>
        <w:rPr/>
        <w:t>Článek VIII. Kontaktní údaje</w:t>
      </w:r>
    </w:p>
    <w:p>
      <w:pPr>
        <w:pStyle w:val="Body"/>
        <w:bidi w:val="0"/>
        <w:spacing w:before="0" w:after="142"/>
        <w:jc w:val="both"/>
        <w:rPr/>
      </w:pPr>
      <w:r>
        <w:rPr/>
        <w:t>Zákaznická linka 800 123 456 je v provozu ve všední dny od 8 do 18 hodin. Dotazy lze zasílat také elektronickou poštou na adresu pece@energie-pod-snezkou.example. Havarijní služba distributora je dostupná nepřetržitě. Čtvrtletní přehled spotřeby obdrží zákazník v zákaznickém portálu.</w:t>
      </w:r>
    </w:p>
    <w:p>
      <w:pPr>
        <w:pStyle w:val="Body"/>
        <w:bidi w:val="0"/>
        <w:spacing w:before="0" w:after="142"/>
        <w:jc w:val="both"/>
        <w:rPr/>
      </w:pPr>
      <w:r>
        <w:rPr/>
        <w:t>V Jihlavě dne 28. 9. 2026 · Za dodavatele: Ing. Zdeňka Řeháková, ředitelka obchodu · Zákazník: Jiří Šťastný</w:t>
      </w:r>
    </w:p>
    <w:sectPr>
      <w:headerReference w:type="default" r:id="rId2"/>
      <w:footerReference w:type="default" r:id="rId3"/>
      <w:type w:val="nextPage"/>
      <w:pgSz w:w="11906" w:h="16838"/>
      <w:pgMar w:left="1020" w:right="1020" w:gutter="0" w:header="850" w:top="1204" w:footer="850" w:bottom="120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F"/>
      <w:bidi w:val="0"/>
      <w:jc w:val="center"/>
      <w:rPr/>
    </w:pPr>
    <w:r>
      <w:rPr/>
      <w:t xml:space="preserve">Strana </w:t>
    </w:r>
    <w:r>
      <w:rPr/>
      <w:fldChar w:fldCharType="begin"/>
    </w:r>
    <w:r>
      <w:rPr/>
      <w:instrText xml:space="preserve"> PAGE </w:instrText>
    </w:r>
    <w:r>
      <w:rPr/>
      <w:fldChar w:fldCharType="separate"/>
    </w:r>
    <w:r>
      <w:rPr/>
      <w:t>2</w:t>
    </w:r>
    <w:r>
      <w:rPr/>
      <w:fldChar w:fldCharType="end"/>
    </w:r>
    <w:r>
      <w:rPr/>
      <w:t xml:space="preserve"> z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F"/>
      <w:bidi w:val="0"/>
      <w:jc w:val="center"/>
      <w:rPr/>
    </w:pPr>
    <w:r>
      <w:rPr/>
      <w:t>Energie Pod Sněžkou, a.s. · Smlouva o sdružených službách dodávky elektřiny č. EPS-2026-047113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Songti SC" w:cs="Arial Unicode MS"/>
        <w:kern w:val="2"/>
        <w:sz w:val="22"/>
        <w:szCs w:val="24"/>
        <w:lang w:val="cs-CZ" w:eastAsia="zh-CN" w:bidi="hi-IN"/>
      </w:rPr>
    </w:rPrDefault>
    <w:pPrDefault>
      <w:pPr>
        <w:suppressAutoHyphens w:val="true"/>
      </w:pPr>
    </w:pPrDefault>
  </w:docDefaults>
  <w:style w:type="paragraph" w:styleId="Normal">
    <w:name w:val="Normal"/>
    <w:qFormat/>
    <w:pPr>
      <w:widowControl w:val="false"/>
      <w:bidi w:val="0"/>
    </w:pPr>
    <w:rPr>
      <w:rFonts w:ascii="Liberation Sans" w:hAnsi="Liberation Sans" w:eastAsia="Songti SC" w:cs="Arial Unicode MS"/>
      <w:color w:val="auto"/>
      <w:kern w:val="2"/>
      <w:sz w:val="22"/>
      <w:szCs w:val="24"/>
      <w:lang w:val="cs-CZ" w:eastAsia="zh-CN" w:bidi="hi-IN"/>
    </w:rPr>
  </w:style>
  <w:style w:type="paragraph" w:styleId="Nadpis">
    <w:name w:val="Nadpis"/>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Rejstk">
    <w:name w:val="Rejstřík"/>
    <w:basedOn w:val="Normal"/>
    <w:qFormat/>
    <w:pPr>
      <w:suppressLineNumbers/>
    </w:pPr>
    <w:rPr>
      <w:rFonts w:cs="Arial Unicode MS"/>
    </w:rPr>
  </w:style>
  <w:style w:type="paragraph" w:styleId="Body">
    <w:name w:val="Body"/>
    <w:qFormat/>
    <w:pPr>
      <w:widowControl w:val="false"/>
      <w:bidi w:val="0"/>
      <w:spacing w:before="0" w:after="142"/>
      <w:jc w:val="both"/>
    </w:pPr>
    <w:rPr>
      <w:rFonts w:ascii="Liberation Sans" w:hAnsi="Liberation Sans" w:eastAsia="Songti SC" w:cs="Arial Unicode MS"/>
      <w:color w:val="auto"/>
      <w:kern w:val="2"/>
      <w:sz w:val="22"/>
      <w:szCs w:val="24"/>
      <w:lang w:val="cs-CZ" w:eastAsia="zh-CN" w:bidi="hi-IN"/>
    </w:rPr>
  </w:style>
  <w:style w:type="paragraph" w:styleId="H1">
    <w:name w:val="H1"/>
    <w:qFormat/>
    <w:pPr>
      <w:widowControl w:val="false"/>
      <w:bidi w:val="0"/>
      <w:spacing w:before="0" w:after="170"/>
    </w:pPr>
    <w:rPr>
      <w:rFonts w:ascii="Liberation Sans" w:hAnsi="Liberation Sans" w:eastAsia="Songti SC" w:cs="Arial Unicode MS"/>
      <w:b/>
      <w:color w:val="auto"/>
      <w:kern w:val="2"/>
      <w:sz w:val="32"/>
      <w:szCs w:val="24"/>
      <w:lang w:val="cs-CZ" w:eastAsia="zh-CN" w:bidi="hi-IN"/>
    </w:rPr>
  </w:style>
  <w:style w:type="paragraph" w:styleId="H2">
    <w:name w:val="H2"/>
    <w:qFormat/>
    <w:pPr>
      <w:widowControl w:val="false"/>
      <w:bidi w:val="0"/>
      <w:spacing w:before="198" w:after="85"/>
    </w:pPr>
    <w:rPr>
      <w:rFonts w:ascii="Liberation Sans" w:hAnsi="Liberation Sans" w:eastAsia="Songti SC" w:cs="Arial Unicode MS"/>
      <w:b/>
      <w:color w:val="auto"/>
      <w:kern w:val="2"/>
      <w:sz w:val="24"/>
      <w:szCs w:val="24"/>
      <w:lang w:val="cs-CZ" w:eastAsia="zh-CN" w:bidi="hi-IN"/>
    </w:rPr>
  </w:style>
  <w:style w:type="paragraph" w:styleId="HF">
    <w:name w:val="HF"/>
    <w:qFormat/>
    <w:pPr>
      <w:widowControl w:val="false"/>
      <w:bidi w:val="0"/>
      <w:jc w:val="center"/>
    </w:pPr>
    <w:rPr>
      <w:rFonts w:ascii="Liberation Sans" w:hAnsi="Liberation Sans" w:eastAsia="Songti SC" w:cs="Arial Unicode MS"/>
      <w:color w:val="555555"/>
      <w:kern w:val="2"/>
      <w:sz w:val="16"/>
      <w:szCs w:val="24"/>
      <w:lang w:val="cs-CZ" w:eastAsia="zh-CN" w:bidi="hi-IN"/>
    </w:rPr>
  </w:style>
  <w:style w:type="paragraph" w:styleId="TTxt">
    <w:name w:val="TTxt"/>
    <w:qFormat/>
    <w:pPr>
      <w:widowControl w:val="false"/>
      <w:bidi w:val="0"/>
    </w:pPr>
    <w:rPr>
      <w:rFonts w:ascii="Liberation Sans" w:hAnsi="Liberation Sans" w:eastAsia="Songti SC" w:cs="Arial Unicode MS"/>
      <w:color w:val="auto"/>
      <w:kern w:val="2"/>
      <w:sz w:val="20"/>
      <w:szCs w:val="24"/>
      <w:lang w:val="cs-CZ" w:eastAsia="zh-CN" w:bidi="hi-IN"/>
    </w:rPr>
  </w:style>
  <w:style w:type="paragraph" w:styleId="TBold">
    <w:name w:val="TBold"/>
    <w:qFormat/>
    <w:pPr>
      <w:widowControl w:val="false"/>
      <w:bidi w:val="0"/>
    </w:pPr>
    <w:rPr>
      <w:rFonts w:ascii="Liberation Sans" w:hAnsi="Liberation Sans" w:eastAsia="Songti SC" w:cs="Arial Unicode MS"/>
      <w:b/>
      <w:color w:val="auto"/>
      <w:kern w:val="2"/>
      <w:sz w:val="20"/>
      <w:szCs w:val="24"/>
      <w:lang w:val="cs-CZ" w:eastAsia="zh-CN" w:bidi="hi-IN"/>
    </w:rPr>
  </w:style>
  <w:style w:type="paragraph" w:styleId="TNum">
    <w:name w:val="TNum"/>
    <w:qFormat/>
    <w:pPr>
      <w:widowControl w:val="false"/>
      <w:bidi w:val="0"/>
      <w:jc w:val="end"/>
    </w:pPr>
    <w:rPr>
      <w:rFonts w:ascii="Liberation Sans" w:hAnsi="Liberation Sans" w:eastAsia="Songti SC" w:cs="Arial Unicode MS"/>
      <w:color w:val="auto"/>
      <w:kern w:val="2"/>
      <w:sz w:val="20"/>
      <w:szCs w:val="24"/>
      <w:lang w:val="cs-CZ" w:eastAsia="zh-CN" w:bidi="hi-IN"/>
    </w:rPr>
  </w:style>
  <w:style w:type="paragraph" w:styleId="Zhlavazpat">
    <w:name w:val="Záhlaví a zápatí"/>
    <w:basedOn w:val="Normal"/>
    <w:qFormat/>
    <w:pPr>
      <w:suppressLineNumbers/>
      <w:tabs>
        <w:tab w:val="clear" w:pos="709"/>
        <w:tab w:val="center" w:pos="4819" w:leader="none"/>
        <w:tab w:val="right" w:pos="9638" w:leader="none"/>
      </w:tabs>
    </w:pPr>
    <w:rPr/>
  </w:style>
  <w:style w:type="paragraph" w:styleId="Header">
    <w:name w:val="header"/>
    <w:basedOn w:val="Zhlavazpat"/>
    <w:pPr>
      <w:suppressLineNumbers/>
    </w:pPr>
    <w:rPr/>
  </w:style>
  <w:style w:type="paragraph" w:styleId="Footer">
    <w:name w:val="footer"/>
    <w:basedOn w:val="Zhlavazpat"/>
    <w:pPr>
      <w:suppressLineNumbers/>
    </w:pPr>
    <w:rPr/>
  </w:style>
  <w:style w:type="paragraph" w:styleId="Obsahtabulky">
    <w:name w:val="Obsah tabulky"/>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LibreOffice/25.2.3.2$MacOSX_AARCH64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cs-CZ</dc:language>
  <cp:lastModifiedBy/>
  <cp:revision>0</cp:revision>
  <dc:subject/>
  <dc:title/>
</cp:coreProperties>
</file>