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C8102E"/>
          <w:sz w:val="60"/>
          <w:szCs w:val="60"/>
        </w:rPr>
        <w:t xml:space="preserve">AEGIS</w:t>
      </w:r>
    </w:p>
    <w:p>
      <w:pPr>
        <w:spacing w:after="40"/>
        <w:jc w:val="center"/>
      </w:pPr>
      <w:r>
        <w:rPr>
          <w:color w:val="1A1A1A"/>
          <w:sz w:val="30"/>
          <w:szCs w:val="30"/>
        </w:rPr>
        <w:t xml:space="preserve">Code &amp; Submission Review</w:t>
      </w:r>
    </w:p>
    <w:p>
      <w:pPr>
        <w:spacing w:after="40"/>
        <w:jc w:val="center"/>
      </w:pPr>
      <w:r>
        <w:rPr>
          <w:color w:val="5A5A5A"/>
          <w:sz w:val="20"/>
          <w:szCs w:val="20"/>
        </w:rPr>
        <w:t xml:space="preserve">Mastercard Innovation Challenge @ GFF 2026 — AI Defense Lab for Payment Security</w:t>
      </w:r>
    </w:p>
    <w:p>
      <w:pPr>
        <w:spacing w:after="40"/>
        <w:jc w:val="center"/>
      </w:pPr>
      <w:r>
        <w:rPr>
          <w:i/>
          <w:iCs/>
          <w:color w:val="5A5A5A"/>
          <w:sz w:val="18"/>
          <w:szCs w:val="18"/>
        </w:rPr>
        <w:t xml:space="preserve">Reviewed 30 Aug 2026  ·  submission deadline 31 Aug 2026</w:t>
      </w:r>
    </w:p>
    <w:p>
      <w:pPr>
        <w:spacing w:after="40"/>
        <w:jc w:val="center"/>
      </w:pPr>
      <w:r>
        <w:rPr>
          <w:color w:val="5A5A5A"/>
          <w:sz w:val="18"/>
          <w:szCs w:val="18"/>
        </w:rPr>
        <w:t xml:space="preserve">Repository: github.com/schoudhary2703-sudo/mastercard-aegis  ·  branch master @ 40d3cfb</w:t>
      </w:r>
    </w:p>
    <w:p>
      <w:r>
        <w:br w:type="page"/>
      </w:r>
    </w:p>
    <w:p>
      <w:pPr>
        <w:pStyle w:val="Heading1"/>
        <w:spacing w:after="140" w:before="320"/>
      </w:pPr>
      <w:r>
        <w:rPr>
          <w:b/>
          <w:bCs/>
          <w:color w:val="1A1A1A"/>
        </w:rPr>
        <w:t xml:space="preserve">Contents</w:t>
      </w:r>
    </w:p>
    <w:sdt>
      <w:sdtPr>
        <w:alias w:val="Right-click and choose “Update field” to build the 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A1A1A"/>
        </w:rPr>
        <w:t xml:space="preserve">1. Executive summary</w:t>
      </w:r>
    </w:p>
    <w:p>
      <w:pPr>
        <w:spacing w:after="120" w:line="300"/>
      </w:pPr>
      <w:r>
        <w:rPr>
          <w:sz w:val="21"/>
          <w:szCs w:val="21"/>
        </w:rPr>
        <w:t xml:space="preserve">AEGIS is a genuinely strong submission. It implements the full </w:t>
      </w:r>
      <w:r>
        <w:rPr>
          <w:i/>
          <w:iCs/>
          <w:sz w:val="21"/>
          <w:szCs w:val="21"/>
        </w:rPr>
        <w:t xml:space="preserve">identify → generate → defend</w:t>
      </w:r>
      <w:r>
        <w:rPr>
          <w:sz w:val="21"/>
          <w:szCs w:val="21"/>
        </w:rPr>
        <w:t xml:space="preserve"> loop end-to-end, on real PaySim data, through three detector generations plus a formal generalization benchmark — not a scripted narrative. The engineering discipline (frozen cross-team contracts, leakage rules, a written claims audit, reproducible scripts) is well above what most hackathon entries show, and it is exactly what the “real-world feasibility” and “novelty” criteria reward.</w:t>
      </w:r>
    </w:p>
    <w:p>
      <w:pPr>
        <w:spacing w:after="120" w:line="300"/>
      </w:pPr>
      <w:r>
        <w:rPr>
          <w:sz w:val="21"/>
          <w:szCs w:val="21"/>
        </w:rPr>
        <w:t xml:space="preserve">The repository is in good shape to submit: working tree clean, pushed to </w:t>
      </w:r>
      <w:r>
        <w:rPr>
          <w:rFonts w:ascii="Consolas" w:cs="Consolas" w:eastAsia="Consolas" w:hAnsi="Consolas"/>
          <w:sz w:val="20"/>
          <w:szCs w:val="20"/>
        </w:rPr>
        <w:t xml:space="preserve">origin/master</w:t>
      </w:r>
      <w:r>
        <w:rPr>
          <w:sz w:val="21"/>
          <w:szCs w:val="21"/>
        </w:rPr>
        <w:t xml:space="preserve">, no data or model weights committed, and the web app builds clean (TypeScript </w:t>
      </w:r>
      <w:r>
        <w:rPr>
          <w:rFonts w:ascii="Consolas" w:cs="Consolas" w:eastAsia="Consolas" w:hAnsi="Consolas"/>
          <w:sz w:val="20"/>
          <w:szCs w:val="20"/>
        </w:rPr>
        <w:t xml:space="preserve">tsc -b</w:t>
      </w:r>
      <w:r>
        <w:rPr>
          <w:sz w:val="21"/>
          <w:szCs w:val="21"/>
        </w:rPr>
        <w:t xml:space="preserve"> with zero errors, </w:t>
      </w:r>
      <w:r>
        <w:rPr>
          <w:rFonts w:ascii="Consolas" w:cs="Consolas" w:eastAsia="Consolas" w:hAnsi="Consolas"/>
          <w:sz w:val="20"/>
          <w:szCs w:val="20"/>
        </w:rPr>
        <w:t xml:space="preserve">vite build</w:t>
      </w:r>
      <w:r>
        <w:rPr>
          <w:sz w:val="21"/>
          <w:szCs w:val="21"/>
        </w:rPr>
        <w:t xml:space="preserve"> succeeds). The items below are refinements, not rescue work.</w:t>
      </w:r>
    </w:p>
    <w:tbl>
      <w:tblPr>
        <w:tblW w:type="dxa" w:w="9360"/>
        <w:tblBorders>
          <w:top w:val="single" w:color="C8102E" w:sz="6"/>
          <w:left w:val="single" w:color="C8102E" w:sz="18"/>
          <w:bottom w:val="single" w:color="C8102E" w:sz="6"/>
          <w:right w:val="single" w:color="C8102E" w:sz="6"/>
          <w:insideH w:val="none"/>
          <w:insideV w:val="none"/>
        </w:tblBorders>
      </w:tblPr>
      <w:tblGrid>
        <w:gridCol w:w="9360"/>
      </w:tblGrid>
      <w:tr>
        <w:tc>
          <w:tcPr>
            <w:tcW w:type="dxa" w:w="9360"/>
            <w:shd w:fill="FFF3F4" w:color="auto" w:val="clear"/>
            <w:tcMar>
              <w:top w:type="dxa" w:w="120"/>
              <w:left w:type="dxa" w:w="160"/>
              <w:bottom w:type="dxa" w:w="120"/>
              <w:right w:type="dxa" w:w="160"/>
            </w:tcMar>
          </w:tcPr>
          <w:p>
            <w:r>
              <w:rPr>
                <w:b/>
                <w:bCs/>
                <w:color w:val="C8102E"/>
                <w:sz w:val="20"/>
                <w:szCs w:val="20"/>
              </w:rPr>
              <w:t xml:space="preserve">Verdict:  </w:t>
            </w:r>
            <w:r>
              <w:rPr>
                <w:color w:val="1A1A1A"/>
                <w:sz w:val="20"/>
                <w:szCs w:val="20"/>
              </w:rPr>
              <w:t xml:space="preserve">Ship it. Close the three P0 items in section 4, and if time allows, invest the remaining hours in taxonomy breadth (section 5.1) and the recall / false-positive framing (section 5.3) — those move the judging needle most.</w:t>
            </w:r>
          </w:p>
        </w:tc>
      </w:tr>
    </w:tbl>
    <w:tbl>
      <w:tblPr>
        <w:tblW w:type="dxa" w:w="9360"/>
        <w:tblBorders>
          <w:top w:val="single" w:color="C8102E" w:sz="6"/>
          <w:left w:val="single" w:color="C8102E" w:sz="18"/>
          <w:bottom w:val="single" w:color="C8102E" w:sz="6"/>
          <w:right w:val="single" w:color="C8102E" w:sz="6"/>
          <w:insideH w:val="none"/>
          <w:insideV w:val="none"/>
        </w:tblBorders>
      </w:tblPr>
      <w:tblGrid>
        <w:gridCol w:w="9360"/>
      </w:tblGrid>
      <w:tr>
        <w:tc>
          <w:tcPr>
            <w:tcW w:type="dxa" w:w="9360"/>
            <w:shd w:fill="FFF8E6" w:color="auto" w:val="clear"/>
            <w:tcMar>
              <w:top w:type="dxa" w:w="120"/>
              <w:left w:type="dxa" w:w="160"/>
              <w:bottom w:type="dxa" w:w="120"/>
              <w:right w:type="dxa" w:w="160"/>
            </w:tcMar>
          </w:tcPr>
          <w:p>
            <w:r>
              <w:rPr>
                <w:b/>
                <w:bCs/>
                <w:color w:val="C8102E"/>
                <w:sz w:val="20"/>
                <w:szCs w:val="20"/>
              </w:rPr>
              <w:t xml:space="preserve">Scope note:  </w:t>
            </w:r>
            <w:r>
              <w:rPr>
                <w:color w:val="1A1A1A"/>
                <w:sz w:val="20"/>
                <w:szCs w:val="20"/>
              </w:rPr>
              <w:t xml:space="preserve">Python was not installed on the review machine, so the Python test suite, mypy, and ruff were not executed here. The web toolchain was run and passed. Section 4, item P0-2 asks you to confirm the Python side yourself on the exact submission commit.</w:t>
            </w:r>
          </w:p>
        </w:tc>
      </w:tr>
    </w:tbl>
    <w:p>
      <w:pPr>
        <w:pStyle w:val="Heading1"/>
        <w:spacing w:after="140" w:before="320"/>
      </w:pPr>
      <w:r>
        <w:rPr>
          <w:b/>
          <w:bCs/>
          <w:color w:val="1A1A1A"/>
        </w:rPr>
        <w:t xml:space="preserve">2. How the repo maps to the five judging criteria</w:t>
      </w:r>
    </w:p>
    <w:p>
      <w:pPr>
        <w:spacing w:after="120" w:line="300"/>
      </w:pPr>
      <w:r>
        <w:rPr>
          <w:sz w:val="21"/>
          <w:szCs w:val="21"/>
        </w:rPr>
        <w:t xml:space="preserve">The challenge scores submissions on five axes. Current standing and the single highest-leverage move for each:</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3900"/>
        <w:gridCol w:w="3360"/>
      </w:tblGrid>
      <w:tr>
        <w:trPr>
          <w:tblHeader/>
        </w:trPr>
        <w:tc>
          <w:tcPr>
            <w:tcW w:type="dxa" w:w="2100"/>
            <w:shd w:fill="C8102E" w:color="auto" w:val="clear"/>
            <w:tcMar>
              <w:top w:type="dxa" w:w="80"/>
              <w:left w:type="dxa" w:w="110"/>
              <w:bottom w:type="dxa" w:w="80"/>
              <w:right w:type="dxa" w:w="110"/>
            </w:tcMar>
          </w:tcPr>
          <w:p>
            <w:pPr>
              <w:jc w:val="left"/>
            </w:pPr>
            <w:r>
              <w:rPr>
                <w:b/>
                <w:bCs/>
                <w:color w:val="FFFFFF"/>
                <w:sz w:val="20"/>
                <w:szCs w:val="20"/>
              </w:rPr>
              <w:t xml:space="preserve">Criterion</w:t>
            </w:r>
          </w:p>
        </w:tc>
        <w:tc>
          <w:tcPr>
            <w:tcW w:type="dxa" w:w="3900"/>
            <w:shd w:fill="C8102E" w:color="auto" w:val="clear"/>
            <w:tcMar>
              <w:top w:type="dxa" w:w="80"/>
              <w:left w:type="dxa" w:w="110"/>
              <w:bottom w:type="dxa" w:w="80"/>
              <w:right w:type="dxa" w:w="110"/>
            </w:tcMar>
          </w:tcPr>
          <w:p>
            <w:pPr>
              <w:jc w:val="left"/>
            </w:pPr>
            <w:r>
              <w:rPr>
                <w:b/>
                <w:bCs/>
                <w:color w:val="FFFFFF"/>
                <w:sz w:val="20"/>
                <w:szCs w:val="20"/>
              </w:rPr>
              <w:t xml:space="preserve">Current standing</w:t>
            </w:r>
          </w:p>
        </w:tc>
        <w:tc>
          <w:tcPr>
            <w:tcW w:type="dxa" w:w="3360"/>
            <w:shd w:fill="C8102E" w:color="auto" w:val="clear"/>
            <w:tcMar>
              <w:top w:type="dxa" w:w="80"/>
              <w:left w:type="dxa" w:w="110"/>
              <w:bottom w:type="dxa" w:w="80"/>
              <w:right w:type="dxa" w:w="110"/>
            </w:tcMar>
          </w:tcPr>
          <w:p>
            <w:pPr>
              <w:jc w:val="left"/>
            </w:pPr>
            <w:r>
              <w:rPr>
                <w:b/>
                <w:bCs/>
                <w:color w:val="FFFFFF"/>
                <w:sz w:val="20"/>
                <w:szCs w:val="20"/>
              </w:rPr>
              <w:t xml:space="preserve">Highest-leverage move before deadline</w:t>
            </w:r>
          </w:p>
        </w:tc>
      </w:tr>
      <w:tr>
        <w:tc>
          <w:tcPr>
            <w:tcW w:type="dxa" w:w="2100"/>
            <w:shd w:fill="F3F3F3" w:color="auto" w:val="clear"/>
            <w:tcMar>
              <w:top w:type="dxa" w:w="80"/>
              <w:left w:type="dxa" w:w="110"/>
              <w:bottom w:type="dxa" w:w="80"/>
              <w:right w:type="dxa" w:w="110"/>
            </w:tcMar>
          </w:tcPr>
          <w:p>
            <w:pPr>
              <w:jc w:val="left"/>
            </w:pPr>
            <w:r>
              <w:rPr>
                <w:b w:val="false"/>
                <w:bCs w:val="false"/>
                <w:color w:val="1A1A1A"/>
                <w:sz w:val="20"/>
                <w:szCs w:val="20"/>
              </w:rPr>
              <w:t xml:space="preserve">Diversity of attacks identified</w:t>
            </w:r>
          </w:p>
        </w:tc>
        <w:tc>
          <w:tcPr>
            <w:tcW w:type="dxa" w:w="3900"/>
            <w:tcMar>
              <w:top w:type="dxa" w:w="80"/>
              <w:left w:type="dxa" w:w="110"/>
              <w:bottom w:type="dxa" w:w="80"/>
              <w:right w:type="dxa" w:w="110"/>
            </w:tcMar>
          </w:tcPr>
          <w:p>
            <w:pPr>
              <w:jc w:val="left"/>
            </w:pPr>
            <w:r>
              <w:rPr>
                <w:b w:val="false"/>
                <w:bCs w:val="false"/>
                <w:color w:val="1A1A1A"/>
                <w:sz w:val="20"/>
                <w:szCs w:val="20"/>
              </w:rPr>
              <w:t xml:space="preserve">Solid but lean. 15 evidence-backed scenarios (3 deep-simulated, 12 identified-only), each cited to Mastercard source material and tagged by channel / rail / category.</w:t>
            </w:r>
          </w:p>
        </w:tc>
        <w:tc>
          <w:tcPr>
            <w:tcW w:type="dxa" w:w="3360"/>
            <w:tcMar>
              <w:top w:type="dxa" w:w="80"/>
              <w:left w:type="dxa" w:w="110"/>
              <w:bottom w:type="dxa" w:w="80"/>
              <w:right w:type="dxa" w:w="110"/>
            </w:tcMar>
          </w:tcPr>
          <w:p>
            <w:pPr>
              <w:jc w:val="left"/>
            </w:pPr>
            <w:r>
              <w:rPr>
                <w:b w:val="false"/>
                <w:bCs w:val="false"/>
                <w:color w:val="1A1A1A"/>
                <w:sz w:val="20"/>
                <w:szCs w:val="20"/>
              </w:rPr>
              <w:t xml:space="preserve">Expand the taxonomy catalog to ~25–35 entries. It is pure data (no new code). Add UPI / RuPay / India rails — the audience is in Mumbai. See 5.1.</w:t>
            </w:r>
          </w:p>
        </w:tc>
      </w:tr>
      <w:tr>
        <w:tc>
          <w:tcPr>
            <w:tcW w:type="dxa" w:w="2100"/>
            <w:shd w:fill="F3F3F3" w:color="auto" w:val="clear"/>
            <w:tcMar>
              <w:top w:type="dxa" w:w="80"/>
              <w:left w:type="dxa" w:w="110"/>
              <w:bottom w:type="dxa" w:w="80"/>
              <w:right w:type="dxa" w:w="110"/>
            </w:tcMar>
          </w:tcPr>
          <w:p>
            <w:pPr>
              <w:jc w:val="left"/>
            </w:pPr>
            <w:r>
              <w:rPr>
                <w:b w:val="false"/>
                <w:bCs w:val="false"/>
                <w:color w:val="1A1A1A"/>
                <w:sz w:val="20"/>
                <w:szCs w:val="20"/>
              </w:rPr>
              <w:t xml:space="preserve">Fidelity of simulated attacks</w:t>
            </w:r>
          </w:p>
        </w:tc>
        <w:tc>
          <w:tcPr>
            <w:tcW w:type="dxa" w:w="3900"/>
            <w:tcMar>
              <w:top w:type="dxa" w:w="80"/>
              <w:left w:type="dxa" w:w="110"/>
              <w:bottom w:type="dxa" w:w="80"/>
              <w:right w:type="dxa" w:w="110"/>
            </w:tcMar>
          </w:tcPr>
          <w:p>
            <w:pPr>
              <w:jc w:val="left"/>
            </w:pPr>
            <w:r>
              <w:rPr>
                <w:b w:val="false"/>
                <w:bCs w:val="false"/>
                <w:color w:val="1A1A1A"/>
                <w:sz w:val="20"/>
                <w:szCs w:val="20"/>
              </w:rPr>
              <w:t xml:space="preserve">Good method: deterministic simulators against a PaySim reference distribution, a composite fidelity_score with named components, a generation-scale benchmark artifact.</w:t>
            </w:r>
          </w:p>
        </w:tc>
        <w:tc>
          <w:tcPr>
            <w:tcW w:type="dxa" w:w="3360"/>
            <w:tcMar>
              <w:top w:type="dxa" w:w="80"/>
              <w:left w:type="dxa" w:w="110"/>
              <w:bottom w:type="dxa" w:w="80"/>
              <w:right w:type="dxa" w:w="110"/>
            </w:tcMar>
          </w:tcPr>
          <w:p>
            <w:pPr>
              <w:jc w:val="left"/>
            </w:pPr>
            <w:r>
              <w:rPr>
                <w:b w:val="false"/>
                <w:bCs w:val="false"/>
                <w:color w:val="1A1A1A"/>
                <w:sz w:val="20"/>
                <w:szCs w:val="20"/>
              </w:rPr>
              <w:t xml:space="preserve">Show the real-vs-synthetic comparison visually in the walkthrough and UI, not just a scalar. See 5.2.</w:t>
            </w:r>
          </w:p>
        </w:tc>
      </w:tr>
      <w:tr>
        <w:tc>
          <w:tcPr>
            <w:tcW w:type="dxa" w:w="2100"/>
            <w:shd w:fill="F3F3F3" w:color="auto" w:val="clear"/>
            <w:tcMar>
              <w:top w:type="dxa" w:w="80"/>
              <w:left w:type="dxa" w:w="110"/>
              <w:bottom w:type="dxa" w:w="80"/>
              <w:right w:type="dxa" w:w="110"/>
            </w:tcMar>
          </w:tcPr>
          <w:p>
            <w:pPr>
              <w:jc w:val="left"/>
            </w:pPr>
            <w:r>
              <w:rPr>
                <w:b w:val="false"/>
                <w:bCs w:val="false"/>
                <w:color w:val="1A1A1A"/>
                <w:sz w:val="20"/>
                <w:szCs w:val="20"/>
              </w:rPr>
              <w:t xml:space="preserve">Detection algorithm efficacy</w:t>
            </w:r>
          </w:p>
        </w:tc>
        <w:tc>
          <w:tcPr>
            <w:tcW w:type="dxa" w:w="3900"/>
            <w:tcMar>
              <w:top w:type="dxa" w:w="80"/>
              <w:left w:type="dxa" w:w="110"/>
              <w:bottom w:type="dxa" w:w="80"/>
              <w:right w:type="dxa" w:w="110"/>
            </w:tcMar>
          </w:tcPr>
          <w:p>
            <w:pPr>
              <w:jc w:val="left"/>
            </w:pPr>
            <w:r>
              <w:rPr>
                <w:b w:val="false"/>
                <w:bCs w:val="false"/>
                <w:color w:val="1A1A1A"/>
                <w:sz w:val="20"/>
                <w:szCs w:val="20"/>
              </w:rPr>
              <w:t xml:space="preserve">Strong. v1→v2→v3 progression on an untouched entity/time split: precision 93.8%, recall 77.9%, F1 85.1%, FPR 0.0216%; plus a LOAFO generalization benchmark.</w:t>
            </w:r>
          </w:p>
        </w:tc>
        <w:tc>
          <w:tcPr>
            <w:tcW w:type="dxa" w:w="3360"/>
            <w:tcMar>
              <w:top w:type="dxa" w:w="80"/>
              <w:left w:type="dxa" w:w="110"/>
              <w:bottom w:type="dxa" w:w="80"/>
              <w:right w:type="dxa" w:w="110"/>
            </w:tcMar>
          </w:tcPr>
          <w:p>
            <w:pPr>
              <w:jc w:val="left"/>
            </w:pPr>
            <w:r>
              <w:rPr>
                <w:b w:val="false"/>
                <w:bCs w:val="false"/>
                <w:color w:val="1A1A1A"/>
                <w:sz w:val="20"/>
                <w:szCs w:val="20"/>
              </w:rPr>
              <w:t xml:space="preserve">Address the recall soft spot and translate FPR into “alerts per million transactions.” See 5.3.</w:t>
            </w:r>
          </w:p>
        </w:tc>
      </w:tr>
      <w:tr>
        <w:tc>
          <w:tcPr>
            <w:tcW w:type="dxa" w:w="2100"/>
            <w:shd w:fill="F3F3F3" w:color="auto" w:val="clear"/>
            <w:tcMar>
              <w:top w:type="dxa" w:w="80"/>
              <w:left w:type="dxa" w:w="110"/>
              <w:bottom w:type="dxa" w:w="80"/>
              <w:right w:type="dxa" w:w="110"/>
            </w:tcMar>
          </w:tcPr>
          <w:p>
            <w:pPr>
              <w:jc w:val="left"/>
            </w:pPr>
            <w:r>
              <w:rPr>
                <w:b w:val="false"/>
                <w:bCs w:val="false"/>
                <w:color w:val="1A1A1A"/>
                <w:sz w:val="20"/>
                <w:szCs w:val="20"/>
              </w:rPr>
              <w:t xml:space="preserve">Novelty of the solution</w:t>
            </w:r>
          </w:p>
        </w:tc>
        <w:tc>
          <w:tcPr>
            <w:tcW w:type="dxa" w:w="3900"/>
            <w:tcMar>
              <w:top w:type="dxa" w:w="80"/>
              <w:left w:type="dxa" w:w="110"/>
              <w:bottom w:type="dxa" w:w="80"/>
              <w:right w:type="dxa" w:w="110"/>
            </w:tcMar>
          </w:tcPr>
          <w:p>
            <w:pPr>
              <w:jc w:val="left"/>
            </w:pPr>
            <w:r>
              <w:rPr>
                <w:b w:val="false"/>
                <w:bCs w:val="false"/>
                <w:color w:val="1A1A1A"/>
                <w:sz w:val="20"/>
                <w:szCs w:val="20"/>
              </w:rPr>
              <w:t xml:space="preserve">This is your strongest axis. The closed loop plus the LOAFO “does hardening generalize or just memorize?” test is a genuinely original framing; the honest GenAI-brackets-a-deterministic-core design is defensible.</w:t>
            </w:r>
          </w:p>
        </w:tc>
        <w:tc>
          <w:tcPr>
            <w:tcW w:type="dxa" w:w="3360"/>
            <w:tcMar>
              <w:top w:type="dxa" w:w="80"/>
              <w:left w:type="dxa" w:w="110"/>
              <w:bottom w:type="dxa" w:w="80"/>
              <w:right w:type="dxa" w:w="110"/>
            </w:tcMar>
          </w:tcPr>
          <w:p>
            <w:pPr>
              <w:jc w:val="left"/>
            </w:pPr>
            <w:r>
              <w:rPr>
                <w:b w:val="false"/>
                <w:bCs w:val="false"/>
                <w:color w:val="1A1A1A"/>
                <w:sz w:val="20"/>
                <w:szCs w:val="20"/>
              </w:rPr>
              <w:t xml:space="preserve">Name it explicitly in the walkthrough opening and closing. Mention the claims audit exists — few teams have one.</w:t>
            </w:r>
          </w:p>
        </w:tc>
      </w:tr>
      <w:tr>
        <w:tc>
          <w:tcPr>
            <w:tcW w:type="dxa" w:w="2100"/>
            <w:shd w:fill="F3F3F3" w:color="auto" w:val="clear"/>
            <w:tcMar>
              <w:top w:type="dxa" w:w="80"/>
              <w:left w:type="dxa" w:w="110"/>
              <w:bottom w:type="dxa" w:w="80"/>
              <w:right w:type="dxa" w:w="110"/>
            </w:tcMar>
          </w:tcPr>
          <w:p>
            <w:pPr>
              <w:jc w:val="left"/>
            </w:pPr>
            <w:r>
              <w:rPr>
                <w:b w:val="false"/>
                <w:bCs w:val="false"/>
                <w:color w:val="1A1A1A"/>
                <w:sz w:val="20"/>
                <w:szCs w:val="20"/>
              </w:rPr>
              <w:t xml:space="preserve">Real-world feasibility in live payments</w:t>
            </w:r>
          </w:p>
        </w:tc>
        <w:tc>
          <w:tcPr>
            <w:tcW w:type="dxa" w:w="3900"/>
            <w:tcMar>
              <w:top w:type="dxa" w:w="80"/>
              <w:left w:type="dxa" w:w="110"/>
              <w:bottom w:type="dxa" w:w="80"/>
              <w:right w:type="dxa" w:w="110"/>
            </w:tcMar>
          </w:tcPr>
          <w:p>
            <w:pPr>
              <w:jc w:val="left"/>
            </w:pPr>
            <w:r>
              <w:rPr>
                <w:b w:val="false"/>
                <w:bCs w:val="false"/>
                <w:color w:val="1A1A1A"/>
                <w:sz w:val="20"/>
                <w:szCs w:val="20"/>
              </w:rPr>
              <w:t xml:space="preserve">Good bones: read-only scoring API, single-digit-ms latency, decision-time-safe features, train-only fitting.</w:t>
            </w:r>
          </w:p>
        </w:tc>
        <w:tc>
          <w:tcPr>
            <w:tcW w:type="dxa" w:w="3360"/>
            <w:tcMar>
              <w:top w:type="dxa" w:w="80"/>
              <w:left w:type="dxa" w:w="110"/>
              <w:bottom w:type="dxa" w:w="80"/>
              <w:right w:type="dxa" w:w="110"/>
            </w:tcMar>
          </w:tcPr>
          <w:p>
            <w:pPr>
              <w:jc w:val="left"/>
            </w:pPr>
            <w:r>
              <w:rPr>
                <w:b w:val="false"/>
                <w:bCs w:val="false"/>
                <w:color w:val="1A1A1A"/>
                <w:sz w:val="20"/>
                <w:szCs w:val="20"/>
              </w:rPr>
              <w:t xml:space="preserve">Add a one-page “how this runs inside a bank” section: feature store, shadow / champion-challenger deploy, label latency, analyst feedback into the next hardening round. See 5.5.</w:t>
            </w:r>
          </w:p>
        </w:tc>
      </w:tr>
    </w:tbl>
    <w:p>
      <w:pPr>
        <w:pStyle w:val="Heading1"/>
        <w:spacing w:after="140" w:before="320"/>
      </w:pPr>
      <w:r>
        <w:rPr>
          <w:b/>
          <w:bCs/>
          <w:color w:val="1A1A1A"/>
        </w:rPr>
        <w:t xml:space="preserve">3. What is already working well</w:t>
      </w:r>
    </w:p>
    <w:p>
      <w:pPr>
        <w:pStyle w:val="ListParagraph"/>
        <w:numPr>
          <w:ilvl w:val="0"/>
          <w:numId w:val="2"/>
        </w:numPr>
        <w:spacing w:after="60" w:line="290"/>
      </w:pPr>
      <w:r>
        <w:rPr>
          <w:b/>
          <w:bCs/>
          <w:sz w:val="21"/>
          <w:szCs w:val="21"/>
        </w:rPr>
        <w:t xml:space="preserve">End-to-end and real.</w:t>
      </w:r>
      <w:r>
        <w:rPr>
          <w:sz w:val="21"/>
          <w:szCs w:val="21"/>
        </w:rPr>
        <w:t xml:space="preserve"> All three pillars are implemented and wired together; every headline number is read from a persisted artifact on disk, not computed in a slide.</w:t>
      </w:r>
    </w:p>
    <w:p>
      <w:pPr>
        <w:pStyle w:val="ListParagraph"/>
        <w:numPr>
          <w:ilvl w:val="0"/>
          <w:numId w:val="2"/>
        </w:numPr>
        <w:spacing w:after="60" w:line="290"/>
      </w:pPr>
      <w:r>
        <w:rPr>
          <w:b/>
          <w:bCs/>
          <w:sz w:val="21"/>
          <w:szCs w:val="21"/>
        </w:rPr>
        <w:t xml:space="preserve">Evaluation rigor.</w:t>
      </w:r>
      <w:r>
        <w:rPr>
          <w:sz w:val="21"/>
          <w:szCs w:val="21"/>
        </w:rPr>
        <w:t xml:space="preserve"> Entity- and time-based splits assigned once by the harness; feature extractors use strictly-earlier events; encoders fit on train only; models are never scored on rows just added to their training set. This is the part teams most often get wrong.</w:t>
      </w:r>
    </w:p>
    <w:p>
      <w:pPr>
        <w:pStyle w:val="ListParagraph"/>
        <w:numPr>
          <w:ilvl w:val="0"/>
          <w:numId w:val="2"/>
        </w:numPr>
        <w:spacing w:after="60" w:line="290"/>
      </w:pPr>
      <w:r>
        <w:rPr>
          <w:b/>
          <w:bCs/>
          <w:sz w:val="21"/>
          <w:szCs w:val="21"/>
        </w:rPr>
        <w:t xml:space="preserve">LOAFO benchmark.</w:t>
      </w:r>
      <w:r>
        <w:rPr>
          <w:sz w:val="21"/>
          <w:szCs w:val="21"/>
        </w:rPr>
        <w:t xml:space="preserve"> Leave-One-Attack-Family-Out, with the held-out family contributing zero training rows and file hashes verified unchanged before/after scoring. Reporting the 0% mule-network fold instead of hiding it builds credibility.</w:t>
      </w:r>
    </w:p>
    <w:p>
      <w:pPr>
        <w:pStyle w:val="ListParagraph"/>
        <w:numPr>
          <w:ilvl w:val="0"/>
          <w:numId w:val="2"/>
        </w:numPr>
        <w:spacing w:after="60" w:line="290"/>
      </w:pPr>
      <w:r>
        <w:rPr>
          <w:b/>
          <w:bCs/>
          <w:sz w:val="21"/>
          <w:szCs w:val="21"/>
        </w:rPr>
        <w:t xml:space="preserve">Claims audit.</w:t>
      </w:r>
      <w:r>
        <w:rPr>
          <w:sz w:val="21"/>
          <w:szCs w:val="21"/>
        </w:rPr>
        <w:t xml:space="preserve"> docs/CLAIMS_AUDIT.md separates supported claims, directional findings, limitations, and “claims we must NOT make.” This is a differentiator — surface it to judges.</w:t>
      </w:r>
    </w:p>
    <w:p>
      <w:pPr>
        <w:pStyle w:val="ListParagraph"/>
        <w:numPr>
          <w:ilvl w:val="0"/>
          <w:numId w:val="2"/>
        </w:numPr>
        <w:spacing w:after="60" w:line="290"/>
      </w:pPr>
      <w:r>
        <w:rPr>
          <w:b/>
          <w:bCs/>
          <w:sz w:val="21"/>
          <w:szCs w:val="21"/>
        </w:rPr>
        <w:t xml:space="preserve">Honest GenAI integration.</w:t>
      </w:r>
      <w:r>
        <w:rPr>
          <w:sz w:val="21"/>
          <w:szCs w:val="21"/>
        </w:rPr>
        <w:t xml:space="preserve"> The reasoning layer fails loudly with no API key (no fabricated reasoning), and offline replays are always stamped live: false. The deterministic simulator keeps corpora reproducible from a seed.</w:t>
      </w:r>
    </w:p>
    <w:p>
      <w:pPr>
        <w:pStyle w:val="ListParagraph"/>
        <w:numPr>
          <w:ilvl w:val="0"/>
          <w:numId w:val="2"/>
        </w:numPr>
        <w:spacing w:after="60" w:line="290"/>
      </w:pPr>
      <w:r>
        <w:rPr>
          <w:b/>
          <w:bCs/>
          <w:sz w:val="21"/>
          <w:szCs w:val="21"/>
        </w:rPr>
        <w:t xml:space="preserve">Repo hygiene.</w:t>
      </w:r>
      <w:r>
        <w:rPr>
          <w:sz w:val="21"/>
          <w:szCs w:val="21"/>
        </w:rPr>
        <w:t xml:space="preserve"> .gitignore correctly excludes data/ and models/ with a deliberate carve-out for the small submission/artifacts/ evidence bundle, so a clean clone runs the UI with no multi-GB download.</w:t>
      </w:r>
    </w:p>
    <w:p>
      <w:pPr>
        <w:pStyle w:val="ListParagraph"/>
        <w:numPr>
          <w:ilvl w:val="0"/>
          <w:numId w:val="2"/>
        </w:numPr>
        <w:spacing w:after="60" w:line="290"/>
      </w:pPr>
      <w:r>
        <w:rPr>
          <w:b/>
          <w:bCs/>
          <w:sz w:val="21"/>
          <w:szCs w:val="21"/>
        </w:rPr>
        <w:t xml:space="preserve">Defense-in-depth in the API.</w:t>
      </w:r>
      <w:r>
        <w:rPr>
          <w:sz w:val="21"/>
          <w:szCs w:val="21"/>
        </w:rPr>
        <w:t xml:space="preserve"> src/aegis/api/paths.py validates every id as a single-segment slug and confirms the resolved path stays inside the artifacts root — real path-traversal protection, not just trust in the index.</w:t>
      </w:r>
    </w:p>
    <w:p>
      <w:pPr>
        <w:pStyle w:val="ListParagraph"/>
        <w:numPr>
          <w:ilvl w:val="0"/>
          <w:numId w:val="2"/>
        </w:numPr>
        <w:spacing w:after="60" w:line="290"/>
      </w:pPr>
      <w:r>
        <w:rPr>
          <w:b/>
          <w:bCs/>
          <w:sz w:val="21"/>
          <w:szCs w:val="21"/>
        </w:rPr>
        <w:t xml:space="preserve">Web app builds clean.</w:t>
      </w:r>
      <w:r>
        <w:rPr>
          <w:sz w:val="21"/>
          <w:szCs w:val="21"/>
        </w:rPr>
        <w:t xml:space="preserve"> tsc -b: 0 errors. vite build: succeeds. oxlint: warnings only, no errors.</w:t>
      </w:r>
    </w:p>
    <w:p>
      <w:r>
        <w:br w:type="page"/>
      </w:r>
    </w:p>
    <w:p>
      <w:pPr>
        <w:pStyle w:val="Heading1"/>
        <w:spacing w:after="140" w:before="320"/>
      </w:pPr>
      <w:r>
        <w:rPr>
          <w:b/>
          <w:bCs/>
          <w:color w:val="1A1A1A"/>
        </w:rPr>
        <w:t xml:space="preserve">4. Findings and recommended changes</w:t>
      </w:r>
    </w:p>
    <w:p>
      <w:pPr>
        <w:spacing w:after="120" w:line="300"/>
      </w:pPr>
      <w:r>
        <w:rPr>
          <w:sz w:val="21"/>
          <w:szCs w:val="21"/>
        </w:rPr>
        <w:t xml:space="preserve">Grouped by priority. </w:t>
      </w:r>
      <w:r>
        <w:rPr>
          <w:b/>
          <w:bCs/>
          <w:color w:val="C8102E"/>
          <w:sz w:val="21"/>
          <w:szCs w:val="21"/>
        </w:rPr>
        <w:t xml:space="preserve">P0</w:t>
      </w:r>
      <w:r>
        <w:rPr>
          <w:sz w:val="21"/>
          <w:szCs w:val="21"/>
        </w:rPr>
        <w:t xml:space="preserve"> = do before you submit; </w:t>
      </w:r>
      <w:r>
        <w:rPr>
          <w:b/>
          <w:bCs/>
          <w:color w:val="C8102E"/>
          <w:sz w:val="21"/>
          <w:szCs w:val="21"/>
        </w:rPr>
        <w:t xml:space="preserve">P1</w:t>
      </w:r>
      <w:r>
        <w:rPr>
          <w:sz w:val="21"/>
          <w:szCs w:val="21"/>
        </w:rPr>
        <w:t xml:space="preserve"> = high value, do if the day allows; </w:t>
      </w:r>
      <w:r>
        <w:rPr>
          <w:b/>
          <w:bCs/>
          <w:color w:val="C8102E"/>
          <w:sz w:val="21"/>
          <w:szCs w:val="21"/>
        </w:rPr>
        <w:t xml:space="preserve">P2</w:t>
      </w:r>
      <w:r>
        <w:rPr>
          <w:sz w:val="21"/>
          <w:szCs w:val="21"/>
        </w:rPr>
        <w:t xml:space="preserve"> = post-deadline / presentation polish.</w:t>
      </w:r>
    </w:p>
    <w:p>
      <w:pPr>
        <w:pStyle w:val="Heading2"/>
        <w:spacing w:after="100" w:before="240"/>
      </w:pPr>
      <w:r>
        <w:rPr>
          <w:b/>
          <w:bCs/>
          <w:color w:val="C8102E"/>
        </w:rPr>
        <w:t xml:space="preserve">P0 — close before submitting</w:t>
      </w:r>
    </w:p>
    <w:p>
      <w:pPr>
        <w:pStyle w:val="Heading3"/>
        <w:spacing w:after="80" w:before="180"/>
      </w:pPr>
      <w:r>
        <w:rPr>
          <w:b/>
          <w:bCs/>
          <w:color w:val="1A1A1A"/>
        </w:rPr>
        <w:t xml:space="preserve">P0-1  Bump the pinned anthropic SDK floor</w:t>
      </w:r>
    </w:p>
    <w:p>
      <w:pPr>
        <w:spacing w:after="120" w:line="300"/>
      </w:pPr>
      <w:r>
        <w:rPr>
          <w:b/>
          <w:bCs/>
          <w:sz w:val="21"/>
          <w:szCs w:val="21"/>
        </w:rPr>
        <w:t xml:space="preserve">File: </w:t>
      </w:r>
      <w:r>
        <w:rPr>
          <w:rFonts w:ascii="Consolas" w:cs="Consolas" w:eastAsia="Consolas" w:hAnsi="Consolas"/>
          <w:sz w:val="20"/>
          <w:szCs w:val="20"/>
        </w:rPr>
        <w:t xml:space="preserve">pyproject.toml</w:t>
      </w:r>
      <w:r>
        <w:rPr>
          <w:sz w:val="21"/>
          <w:szCs w:val="21"/>
        </w:rPr>
        <w:t xml:space="preserve">  (optional-dependencies, </w:t>
      </w:r>
      <w:r>
        <w:rPr>
          <w:rFonts w:ascii="Consolas" w:cs="Consolas" w:eastAsia="Consolas" w:hAnsi="Consolas"/>
          <w:sz w:val="20"/>
          <w:szCs w:val="20"/>
        </w:rPr>
        <w:t xml:space="preserve">genai</w:t>
      </w:r>
      <w:r>
        <w:rPr>
          <w:sz w:val="21"/>
          <w:szCs w:val="21"/>
        </w:rPr>
        <w:t xml:space="preserve"> extra).</w:t>
      </w:r>
    </w:p>
    <w:p>
      <w:pPr>
        <w:spacing w:after="120" w:line="300"/>
      </w:pPr>
      <w:r>
        <w:rPr>
          <w:sz w:val="21"/>
          <w:szCs w:val="21"/>
        </w:rPr>
        <w:t xml:space="preserve">The extra pins </w:t>
      </w:r>
      <w:r>
        <w:rPr>
          <w:rFonts w:ascii="Consolas" w:cs="Consolas" w:eastAsia="Consolas" w:hAnsi="Consolas"/>
          <w:sz w:val="20"/>
          <w:szCs w:val="20"/>
        </w:rPr>
        <w:t xml:space="preserve">anthropic&gt;=0.40</w:t>
      </w:r>
      <w:r>
        <w:rPr>
          <w:sz w:val="21"/>
          <w:szCs w:val="21"/>
        </w:rPr>
        <w:t xml:space="preserve">, but src/aegis/genai/provider.py calls </w:t>
      </w:r>
      <w:r>
        <w:rPr>
          <w:rFonts w:ascii="Consolas" w:cs="Consolas" w:eastAsia="Consolas" w:hAnsi="Consolas"/>
          <w:sz w:val="20"/>
          <w:szCs w:val="20"/>
        </w:rPr>
        <w:t xml:space="preserve">messages.create</w:t>
      </w:r>
      <w:r>
        <w:rPr>
          <w:sz w:val="21"/>
          <w:szCs w:val="21"/>
        </w:rPr>
        <w:t xml:space="preserve"> with </w:t>
      </w:r>
      <w:r>
        <w:rPr>
          <w:rFonts w:ascii="Consolas" w:cs="Consolas" w:eastAsia="Consolas" w:hAnsi="Consolas"/>
          <w:sz w:val="20"/>
          <w:szCs w:val="20"/>
        </w:rPr>
        <w:t xml:space="preserve">output_config.format.schema</w:t>
      </w:r>
      <w:r>
        <w:rPr>
          <w:sz w:val="21"/>
          <w:szCs w:val="21"/>
        </w:rPr>
        <w:t xml:space="preserve"> (structured outputs) and </w:t>
      </w:r>
      <w:r>
        <w:rPr>
          <w:rFonts w:ascii="Consolas" w:cs="Consolas" w:eastAsia="Consolas" w:hAnsi="Consolas"/>
          <w:sz w:val="20"/>
          <w:szCs w:val="20"/>
        </w:rPr>
        <w:t xml:space="preserve">thinking={"type": "adaptive"}</w:t>
      </w:r>
      <w:r>
        <w:rPr>
          <w:sz w:val="21"/>
          <w:szCs w:val="21"/>
        </w:rPr>
        <w:t xml:space="preserve">. Those API features are far newer than the 0.40 line. A fresh </w:t>
      </w:r>
      <w:r>
        <w:rPr>
          <w:rFonts w:ascii="Consolas" w:cs="Consolas" w:eastAsia="Consolas" w:hAnsi="Consolas"/>
          <w:sz w:val="20"/>
          <w:szCs w:val="20"/>
        </w:rPr>
        <w:t xml:space="preserve">pip install</w:t>
      </w:r>
      <w:r>
        <w:rPr>
          <w:sz w:val="21"/>
          <w:szCs w:val="21"/>
        </w:rPr>
        <w:t xml:space="preserve"> pulls a current SDK so it works today, but a constrained resolver that honors the floor would install a version that raises a TypeError or a 400 at run time — and a judge reproducing the GenAI step is exactly who would hit it.</w:t>
      </w:r>
    </w:p>
    <w:p>
      <w:pPr>
        <w:pStyle w:val="ListParagraph"/>
        <w:numPr>
          <w:ilvl w:val="0"/>
          <w:numId w:val="2"/>
        </w:numPr>
        <w:spacing w:after="60" w:line="290"/>
      </w:pPr>
      <w:r>
        <w:rPr>
          <w:sz w:val="21"/>
          <w:szCs w:val="21"/>
        </w:rPr>
        <w:t xml:space="preserve">Fix: set the floor to the version you have actually run the live GenAI path against (check with </w:t>
      </w:r>
      <w:r>
        <w:rPr>
          <w:rFonts w:ascii="Consolas" w:cs="Consolas" w:eastAsia="Consolas" w:hAnsi="Consolas"/>
          <w:sz w:val="20"/>
          <w:szCs w:val="20"/>
        </w:rPr>
        <w:t xml:space="preserve">pip show anthropic</w:t>
      </w:r>
      <w:r>
        <w:rPr>
          <w:sz w:val="21"/>
          <w:szCs w:val="21"/>
        </w:rPr>
        <w:t xml:space="preserve">), e.g. </w:t>
      </w:r>
      <w:r>
        <w:rPr>
          <w:rFonts w:ascii="Consolas" w:cs="Consolas" w:eastAsia="Consolas" w:hAnsi="Consolas"/>
          <w:sz w:val="20"/>
          <w:szCs w:val="20"/>
        </w:rPr>
        <w:t xml:space="preserve">anthropic&gt;=0.69</w:t>
      </w:r>
      <w:r>
        <w:rPr>
          <w:sz w:val="21"/>
          <w:szCs w:val="21"/>
        </w:rPr>
        <w:t xml:space="preserve">. Commit the lockstep change to any docs that quote the old pin.</w:t>
      </w:r>
    </w:p>
    <w:p>
      <w:pPr>
        <w:pStyle w:val="Heading3"/>
        <w:spacing w:after="80" w:before="180"/>
      </w:pPr>
      <w:r>
        <w:rPr>
          <w:b/>
          <w:bCs/>
          <w:color w:val="1A1A1A"/>
        </w:rPr>
        <w:t xml:space="preserve">P0-2  Run the full check on the exact submission commit</w:t>
      </w:r>
    </w:p>
    <w:p>
      <w:pPr>
        <w:spacing w:after="120" w:line="300"/>
      </w:pPr>
      <w:r>
        <w:rPr>
          <w:sz w:val="21"/>
          <w:szCs w:val="21"/>
        </w:rPr>
        <w:t xml:space="preserve">docs/SUBMISSION_CHECKLIST.md item 3 (“make check passes clean on the exact commit you submit”) is still unticked. This review could not run the Python side (no interpreter on the review machine).</w:t>
      </w:r>
    </w:p>
    <w:p>
      <w:pPr>
        <w:pStyle w:val="ListParagraph"/>
        <w:numPr>
          <w:ilvl w:val="0"/>
          <w:numId w:val="3"/>
        </w:numPr>
        <w:spacing w:after="60" w:line="290"/>
      </w:pPr>
      <w:r>
        <w:rPr>
          <w:sz w:val="21"/>
          <w:szCs w:val="21"/>
        </w:rPr>
        <w:t xml:space="preserve">From a clean clone of the commit you will submit: </w:t>
      </w:r>
      <w:r>
        <w:rPr>
          <w:rFonts w:ascii="Consolas" w:cs="Consolas" w:eastAsia="Consolas" w:hAnsi="Consolas"/>
          <w:sz w:val="20"/>
          <w:szCs w:val="20"/>
        </w:rPr>
        <w:t xml:space="preserve">python -m pip install -e ".[dev,api,genai]"</w:t>
      </w:r>
    </w:p>
    <w:p>
      <w:pPr>
        <w:pStyle w:val="ListParagraph"/>
        <w:numPr>
          <w:ilvl w:val="0"/>
          <w:numId w:val="3"/>
        </w:numPr>
        <w:spacing w:after="60" w:line="290"/>
      </w:pPr>
      <w:r>
        <w:rPr>
          <w:rFonts w:ascii="Consolas" w:cs="Consolas" w:eastAsia="Consolas" w:hAnsi="Consolas"/>
          <w:sz w:val="20"/>
          <w:szCs w:val="20"/>
        </w:rPr>
        <w:t xml:space="preserve">make check</w:t>
      </w:r>
      <w:r>
        <w:rPr>
          <w:sz w:val="21"/>
          <w:szCs w:val="21"/>
        </w:rPr>
        <w:t xml:space="preserve">  (ruff + strict mypy + pytest) — confirm green.</w:t>
      </w:r>
    </w:p>
    <w:p>
      <w:pPr>
        <w:pStyle w:val="ListParagraph"/>
        <w:numPr>
          <w:ilvl w:val="0"/>
          <w:numId w:val="3"/>
        </w:numPr>
        <w:spacing w:after="60" w:line="290"/>
      </w:pPr>
      <w:r>
        <w:rPr>
          <w:rFonts w:ascii="Consolas" w:cs="Consolas" w:eastAsia="Consolas" w:hAnsi="Consolas"/>
          <w:sz w:val="20"/>
          <w:szCs w:val="20"/>
        </w:rPr>
        <w:t xml:space="preserve">cd web &amp;&amp; npm ci &amp;&amp; npm run build</w:t>
      </w:r>
      <w:r>
        <w:rPr>
          <w:sz w:val="21"/>
          <w:szCs w:val="21"/>
        </w:rPr>
        <w:t xml:space="preserve">  — confirmed green in this review, re-confirm on the final commit.</w:t>
      </w:r>
    </w:p>
    <w:p>
      <w:pPr>
        <w:pStyle w:val="ListParagraph"/>
        <w:numPr>
          <w:ilvl w:val="0"/>
          <w:numId w:val="3"/>
        </w:numPr>
        <w:spacing w:after="60" w:line="290"/>
      </w:pPr>
      <w:r>
        <w:rPr>
          <w:sz w:val="21"/>
          <w:szCs w:val="21"/>
        </w:rPr>
        <w:t xml:space="preserve">Tick items 3, and 1–2 (secrets / status) in the checklist.</w:t>
      </w:r>
    </w:p>
    <w:p>
      <w:pPr>
        <w:pStyle w:val="Heading3"/>
        <w:spacing w:after="80" w:before="180"/>
      </w:pPr>
      <w:r>
        <w:rPr>
          <w:b/>
          <w:bCs/>
          <w:color w:val="1A1A1A"/>
        </w:rPr>
        <w:t xml:space="preserve">P0-3  Make the demo work without an environment variable</w:t>
      </w:r>
    </w:p>
    <w:p>
      <w:pPr>
        <w:spacing w:after="120" w:line="300"/>
      </w:pPr>
      <w:r>
        <w:rPr>
          <w:sz w:val="21"/>
          <w:szCs w:val="21"/>
        </w:rPr>
        <w:t xml:space="preserve">The clean-clone quick start requires </w:t>
      </w:r>
      <w:r>
        <w:rPr>
          <w:rFonts w:ascii="Consolas" w:cs="Consolas" w:eastAsia="Consolas" w:hAnsi="Consolas"/>
          <w:sz w:val="20"/>
          <w:szCs w:val="20"/>
        </w:rPr>
        <w:t xml:space="preserve">AEGIS_ARTIFACTS_ROOT=submission/artifacts</w:t>
      </w:r>
      <w:r>
        <w:rPr>
          <w:sz w:val="21"/>
          <w:szCs w:val="21"/>
        </w:rPr>
        <w:t xml:space="preserve"> in front of uvicorn. A judge who runs the plain </w:t>
      </w:r>
      <w:r>
        <w:rPr>
          <w:rFonts w:ascii="Consolas" w:cs="Consolas" w:eastAsia="Consolas" w:hAnsi="Consolas"/>
          <w:sz w:val="20"/>
          <w:szCs w:val="20"/>
        </w:rPr>
        <w:t xml:space="preserve">uvicorn aegis.api.app:app</w:t>
      </w:r>
      <w:r>
        <w:rPr>
          <w:sz w:val="21"/>
          <w:szCs w:val="21"/>
        </w:rPr>
        <w:t xml:space="preserve"> command (as shown in the “full pipeline” block of the README) with no local pipeline run gets empty / error states on every real screen, because the default root is the repo root and data/reports/ is git-ignored and empty there.</w:t>
      </w:r>
    </w:p>
    <w:p>
      <w:pPr>
        <w:pStyle w:val="ListParagraph"/>
        <w:numPr>
          <w:ilvl w:val="0"/>
          <w:numId w:val="2"/>
        </w:numPr>
        <w:spacing w:after="60" w:line="290"/>
      </w:pPr>
      <w:r>
        <w:rPr>
          <w:sz w:val="21"/>
          <w:szCs w:val="21"/>
        </w:rPr>
        <w:t xml:space="preserve">Fix (smallest): in src/aegis/api/settings.py, if the resolved artifacts root has no </w:t>
      </w:r>
      <w:r>
        <w:rPr>
          <w:rFonts w:ascii="Consolas" w:cs="Consolas" w:eastAsia="Consolas" w:hAnsi="Consolas"/>
          <w:sz w:val="20"/>
          <w:szCs w:val="20"/>
        </w:rPr>
        <w:t xml:space="preserve">data/reports/</w:t>
      </w:r>
      <w:r>
        <w:rPr>
          <w:sz w:val="21"/>
          <w:szCs w:val="21"/>
        </w:rPr>
        <w:t xml:space="preserve"> but </w:t>
      </w:r>
      <w:r>
        <w:rPr>
          <w:rFonts w:ascii="Consolas" w:cs="Consolas" w:eastAsia="Consolas" w:hAnsi="Consolas"/>
          <w:sz w:val="20"/>
          <w:szCs w:val="20"/>
        </w:rPr>
        <w:t xml:space="preserve">submission/artifacts/data/reports/</w:t>
      </w:r>
      <w:r>
        <w:rPr>
          <w:sz w:val="21"/>
          <w:szCs w:val="21"/>
        </w:rPr>
        <w:t xml:space="preserve"> exists, fall back to </w:t>
      </w:r>
      <w:r>
        <w:rPr>
          <w:rFonts w:ascii="Consolas" w:cs="Consolas" w:eastAsia="Consolas" w:hAnsi="Consolas"/>
          <w:sz w:val="20"/>
          <w:szCs w:val="20"/>
        </w:rPr>
        <w:t xml:space="preserve">submission/artifacts</w:t>
      </w:r>
      <w:r>
        <w:rPr>
          <w:sz w:val="21"/>
          <w:szCs w:val="21"/>
        </w:rPr>
        <w:t xml:space="preserve"> and log one line saying so.</w:t>
      </w:r>
    </w:p>
    <w:p>
      <w:pPr>
        <w:pStyle w:val="ListParagraph"/>
        <w:numPr>
          <w:ilvl w:val="0"/>
          <w:numId w:val="2"/>
        </w:numPr>
        <w:spacing w:after="60" w:line="290"/>
      </w:pPr>
      <w:r>
        <w:rPr>
          <w:sz w:val="21"/>
          <w:szCs w:val="21"/>
        </w:rPr>
        <w:t xml:space="preserve">Fix (alternative): make every README uvicorn line — not just the clean-clone one — carry the env var, and add it to a </w:t>
      </w:r>
      <w:r>
        <w:rPr>
          <w:rFonts w:ascii="Consolas" w:cs="Consolas" w:eastAsia="Consolas" w:hAnsi="Consolas"/>
          <w:sz w:val="20"/>
          <w:szCs w:val="20"/>
        </w:rPr>
        <w:t xml:space="preserve">.env.example</w:t>
      </w:r>
      <w:r>
        <w:rPr>
          <w:sz w:val="21"/>
          <w:szCs w:val="21"/>
        </w:rPr>
        <w:t xml:space="preserve"> default that settings.py loads.</w:t>
      </w:r>
    </w:p>
    <w:p>
      <w:pPr>
        <w:pStyle w:val="ListParagraph"/>
        <w:numPr>
          <w:ilvl w:val="0"/>
          <w:numId w:val="2"/>
        </w:numPr>
        <w:spacing w:after="60" w:line="290"/>
      </w:pPr>
      <w:r>
        <w:rPr>
          <w:sz w:val="21"/>
          <w:szCs w:val="21"/>
        </w:rPr>
        <w:t xml:space="preserve">Then verify from a clean clone with no pipeline run that </w:t>
      </w:r>
      <w:r>
        <w:rPr>
          <w:sz w:val="21"/>
          <w:szCs w:val="21"/>
        </w:rPr>
        <w:t xml:space="preserve">/</w:t>
      </w:r>
      <w:r>
        <w:rPr>
          <w:sz w:val="21"/>
          <w:szCs w:val="21"/>
        </w:rPr>
        <w:t xml:space="preserve">, </w:t>
      </w:r>
      <w:r>
        <w:rPr>
          <w:rFonts w:ascii="Consolas" w:cs="Consolas" w:eastAsia="Consolas" w:hAnsi="Consolas"/>
          <w:sz w:val="20"/>
          <w:szCs w:val="20"/>
        </w:rPr>
        <w:t xml:space="preserve">/co-evolution</w:t>
      </w:r>
      <w:r>
        <w:rPr>
          <w:sz w:val="21"/>
          <w:szCs w:val="21"/>
        </w:rPr>
        <w:t xml:space="preserve">, and </w:t>
      </w:r>
      <w:r>
        <w:rPr>
          <w:rFonts w:ascii="Consolas" w:cs="Consolas" w:eastAsia="Consolas" w:hAnsi="Consolas"/>
          <w:sz w:val="20"/>
          <w:szCs w:val="20"/>
        </w:rPr>
        <w:t xml:space="preserve">/final-benchmark</w:t>
      </w:r>
      <w:r>
        <w:rPr>
          <w:sz w:val="21"/>
          <w:szCs w:val="21"/>
        </w:rPr>
        <w:t xml:space="preserve"> all load real data.</w:t>
      </w:r>
    </w:p>
    <w:p>
      <w:pPr>
        <w:pStyle w:val="Heading2"/>
        <w:spacing w:after="100" w:before="240"/>
      </w:pPr>
      <w:r>
        <w:rPr>
          <w:b/>
          <w:bCs/>
          <w:color w:val="C8102E"/>
        </w:rPr>
        <w:t xml:space="preserve">P1 — high value if the day allows</w:t>
      </w:r>
    </w:p>
    <w:p>
      <w:pPr>
        <w:pStyle w:val="Heading3"/>
        <w:spacing w:after="80" w:before="180"/>
      </w:pPr>
      <w:r>
        <w:rPr>
          <w:b/>
          <w:bCs/>
          <w:color w:val="1A1A1A"/>
        </w:rPr>
        <w:t xml:space="preserve">P1-1  useApiResource effect may refetch-loop</w:t>
      </w:r>
    </w:p>
    <w:p>
      <w:pPr>
        <w:spacing w:after="120" w:line="300"/>
      </w:pPr>
      <w:r>
        <w:rPr>
          <w:b/>
          <w:bCs/>
          <w:sz w:val="21"/>
          <w:szCs w:val="21"/>
        </w:rPr>
        <w:t xml:space="preserve">File: </w:t>
      </w:r>
      <w:r>
        <w:rPr>
          <w:rFonts w:ascii="Consolas" w:cs="Consolas" w:eastAsia="Consolas" w:hAnsi="Consolas"/>
          <w:sz w:val="20"/>
          <w:szCs w:val="20"/>
        </w:rPr>
        <w:t xml:space="preserve">web/src/api/useApiResource.ts</w:t>
      </w:r>
      <w:r>
        <w:rPr>
          <w:sz w:val="21"/>
          <w:szCs w:val="21"/>
        </w:rPr>
        <w:t xml:space="preserve"> (~line 23). </w:t>
      </w:r>
      <w:r>
        <w:rPr>
          <w:sz w:val="21"/>
          <w:szCs w:val="21"/>
        </w:rPr>
        <w:t xml:space="preserve">oxlint flags a </w:t>
      </w:r>
      <w:r>
        <w:rPr>
          <w:rFonts w:ascii="Consolas" w:cs="Consolas" w:eastAsia="Consolas" w:hAnsi="Consolas"/>
          <w:sz w:val="20"/>
          <w:szCs w:val="20"/>
        </w:rPr>
        <w:t xml:space="preserve">useEffect</w:t>
      </w:r>
      <w:r>
        <w:rPr>
          <w:sz w:val="21"/>
          <w:szCs w:val="21"/>
        </w:rPr>
        <w:t xml:space="preserve"> that calls setState with no dependency array (“can lead to an infinite chain of updates”). Every “Real pipeline data” screen depends on this hook, so a refetch storm here would be very visible on stage. Add the correct dependency array (or a </w:t>
      </w:r>
      <w:r>
        <w:rPr>
          <w:rFonts w:ascii="Consolas" w:cs="Consolas" w:eastAsia="Consolas" w:hAnsi="Consolas"/>
          <w:sz w:val="20"/>
          <w:szCs w:val="20"/>
        </w:rPr>
        <w:t xml:space="preserve">useRef</w:t>
      </w:r>
      <w:r>
        <w:rPr>
          <w:sz w:val="21"/>
          <w:szCs w:val="21"/>
        </w:rPr>
        <w:t xml:space="preserve"> guard / </w:t>
      </w:r>
      <w:r>
        <w:rPr>
          <w:rFonts w:ascii="Consolas" w:cs="Consolas" w:eastAsia="Consolas" w:hAnsi="Consolas"/>
          <w:sz w:val="20"/>
          <w:szCs w:val="20"/>
        </w:rPr>
        <w:t xml:space="preserve">AbortController</w:t>
      </w:r>
      <w:r>
        <w:rPr>
          <w:sz w:val="21"/>
          <w:szCs w:val="21"/>
        </w:rPr>
        <w:t xml:space="preserve"> already-in-flight check) and watch the network panel on a slow connection.</w:t>
      </w:r>
    </w:p>
    <w:p>
      <w:pPr>
        <w:pStyle w:val="Heading3"/>
        <w:spacing w:after="80" w:before="180"/>
      </w:pPr>
      <w:r>
        <w:rPr>
          <w:b/>
          <w:bCs/>
          <w:color w:val="1A1A1A"/>
        </w:rPr>
        <w:t xml:space="preserve">P1-2  Expand the attack taxonomy — see 5.1</w:t>
      </w:r>
    </w:p>
    <w:p>
      <w:pPr>
        <w:spacing w:after="120" w:line="300"/>
      </w:pPr>
      <w:r>
        <w:rPr>
          <w:sz w:val="21"/>
          <w:szCs w:val="21"/>
        </w:rPr>
        <w:t xml:space="preserve">Pure data entry against src/aegis/identify/taxonomy.py; the single biggest available gain on the “diversity” criterion. Details and a candidate list in section 5.1.</w:t>
      </w:r>
    </w:p>
    <w:p>
      <w:pPr>
        <w:pStyle w:val="Heading3"/>
        <w:spacing w:after="80" w:before="180"/>
      </w:pPr>
      <w:r>
        <w:rPr>
          <w:b/>
          <w:bCs/>
          <w:color w:val="1A1A1A"/>
        </w:rPr>
        <w:t xml:space="preserve">P1-3  Recall / false-positive framing — see 5.3</w:t>
      </w:r>
    </w:p>
    <w:p>
      <w:pPr>
        <w:spacing w:after="120" w:line="300"/>
      </w:pPr>
      <w:r>
        <w:rPr>
          <w:sz w:val="21"/>
          <w:szCs w:val="21"/>
        </w:rPr>
        <w:t xml:space="preserve">You already compute recall_at_fixed_fpr; putting it on screen and translating FPR into alert volume is a small change with a large effect on how the “efficacy” and “feasibility” criteria read.</w:t>
      </w:r>
    </w:p>
    <w:p>
      <w:pPr>
        <w:pStyle w:val="Heading3"/>
        <w:spacing w:after="80" w:before="180"/>
      </w:pPr>
      <w:r>
        <w:rPr>
          <w:b/>
          <w:bCs/>
          <w:color w:val="1A1A1A"/>
        </w:rPr>
        <w:t xml:space="preserve">P1-4  Code-split the web bundle</w:t>
      </w:r>
    </w:p>
    <w:p>
      <w:pPr>
        <w:spacing w:after="120" w:line="300"/>
      </w:pPr>
      <w:r>
        <w:rPr>
          <w:sz w:val="21"/>
          <w:szCs w:val="21"/>
        </w:rPr>
        <w:t xml:space="preserve">vite build emits a single 720 kB JS chunk (207 kB gzip), over Vite’s 500 kB warning. Convert the eight page components in web/src/pages/ to </w:t>
      </w:r>
      <w:r>
        <w:rPr>
          <w:rFonts w:ascii="Consolas" w:cs="Consolas" w:eastAsia="Consolas" w:hAnsi="Consolas"/>
          <w:sz w:val="20"/>
          <w:szCs w:val="20"/>
        </w:rPr>
        <w:t xml:space="preserve">React.lazy</w:t>
      </w:r>
      <w:r>
        <w:rPr>
          <w:sz w:val="21"/>
          <w:szCs w:val="21"/>
        </w:rPr>
        <w:t xml:space="preserve"> + </w:t>
      </w:r>
      <w:r>
        <w:rPr>
          <w:rFonts w:ascii="Consolas" w:cs="Consolas" w:eastAsia="Consolas" w:hAnsi="Consolas"/>
          <w:sz w:val="20"/>
          <w:szCs w:val="20"/>
        </w:rPr>
        <w:t xml:space="preserve">&lt;Suspense&gt;</w:t>
      </w:r>
      <w:r>
        <w:rPr>
          <w:sz w:val="21"/>
          <w:szCs w:val="21"/>
        </w:rPr>
        <w:t xml:space="preserve"> route elements. ~30 minutes, and it noticeably improves first paint on a cold-deployed demo over conference Wi-Fi.</w:t>
      </w:r>
    </w:p>
    <w:p>
      <w:pPr>
        <w:pStyle w:val="Heading2"/>
        <w:spacing w:after="100" w:before="240"/>
      </w:pPr>
      <w:r>
        <w:rPr>
          <w:b/>
          <w:bCs/>
          <w:color w:val="C8102E"/>
        </w:rPr>
        <w:t xml:space="preserve">P2 — polish / post-deadline</w:t>
      </w:r>
    </w:p>
    <w:p>
      <w:pPr>
        <w:pStyle w:val="ListParagraph"/>
        <w:numPr>
          <w:ilvl w:val="0"/>
          <w:numId w:val="2"/>
        </w:numPr>
        <w:spacing w:after="60" w:line="290"/>
      </w:pPr>
      <w:r>
        <w:rPr>
          <w:sz w:val="21"/>
          <w:szCs w:val="21"/>
        </w:rPr>
        <w:t xml:space="preserve">provider.py sends </w:t>
      </w:r>
      <w:r>
        <w:rPr>
          <w:rFonts w:ascii="Consolas" w:cs="Consolas" w:eastAsia="Consolas" w:hAnsi="Consolas"/>
          <w:sz w:val="20"/>
          <w:szCs w:val="20"/>
        </w:rPr>
        <w:t xml:space="preserve">thinking={"type":"adaptive"}</w:t>
      </w:r>
      <w:r>
        <w:rPr>
          <w:sz w:val="21"/>
          <w:szCs w:val="21"/>
        </w:rPr>
        <w:t xml:space="preserve"> unconditionally. Fine for the claude-opus-5 default, but the documented </w:t>
      </w:r>
      <w:r>
        <w:rPr>
          <w:rFonts w:ascii="Consolas" w:cs="Consolas" w:eastAsia="Consolas" w:hAnsi="Consolas"/>
          <w:sz w:val="20"/>
          <w:szCs w:val="20"/>
        </w:rPr>
        <w:t xml:space="preserve">AEGIS_GENAI_MODEL</w:t>
      </w:r>
      <w:r>
        <w:rPr>
          <w:sz w:val="21"/>
          <w:szCs w:val="21"/>
        </w:rPr>
        <w:t xml:space="preserve"> override would 400 on a pre-4.6 model. Gate the param by model id, or document that the override only accepts adaptive-capable models.</w:t>
      </w:r>
    </w:p>
    <w:p>
      <w:pPr>
        <w:pStyle w:val="ListParagraph"/>
        <w:numPr>
          <w:ilvl w:val="0"/>
          <w:numId w:val="2"/>
        </w:numPr>
        <w:spacing w:after="60" w:line="290"/>
      </w:pPr>
      <w:r>
        <w:rPr>
          <w:sz w:val="21"/>
          <w:szCs w:val="21"/>
        </w:rPr>
        <w:t xml:space="preserve">No server-side </w:t>
      </w:r>
      <w:r>
        <w:rPr>
          <w:rFonts w:ascii="Consolas" w:cs="Consolas" w:eastAsia="Consolas" w:hAnsi="Consolas"/>
          <w:sz w:val="20"/>
          <w:szCs w:val="20"/>
        </w:rPr>
        <w:t xml:space="preserve">fallbacks</w:t>
      </w:r>
      <w:r>
        <w:rPr>
          <w:sz w:val="21"/>
          <w:szCs w:val="21"/>
        </w:rPr>
        <w:t xml:space="preserve"> on the live call. Optional given the deliberate fail-loud design; a refusal simply surfaces as a visible error.</w:t>
      </w:r>
    </w:p>
    <w:p>
      <w:pPr>
        <w:pStyle w:val="ListParagraph"/>
        <w:numPr>
          <w:ilvl w:val="0"/>
          <w:numId w:val="2"/>
        </w:numPr>
        <w:spacing w:after="60" w:line="290"/>
      </w:pPr>
      <w:r>
        <w:rPr>
          <w:sz w:val="21"/>
          <w:szCs w:val="21"/>
        </w:rPr>
        <w:t xml:space="preserve">provider.py reads </w:t>
      </w:r>
      <w:r>
        <w:rPr>
          <w:rFonts w:ascii="Consolas" w:cs="Consolas" w:eastAsia="Consolas" w:hAnsi="Consolas"/>
          <w:sz w:val="20"/>
          <w:szCs w:val="20"/>
        </w:rPr>
        <w:t xml:space="preserve">response._request_id</w:t>
      </w:r>
      <w:r>
        <w:rPr>
          <w:sz w:val="21"/>
          <w:szCs w:val="21"/>
        </w:rPr>
        <w:t xml:space="preserve"> (private SDK attribute). Works, but can break on an SDK bump — wrap in a </w:t>
      </w:r>
      <w:r>
        <w:rPr>
          <w:rFonts w:ascii="Consolas" w:cs="Consolas" w:eastAsia="Consolas" w:hAnsi="Consolas"/>
          <w:sz w:val="20"/>
          <w:szCs w:val="20"/>
        </w:rPr>
        <w:t xml:space="preserve">getattr</w:t>
      </w:r>
      <w:r>
        <w:rPr>
          <w:sz w:val="21"/>
          <w:szCs w:val="21"/>
        </w:rPr>
        <w:t xml:space="preserve"> with a documented fallback (already partly done).</w:t>
      </w:r>
    </w:p>
    <w:p>
      <w:pPr>
        <w:pStyle w:val="ListParagraph"/>
        <w:numPr>
          <w:ilvl w:val="0"/>
          <w:numId w:val="2"/>
        </w:numPr>
        <w:spacing w:after="60" w:line="290"/>
      </w:pPr>
      <w:r>
        <w:rPr>
          <w:sz w:val="21"/>
          <w:szCs w:val="21"/>
        </w:rPr>
        <w:t xml:space="preserve">README says “seven-screen UI”; there are eight page components (Attack Lab, Attack Studio, Attack Taxonomy, Co-Evolution, Evaluation, Final Benchmark, Live Detection, Mission Control). Reconcile the count.</w:t>
      </w:r>
    </w:p>
    <w:p>
      <w:pPr>
        <w:pStyle w:val="ListParagraph"/>
        <w:numPr>
          <w:ilvl w:val="0"/>
          <w:numId w:val="2"/>
        </w:numPr>
        <w:spacing w:after="60" w:line="290"/>
      </w:pPr>
      <w:r>
        <w:rPr>
          <w:sz w:val="21"/>
          <w:szCs w:val="21"/>
        </w:rPr>
        <w:t xml:space="preserve">oxlint </w:t>
      </w:r>
      <w:r>
        <w:rPr>
          <w:rFonts w:ascii="Consolas" w:cs="Consolas" w:eastAsia="Consolas" w:hAnsi="Consolas"/>
          <w:sz w:val="20"/>
          <w:szCs w:val="20"/>
        </w:rPr>
        <w:t xml:space="preserve">set-state-in-effect</w:t>
      </w:r>
      <w:r>
        <w:rPr>
          <w:sz w:val="21"/>
          <w:szCs w:val="21"/>
        </w:rPr>
        <w:t xml:space="preserve"> warnings in AppShell.tsx and useReplay.ts — harmless today, worth a pass later.</w:t>
      </w:r>
    </w:p>
    <w:p>
      <w:r>
        <w:br w:type="page"/>
      </w:r>
    </w:p>
    <w:p>
      <w:pPr>
        <w:pStyle w:val="Heading1"/>
        <w:spacing w:after="140" w:before="320"/>
      </w:pPr>
      <w:r>
        <w:rPr>
          <w:b/>
          <w:bCs/>
          <w:color w:val="1A1A1A"/>
        </w:rPr>
        <w:t xml:space="preserve">5. Pillar-by-pillar notes</w:t>
      </w:r>
    </w:p>
    <w:p>
      <w:pPr>
        <w:pStyle w:val="Heading2"/>
        <w:spacing w:after="100" w:before="240"/>
      </w:pPr>
      <w:r>
        <w:rPr>
          <w:b/>
          <w:bCs/>
          <w:color w:val="C8102E"/>
        </w:rPr>
        <w:t xml:space="preserve">5.1  Identify — breadth of the attack catalog</w:t>
      </w:r>
    </w:p>
    <w:p>
      <w:pPr>
        <w:spacing w:after="120" w:line="300"/>
      </w:pPr>
      <w:r>
        <w:rPr>
          <w:sz w:val="21"/>
          <w:szCs w:val="21"/>
        </w:rPr>
        <w:t xml:space="preserve">The taxonomy in src/aegis/identify/taxonomy.py holds 15 scenarios: the 3 deep-simulated families plus 12 marked </w:t>
      </w:r>
      <w:r>
        <w:rPr>
          <w:rFonts w:ascii="Consolas" w:cs="Consolas" w:eastAsia="Consolas" w:hAnsi="Consolas"/>
          <w:sz w:val="20"/>
          <w:szCs w:val="20"/>
        </w:rPr>
        <w:t xml:space="preserve">IDENTIFIED_ONLY</w:t>
      </w:r>
      <w:r>
        <w:rPr>
          <w:sz w:val="21"/>
          <w:szCs w:val="21"/>
        </w:rPr>
        <w:t xml:space="preserve">. Each is well done — GenAI abuse mechanism, payment-system surface, observable signals, and at least one Mastercard citation. The problem statement, though, is emphatic about breadth: “be thorough and exhaustive… surface as many distinct, plausible attack vectors as possible across channels, rails, and social-engineering surfaces.” Fifteen reads as a curated shortlist, not an exhaustive map.</w:t>
      </w:r>
    </w:p>
    <w:p>
      <w:pPr>
        <w:spacing w:after="120" w:line="300"/>
      </w:pPr>
      <w:r>
        <w:rPr>
          <w:sz w:val="21"/>
          <w:szCs w:val="21"/>
        </w:rPr>
        <w:t xml:space="preserve">Recommendation: grow the catalog to ~25–35 entries. These are frozen data records — no generator, no detector, no contract change — so the cost is research and typing, not engineering. Candidates that are plausible, citable, and currently thin or absent:</w:t>
      </w:r>
    </w:p>
    <w:p>
      <w:pPr>
        <w:pStyle w:val="ListParagraph"/>
        <w:numPr>
          <w:ilvl w:val="0"/>
          <w:numId w:val="2"/>
        </w:numPr>
        <w:spacing w:after="60" w:line="290"/>
      </w:pPr>
      <w:r>
        <w:rPr>
          <w:b/>
          <w:bCs/>
          <w:sz w:val="21"/>
          <w:szCs w:val="21"/>
        </w:rPr>
        <w:t xml:space="preserve">India / GFF-relevant (do these first): </w:t>
      </w:r>
      <w:r>
        <w:rPr>
          <w:sz w:val="21"/>
          <w:szCs w:val="21"/>
        </w:rPr>
        <w:t xml:space="preserve">UPI collect-request / autopay-mandate abuse; UPI QR-code swap and “request money” masquerading as “receive”; RuPay card-not-present; PhonePe/GPay/Paytm wallet-provisioning fraud; digital-lending-app (fake NBFC) harvesting; “digital arrest” / fake-law-enforcement APP scams; mule recruitment via job/task-based Telegram scams.</w:t>
      </w:r>
    </w:p>
    <w:p>
      <w:pPr>
        <w:pStyle w:val="ListParagraph"/>
        <w:numPr>
          <w:ilvl w:val="0"/>
          <w:numId w:val="2"/>
        </w:numPr>
        <w:spacing w:after="60" w:line="290"/>
      </w:pPr>
      <w:r>
        <w:rPr>
          <w:b/>
          <w:bCs/>
          <w:sz w:val="21"/>
          <w:szCs w:val="21"/>
        </w:rPr>
        <w:t xml:space="preserve">Scam / social-engineering: </w:t>
      </w:r>
      <w:r>
        <w:rPr>
          <w:sz w:val="21"/>
          <w:szCs w:val="21"/>
        </w:rPr>
        <w:t xml:space="preserve">romance / pig-butchering investment scams; fake customer-support number (SEO-poisoned) callback; refund / overpayment scam; recovery-scam (second bite); rental / marketplace advance-fee.</w:t>
      </w:r>
    </w:p>
    <w:p>
      <w:pPr>
        <w:pStyle w:val="ListParagraph"/>
        <w:numPr>
          <w:ilvl w:val="0"/>
          <w:numId w:val="2"/>
        </w:numPr>
        <w:spacing w:after="60" w:line="290"/>
      </w:pPr>
      <w:r>
        <w:rPr>
          <w:b/>
          <w:bCs/>
          <w:sz w:val="21"/>
          <w:szCs w:val="21"/>
        </w:rPr>
        <w:t xml:space="preserve">AI-agent-era: </w:t>
      </w:r>
      <w:r>
        <w:rPr>
          <w:sz w:val="21"/>
          <w:szCs w:val="21"/>
        </w:rPr>
        <w:t xml:space="preserve">prompt injection against a bank support chatbot or agentic-banking assistant to move money or exfiltrate data; malicious tool / connector in an agentic-commerce shopping agent; deepfake voice defeating voice-biometric IVR auth.</w:t>
      </w:r>
    </w:p>
    <w:p>
      <w:pPr>
        <w:pStyle w:val="ListParagraph"/>
        <w:numPr>
          <w:ilvl w:val="0"/>
          <w:numId w:val="2"/>
        </w:numPr>
        <w:spacing w:after="60" w:line="290"/>
      </w:pPr>
      <w:r>
        <w:rPr>
          <w:b/>
          <w:bCs/>
          <w:sz w:val="21"/>
          <w:szCs w:val="21"/>
        </w:rPr>
        <w:t xml:space="preserve">Credential / card: </w:t>
      </w:r>
      <w:r>
        <w:rPr>
          <w:sz w:val="21"/>
          <w:szCs w:val="21"/>
        </w:rPr>
        <w:t xml:space="preserve">SIM-swap → OTP interception → ATO; token / “provision to new device” wallet fraud; account-opening bonus / promo abuse farms.</w:t>
      </w:r>
    </w:p>
    <w:p>
      <w:pPr>
        <w:pStyle w:val="ListParagraph"/>
        <w:numPr>
          <w:ilvl w:val="0"/>
          <w:numId w:val="2"/>
        </w:numPr>
        <w:spacing w:after="60" w:line="290"/>
      </w:pPr>
      <w:r>
        <w:rPr>
          <w:b/>
          <w:bCs/>
          <w:sz w:val="21"/>
          <w:szCs w:val="21"/>
        </w:rPr>
        <w:t xml:space="preserve">First-party / merchant: </w:t>
      </w:r>
      <w:r>
        <w:rPr>
          <w:sz w:val="21"/>
          <w:szCs w:val="21"/>
        </w:rPr>
        <w:t xml:space="preserve">friendly-fraud chargeback abuse at scale; collusive-merchant bust-out; loyalty-points / rewards liquidation.</w:t>
      </w:r>
    </w:p>
    <w:p>
      <w:pPr>
        <w:spacing w:after="120" w:line="300"/>
      </w:pPr>
      <w:r>
        <w:rPr>
          <w:sz w:val="21"/>
          <w:szCs w:val="21"/>
        </w:rPr>
        <w:t xml:space="preserve">Keep the honesty discipline: each new row stays </w:t>
      </w:r>
      <w:r>
        <w:rPr>
          <w:rFonts w:ascii="Consolas" w:cs="Consolas" w:eastAsia="Consolas" w:hAnsi="Consolas"/>
          <w:sz w:val="20"/>
          <w:szCs w:val="20"/>
        </w:rPr>
        <w:t xml:space="preserve">IDENTIFIED_ONLY / RESEARCH_ONLY</w:t>
      </w:r>
      <w:r>
        <w:rPr>
          <w:sz w:val="21"/>
          <w:szCs w:val="21"/>
        </w:rPr>
        <w:t xml:space="preserve"> with a real citation, and the UI keeps showing which three are deeply simulated. A broad, evidence-tagged map with three deep dives is a stronger story than three families alone.</w:t>
      </w:r>
    </w:p>
    <w:p>
      <w:pPr>
        <w:pStyle w:val="Heading2"/>
        <w:spacing w:after="100" w:before="240"/>
      </w:pPr>
      <w:r>
        <w:rPr>
          <w:b/>
          <w:bCs/>
          <w:color w:val="C8102E"/>
        </w:rPr>
        <w:t xml:space="preserve">5.2  Generate — making fidelity visible</w:t>
      </w:r>
    </w:p>
    <w:p>
      <w:pPr>
        <w:pStyle w:val="ListParagraph"/>
        <w:numPr>
          <w:ilvl w:val="0"/>
          <w:numId w:val="2"/>
        </w:numPr>
        <w:spacing w:after="60" w:line="290"/>
      </w:pPr>
      <w:r>
        <w:rPr>
          <w:sz w:val="21"/>
          <w:szCs w:val="21"/>
        </w:rPr>
        <w:t xml:space="preserve">The fidelity method is sound (deterministic simulators, PaySim reference distribution, composite score with named components, generation-scale benchmark). The gap is presentational: a judge scoring “fidelity” wants to see the synthetic distribution sitting next to the real one.</w:t>
      </w:r>
    </w:p>
    <w:p>
      <w:pPr>
        <w:pStyle w:val="ListParagraph"/>
        <w:numPr>
          <w:ilvl w:val="0"/>
          <w:numId w:val="2"/>
        </w:numPr>
        <w:spacing w:after="60" w:line="290"/>
      </w:pPr>
      <w:r>
        <w:rPr>
          <w:sz w:val="21"/>
          <w:szCs w:val="21"/>
        </w:rPr>
        <w:t xml:space="preserve">Add to the walkthrough and, ideally, the UI: overlaid histograms (amount, inter-event time, transaction-type mix) real vs synthetic per family, plus the scalar fidelity_score and a one-sentence plain-language reading of it.</w:t>
      </w:r>
    </w:p>
    <w:p>
      <w:pPr>
        <w:pStyle w:val="ListParagraph"/>
        <w:numPr>
          <w:ilvl w:val="0"/>
          <w:numId w:val="2"/>
        </w:numPr>
        <w:spacing w:after="60" w:line="290"/>
      </w:pPr>
      <w:r>
        <w:rPr>
          <w:sz w:val="21"/>
          <w:szCs w:val="21"/>
        </w:rPr>
        <w:t xml:space="preserve">State the fidelity ceiling plainly (already in the claims audit): fidelity measures statistical resemblance to PaySim, which is itself a simulator — it is a realism signal for the generator, not proof a scenario matches real-world fraud.</w:t>
      </w:r>
    </w:p>
    <w:p>
      <w:pPr>
        <w:pStyle w:val="ListParagraph"/>
        <w:numPr>
          <w:ilvl w:val="0"/>
          <w:numId w:val="2"/>
        </w:numPr>
        <w:spacing w:after="60" w:line="290"/>
      </w:pPr>
      <w:r>
        <w:rPr>
          <w:sz w:val="21"/>
          <w:szCs w:val="21"/>
        </w:rPr>
        <w:t xml:space="preserve">If any time is left over: report fidelity on a couple of held-out real PaySim statistics the generator was not tuned against, so the number is not purely in-sample.</w:t>
      </w:r>
    </w:p>
    <w:p>
      <w:pPr>
        <w:pStyle w:val="Heading2"/>
        <w:spacing w:after="100" w:before="240"/>
      </w:pPr>
      <w:r>
        <w:rPr>
          <w:b/>
          <w:bCs/>
          <w:color w:val="C8102E"/>
        </w:rPr>
        <w:t xml:space="preserve">5.3  Defend — efficacy and the recall soft spot</w:t>
      </w:r>
    </w:p>
    <w:p>
      <w:pPr>
        <w:pStyle w:val="ListParagraph"/>
        <w:numPr>
          <w:ilvl w:val="0"/>
          <w:numId w:val="2"/>
        </w:numPr>
        <w:spacing w:after="60" w:line="290"/>
      </w:pPr>
      <w:r>
        <w:rPr>
          <w:sz w:val="21"/>
          <w:szCs w:val="21"/>
        </w:rPr>
        <w:t xml:space="preserve">Headline on the untouched test split: precision 93.8% / recall 77.9% / F1 85.1% / FPR 0.0216%, latency ~6.7 ms mean. Methodologically clean and defensible.</w:t>
      </w:r>
    </w:p>
    <w:p>
      <w:pPr>
        <w:pStyle w:val="ListParagraph"/>
        <w:numPr>
          <w:ilvl w:val="0"/>
          <w:numId w:val="2"/>
        </w:numPr>
        <w:spacing w:after="60" w:line="290"/>
      </w:pPr>
      <w:r>
        <w:rPr>
          <w:sz w:val="21"/>
          <w:szCs w:val="21"/>
        </w:rPr>
        <w:t xml:space="preserve">Recall is the weak axis — v3 (77.9%) did not recover v1’s 79.5% on the native task, and LOAFO mule-network recall is 0%. Do not hide it (you already don’t), but get ahead of it: one slide showing the precision/recall/FPR trade-off across thresholds (you already compute recall_at_fixed_fpr at 0.001 / 0.005 / 0.01) makes the operating-point choice look deliberate rather than stuck.</w:t>
      </w:r>
    </w:p>
    <w:p>
      <w:pPr>
        <w:pStyle w:val="ListParagraph"/>
        <w:numPr>
          <w:ilvl w:val="0"/>
          <w:numId w:val="2"/>
        </w:numPr>
        <w:spacing w:after="60" w:line="290"/>
      </w:pPr>
      <w:r>
        <w:rPr>
          <w:sz w:val="21"/>
          <w:szCs w:val="21"/>
        </w:rPr>
        <w:t xml:space="preserve">Translate FPR into operations: at 0.0216% a rail doing ~1M transactions/day generates on the order of ~200 false alerts/day. Quantifying it directly answers the “low false positives on legitimate payments” and “feasibility” language in the brief.</w:t>
      </w:r>
    </w:p>
    <w:p>
      <w:pPr>
        <w:pStyle w:val="ListParagraph"/>
        <w:numPr>
          <w:ilvl w:val="0"/>
          <w:numId w:val="2"/>
        </w:numPr>
        <w:spacing w:after="60" w:line="290"/>
      </w:pPr>
      <w:r>
        <w:rPr>
          <w:sz w:val="21"/>
          <w:szCs w:val="21"/>
        </w:rPr>
        <w:t xml:space="preserve">Only if hours remain: a second model family (LightGBM, or a shallow sequence model over the per-entity event stream) as an ensemble is the most likely lever to lift recall without giving up FPR. Do not start this unless P0 + P1 are done and verified.</w:t>
      </w:r>
    </w:p>
    <w:p>
      <w:pPr>
        <w:pStyle w:val="ListParagraph"/>
        <w:numPr>
          <w:ilvl w:val="0"/>
          <w:numId w:val="2"/>
        </w:numPr>
        <w:spacing w:after="60" w:line="290"/>
      </w:pPr>
      <w:r>
        <w:rPr>
          <w:sz w:val="21"/>
          <w:szCs w:val="21"/>
        </w:rPr>
        <w:t xml:space="preserve">Per-family recall (bust-out / mule / adaptive) belongs on the final-benchmark screen next to the aggregate — it shows you measured where the detector is strong and weak.</w:t>
      </w:r>
    </w:p>
    <w:p>
      <w:pPr>
        <w:pStyle w:val="Heading2"/>
        <w:spacing w:after="100" w:before="240"/>
      </w:pPr>
      <w:r>
        <w:rPr>
          <w:b/>
          <w:bCs/>
          <w:color w:val="C8102E"/>
        </w:rPr>
        <w:t xml:space="preserve">5.4  Prototype (web) — demo-day readiness</w:t>
      </w:r>
    </w:p>
    <w:p>
      <w:pPr>
        <w:pStyle w:val="ListParagraph"/>
        <w:numPr>
          <w:ilvl w:val="0"/>
          <w:numId w:val="2"/>
        </w:numPr>
        <w:spacing w:after="60" w:line="290"/>
      </w:pPr>
      <w:r>
        <w:rPr>
          <w:sz w:val="21"/>
          <w:szCs w:val="21"/>
        </w:rPr>
        <w:t xml:space="preserve">Run docs/SUBMISSION_CHECKLIST.md section 7 (the smoke test) on the exact machine and URL you will present from, including the browser console check.</w:t>
      </w:r>
    </w:p>
    <w:p>
      <w:pPr>
        <w:pStyle w:val="ListParagraph"/>
        <w:numPr>
          <w:ilvl w:val="0"/>
          <w:numId w:val="2"/>
        </w:numPr>
        <w:spacing w:after="60" w:line="290"/>
      </w:pPr>
      <w:r>
        <w:rPr>
          <w:sz w:val="21"/>
          <w:szCs w:val="21"/>
        </w:rPr>
        <w:t xml:space="preserve">Keep the mock-demo panels working independently of the API (they do today) as a fallback if the live API becomes unreachable mid-demo — and keep the “Simulated demo (not real data)” label on them; the real/mock separation is a credibility asset, do not blur it under time pressure.</w:t>
      </w:r>
    </w:p>
    <w:p>
      <w:pPr>
        <w:pStyle w:val="ListParagraph"/>
        <w:numPr>
          <w:ilvl w:val="0"/>
          <w:numId w:val="2"/>
        </w:numPr>
        <w:spacing w:after="60" w:line="290"/>
      </w:pPr>
      <w:r>
        <w:rPr>
          <w:sz w:val="21"/>
          <w:szCs w:val="21"/>
        </w:rPr>
        <w:t xml:space="preserve">If you deploy: confirm GET &lt;api-url&gt;/api/health from a network that is not yours, and load /final-benchmark from a fresh browser profile.</w:t>
      </w:r>
    </w:p>
    <w:p>
      <w:pPr>
        <w:pStyle w:val="ListParagraph"/>
        <w:numPr>
          <w:ilvl w:val="0"/>
          <w:numId w:val="2"/>
        </w:numPr>
        <w:spacing w:after="60" w:line="290"/>
      </w:pPr>
      <w:r>
        <w:rPr>
          <w:sz w:val="21"/>
          <w:szCs w:val="21"/>
        </w:rPr>
        <w:t xml:space="preserve">Address P1-1 (refetch loop) and P1-4 (bundle split) before the deploy build.</w:t>
      </w:r>
    </w:p>
    <w:p>
      <w:pPr>
        <w:pStyle w:val="Heading2"/>
        <w:spacing w:after="100" w:before="240"/>
      </w:pPr>
      <w:r>
        <w:rPr>
          <w:b/>
          <w:bCs/>
          <w:color w:val="C8102E"/>
        </w:rPr>
        <w:t xml:space="preserve">5.5  Real-world feasibility — the productionization page judges want</w:t>
      </w:r>
    </w:p>
    <w:p>
      <w:pPr>
        <w:spacing w:after="120" w:line="300"/>
      </w:pPr>
      <w:r>
        <w:rPr>
          <w:sz w:val="21"/>
          <w:szCs w:val="21"/>
        </w:rPr>
        <w:t xml:space="preserve">You have the loop; describe how it runs inside a bank. One page, in the walkthrough:</w:t>
      </w:r>
    </w:p>
    <w:p>
      <w:pPr>
        <w:pStyle w:val="ListParagraph"/>
        <w:numPr>
          <w:ilvl w:val="0"/>
          <w:numId w:val="2"/>
        </w:numPr>
        <w:spacing w:after="60" w:line="290"/>
      </w:pPr>
      <w:r>
        <w:rPr>
          <w:sz w:val="21"/>
          <w:szCs w:val="21"/>
        </w:rPr>
        <w:t xml:space="preserve">Serving: the read-only scoring path as a low-latency service; feature computation from a streaming feature store with the same strictly-earlier-events guarantee the offline extractor enforces.</w:t>
      </w:r>
    </w:p>
    <w:p>
      <w:pPr>
        <w:pStyle w:val="ListParagraph"/>
        <w:numPr>
          <w:ilvl w:val="0"/>
          <w:numId w:val="2"/>
        </w:numPr>
        <w:spacing w:after="60" w:line="290"/>
      </w:pPr>
      <w:r>
        <w:rPr>
          <w:sz w:val="21"/>
          <w:szCs w:val="21"/>
        </w:rPr>
        <w:t xml:space="preserve">Rollout: shadow mode → champion/challenger → staged threshold, with the action policy (alert / step-up / block) tuned per rail.</w:t>
      </w:r>
    </w:p>
    <w:p>
      <w:pPr>
        <w:pStyle w:val="ListParagraph"/>
        <w:numPr>
          <w:ilvl w:val="0"/>
          <w:numId w:val="2"/>
        </w:numPr>
        <w:spacing w:after="60" w:line="290"/>
      </w:pPr>
      <w:r>
        <w:rPr>
          <w:sz w:val="21"/>
          <w:szCs w:val="21"/>
        </w:rPr>
        <w:t xml:space="preserve">Label latency: fraud labels arrive days-to-weeks later; show the retraining cadence and how the hard-positive promotion step consumes confirmed-fraud feedback.</w:t>
      </w:r>
    </w:p>
    <w:p>
      <w:pPr>
        <w:pStyle w:val="ListParagraph"/>
        <w:numPr>
          <w:ilvl w:val="0"/>
          <w:numId w:val="2"/>
        </w:numPr>
        <w:spacing w:after="60" w:line="290"/>
      </w:pPr>
      <w:r>
        <w:rPr>
          <w:sz w:val="21"/>
          <w:szCs w:val="21"/>
        </w:rPr>
        <w:t xml:space="preserve">Human loop: analyst dispositions on alerts feed the next hardening round — this is your closed loop, drawn for an operations audience.</w:t>
      </w:r>
    </w:p>
    <w:p>
      <w:pPr>
        <w:pStyle w:val="ListParagraph"/>
        <w:numPr>
          <w:ilvl w:val="0"/>
          <w:numId w:val="2"/>
        </w:numPr>
        <w:spacing w:after="60" w:line="290"/>
      </w:pPr>
      <w:r>
        <w:rPr>
          <w:sz w:val="21"/>
          <w:szCs w:val="21"/>
        </w:rPr>
        <w:t xml:space="preserve">Monitoring: feature drift, score drift, alert-rate and precision monitors with alarms; the LOAFO result is your honest statement of the generalization risk that monitoring exists to catch.</w:t>
      </w:r>
    </w:p>
    <w:p>
      <w:r>
        <w:br w:type="page"/>
      </w:r>
    </w:p>
    <w:p>
      <w:pPr>
        <w:pStyle w:val="Heading1"/>
        <w:spacing w:after="140" w:before="320"/>
      </w:pPr>
      <w:r>
        <w:rPr>
          <w:b/>
          <w:bCs/>
          <w:color w:val="1A1A1A"/>
        </w:rPr>
        <w:t xml:space="preserve">6. Final 24-hour checklist</w:t>
      </w:r>
    </w:p>
    <w:p>
      <w:pPr>
        <w:spacing w:after="120" w:line="300"/>
      </w:pPr>
      <w:r>
        <w:rPr>
          <w:i/>
          <w:iCs/>
          <w:color w:val="5A5A5A"/>
          <w:sz w:val="21"/>
          <w:szCs w:val="21"/>
        </w:rPr>
        <w:t xml:space="preserve">In order. Stop after “must” if time is tight.</w:t>
      </w:r>
    </w:p>
    <w:p>
      <w:pPr>
        <w:pStyle w:val="Heading3"/>
        <w:spacing w:after="80" w:before="180"/>
      </w:pPr>
      <w:r>
        <w:rPr>
          <w:b/>
          <w:bCs/>
          <w:color w:val="1A1A1A"/>
        </w:rPr>
        <w:t xml:space="preserve">Must (P0)</w:t>
      </w:r>
    </w:p>
    <w:p>
      <w:pPr>
        <w:pStyle w:val="ListParagraph"/>
        <w:numPr>
          <w:ilvl w:val="0"/>
          <w:numId w:val="3"/>
        </w:numPr>
        <w:spacing w:after="60" w:line="290"/>
      </w:pPr>
      <w:r>
        <w:rPr>
          <w:sz w:val="21"/>
          <w:szCs w:val="21"/>
        </w:rPr>
        <w:t xml:space="preserve">Bump the anthropic pin to the version you validated; commit.</w:t>
      </w:r>
    </w:p>
    <w:p>
      <w:pPr>
        <w:pStyle w:val="ListParagraph"/>
        <w:numPr>
          <w:ilvl w:val="0"/>
          <w:numId w:val="3"/>
        </w:numPr>
        <w:spacing w:after="60" w:line="290"/>
      </w:pPr>
      <w:r>
        <w:rPr>
          <w:sz w:val="21"/>
          <w:szCs w:val="21"/>
        </w:rPr>
        <w:t xml:space="preserve">Clean clone → </w:t>
      </w:r>
      <w:r>
        <w:rPr>
          <w:rFonts w:ascii="Consolas" w:cs="Consolas" w:eastAsia="Consolas" w:hAnsi="Consolas"/>
          <w:sz w:val="20"/>
          <w:szCs w:val="20"/>
        </w:rPr>
        <w:t xml:space="preserve">pip install -e ".[dev,api,genai]"</w:t>
      </w:r>
      <w:r>
        <w:rPr>
          <w:sz w:val="21"/>
          <w:szCs w:val="21"/>
        </w:rPr>
        <w:t xml:space="preserve"> → </w:t>
      </w:r>
      <w:r>
        <w:rPr>
          <w:rFonts w:ascii="Consolas" w:cs="Consolas" w:eastAsia="Consolas" w:hAnsi="Consolas"/>
          <w:sz w:val="20"/>
          <w:szCs w:val="20"/>
        </w:rPr>
        <w:t xml:space="preserve">make check</w:t>
      </w:r>
      <w:r>
        <w:rPr>
          <w:sz w:val="21"/>
          <w:szCs w:val="21"/>
        </w:rPr>
        <w:t xml:space="preserve"> green.</w:t>
      </w:r>
    </w:p>
    <w:p>
      <w:pPr>
        <w:pStyle w:val="ListParagraph"/>
        <w:numPr>
          <w:ilvl w:val="0"/>
          <w:numId w:val="3"/>
        </w:numPr>
        <w:spacing w:after="60" w:line="290"/>
      </w:pPr>
      <w:r>
        <w:rPr>
          <w:rFonts w:ascii="Consolas" w:cs="Consolas" w:eastAsia="Consolas" w:hAnsi="Consolas"/>
          <w:sz w:val="20"/>
          <w:szCs w:val="20"/>
        </w:rPr>
        <w:t xml:space="preserve">cd web &amp;&amp; npm ci &amp;&amp; npm run build</w:t>
      </w:r>
      <w:r>
        <w:rPr>
          <w:sz w:val="21"/>
          <w:szCs w:val="21"/>
        </w:rPr>
        <w:t xml:space="preserve"> green.</w:t>
      </w:r>
    </w:p>
    <w:p>
      <w:pPr>
        <w:pStyle w:val="ListParagraph"/>
        <w:numPr>
          <w:ilvl w:val="0"/>
          <w:numId w:val="3"/>
        </w:numPr>
        <w:spacing w:after="60" w:line="290"/>
      </w:pPr>
      <w:r>
        <w:rPr>
          <w:sz w:val="21"/>
          <w:szCs w:val="21"/>
        </w:rPr>
        <w:t xml:space="preserve">Make the API serve submission/artifacts with no env var (or fix every README command + .env.example); verify real data on /, /co-evolution, /final-benchmark from a clean clone.</w:t>
      </w:r>
    </w:p>
    <w:p>
      <w:pPr>
        <w:pStyle w:val="ListParagraph"/>
        <w:numPr>
          <w:ilvl w:val="0"/>
          <w:numId w:val="3"/>
        </w:numPr>
        <w:spacing w:after="60" w:line="290"/>
      </w:pPr>
      <w:r>
        <w:rPr>
          <w:sz w:val="21"/>
          <w:szCs w:val="21"/>
        </w:rPr>
        <w:t xml:space="preserve">git status --short clean; confirm no local .env or scratch files staged; push; confirm the pushed commit is the one you submit.</w:t>
      </w:r>
    </w:p>
    <w:p>
      <w:pPr>
        <w:pStyle w:val="ListParagraph"/>
        <w:numPr>
          <w:ilvl w:val="0"/>
          <w:numId w:val="3"/>
        </w:numPr>
        <w:spacing w:after="60" w:line="290"/>
      </w:pPr>
      <w:r>
        <w:rPr>
          <w:sz w:val="21"/>
          <w:szCs w:val="21"/>
        </w:rPr>
        <w:t xml:space="preserve">Confirm the three submission artifacts are actually submitted (not draft) in the Writeups section: repo link, .docx walkthrough, prototype URL.</w:t>
      </w:r>
    </w:p>
    <w:p>
      <w:pPr>
        <w:pStyle w:val="Heading3"/>
        <w:spacing w:after="80" w:before="180"/>
      </w:pPr>
      <w:r>
        <w:rPr>
          <w:b/>
          <w:bCs/>
          <w:color w:val="1A1A1A"/>
        </w:rPr>
        <w:t xml:space="preserve">High value (P1) — only after every “must” is green</w:t>
      </w:r>
    </w:p>
    <w:p>
      <w:pPr>
        <w:pStyle w:val="ListParagraph"/>
        <w:numPr>
          <w:ilvl w:val="0"/>
          <w:numId w:val="3"/>
        </w:numPr>
        <w:spacing w:after="60" w:line="290"/>
      </w:pPr>
      <w:r>
        <w:rPr>
          <w:sz w:val="21"/>
          <w:szCs w:val="21"/>
        </w:rPr>
        <w:t xml:space="preserve">Fix useApiResource effect deps; watch the network panel on a throttled connection.</w:t>
      </w:r>
    </w:p>
    <w:p>
      <w:pPr>
        <w:pStyle w:val="ListParagraph"/>
        <w:numPr>
          <w:ilvl w:val="0"/>
          <w:numId w:val="3"/>
        </w:numPr>
        <w:spacing w:after="60" w:line="290"/>
      </w:pPr>
      <w:r>
        <w:rPr>
          <w:sz w:val="21"/>
          <w:szCs w:val="21"/>
        </w:rPr>
        <w:t xml:space="preserve">Add 10–20 taxonomy rows, India/UPI first, each with a citation and IDENTIFIED_ONLY status; regenerate the taxonomy artifact.</w:t>
      </w:r>
    </w:p>
    <w:p>
      <w:pPr>
        <w:pStyle w:val="ListParagraph"/>
        <w:numPr>
          <w:ilvl w:val="0"/>
          <w:numId w:val="3"/>
        </w:numPr>
        <w:spacing w:after="60" w:line="290"/>
      </w:pPr>
      <w:r>
        <w:rPr>
          <w:sz w:val="21"/>
          <w:szCs w:val="21"/>
        </w:rPr>
        <w:t xml:space="preserve">Walkthrough: precision/recall/FPR-vs-threshold chart + “alerts per million transactions” sentence + real-vs-synthetic distribution figure.</w:t>
      </w:r>
    </w:p>
    <w:p>
      <w:pPr>
        <w:pStyle w:val="ListParagraph"/>
        <w:numPr>
          <w:ilvl w:val="0"/>
          <w:numId w:val="3"/>
        </w:numPr>
        <w:spacing w:after="60" w:line="290"/>
      </w:pPr>
      <w:r>
        <w:rPr>
          <w:sz w:val="21"/>
          <w:szCs w:val="21"/>
        </w:rPr>
        <w:t xml:space="preserve">React.lazy the eight pages; rebuild; redeploy.</w:t>
      </w:r>
    </w:p>
    <w:p>
      <w:pPr>
        <w:pStyle w:val="Heading3"/>
        <w:spacing w:after="80" w:before="180"/>
      </w:pPr>
      <w:r>
        <w:rPr>
          <w:b/>
          <w:bCs/>
          <w:color w:val="1A1A1A"/>
        </w:rPr>
        <w:t xml:space="preserve">If it still builds green</w:t>
      </w:r>
    </w:p>
    <w:p>
      <w:pPr>
        <w:pStyle w:val="ListParagraph"/>
        <w:numPr>
          <w:ilvl w:val="0"/>
          <w:numId w:val="3"/>
        </w:numPr>
        <w:spacing w:after="60" w:line="290"/>
      </w:pPr>
      <w:r>
        <w:rPr>
          <w:sz w:val="21"/>
          <w:szCs w:val="21"/>
        </w:rPr>
        <w:t xml:space="preserve">Per-family recall on the final-benchmark screen.</w:t>
      </w:r>
    </w:p>
    <w:p>
      <w:pPr>
        <w:pStyle w:val="ListParagraph"/>
        <w:numPr>
          <w:ilvl w:val="0"/>
          <w:numId w:val="3"/>
        </w:numPr>
        <w:spacing w:after="60" w:line="290"/>
      </w:pPr>
      <w:r>
        <w:rPr>
          <w:sz w:val="21"/>
          <w:szCs w:val="21"/>
        </w:rPr>
        <w:t xml:space="preserve">One-page productionization section (5.5).</w:t>
      </w:r>
    </w:p>
    <w:p>
      <w:pPr>
        <w:spacing w:after="80"/>
      </w:pPr>
    </w:p>
    <w:p>
      <w:pPr>
        <w:spacing w:after="120" w:line="300"/>
      </w:pPr>
      <w:r>
        <w:rPr>
          <w:b/>
          <w:bCs/>
          <w:sz w:val="21"/>
          <w:szCs w:val="21"/>
        </w:rPr>
        <w:t xml:space="preserve">Guiding rule for the last day: </w:t>
      </w:r>
      <w:r>
        <w:rPr>
          <w:sz w:val="21"/>
          <w:szCs w:val="21"/>
        </w:rPr>
        <w:t xml:space="preserve">every change must leave </w:t>
      </w:r>
      <w:r>
        <w:rPr>
          <w:rFonts w:ascii="Consolas" w:cs="Consolas" w:eastAsia="Consolas" w:hAnsi="Consolas"/>
          <w:sz w:val="20"/>
          <w:szCs w:val="20"/>
        </w:rPr>
        <w:t xml:space="preserve">make check</w:t>
      </w:r>
      <w:r>
        <w:rPr>
          <w:sz w:val="21"/>
          <w:szCs w:val="21"/>
        </w:rPr>
        <w:t xml:space="preserve"> and </w:t>
      </w:r>
      <w:r>
        <w:rPr>
          <w:rFonts w:ascii="Consolas" w:cs="Consolas" w:eastAsia="Consolas" w:hAnsi="Consolas"/>
          <w:sz w:val="20"/>
          <w:szCs w:val="20"/>
        </w:rPr>
        <w:t xml:space="preserve">npm run build</w:t>
      </w:r>
      <w:r>
        <w:rPr>
          <w:sz w:val="21"/>
          <w:szCs w:val="21"/>
        </w:rPr>
        <w:t xml:space="preserve"> green. A smaller verified submission beats a larger broken one.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1A1A1A"/>
      <w:sz w:val="30"/>
      <w:szCs w:val="30"/>
    </w:rPr>
  </w:style>
  <w:style w:type="paragraph" w:styleId="Heading2">
    <w:name w:val="Heading 2"/>
    <w:basedOn w:val="Normal"/>
    <w:next w:val="Normal"/>
    <w:qFormat/>
    <w:pPr>
      <w:spacing w:after="100" w:before="240"/>
    </w:pPr>
    <w:rPr>
      <w:b/>
      <w:bCs/>
      <w:color w:val="C8102E"/>
      <w:sz w:val="25"/>
      <w:szCs w:val="25"/>
    </w:rPr>
  </w:style>
  <w:style w:type="paragraph" w:styleId="Heading3">
    <w:name w:val="Heading 3"/>
    <w:basedOn w:val="Normal"/>
    <w:next w:val="Normal"/>
    <w:qFormat/>
    <w:pPr>
      <w:spacing w:after="80" w:before="180"/>
    </w:pPr>
    <w:rP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2026-08-30T07:47:24.065Z</dcterms:created>
  <dcterms:modified xsi:type="dcterms:W3CDTF">2026-08-30T07:47:24.066Z</dcterms:modified>
</cp:coreProperties>
</file>

<file path=docProps/custom.xml><?xml version="1.0" encoding="utf-8"?>
<Properties xmlns="http://schemas.openxmlformats.org/officeDocument/2006/custom-properties" xmlns:vt="http://schemas.openxmlformats.org/officeDocument/2006/docPropsVTypes"/>
</file>