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rFonts w:ascii="Calibri" w:cs="Calibri" w:eastAsia="Calibri" w:hAnsi="Calibri"/>
          <w:b/>
          <w:bCs/>
          <w:color w:val="1F2937"/>
          <w:sz w:val="76"/>
          <w:szCs w:val="76"/>
        </w:rPr>
        <w:t xml:space="preserve">AEGIS</w:t>
      </w:r>
    </w:p>
    <w:p>
      <w:pPr>
        <w:spacing w:after="220"/>
      </w:pPr>
      <w:r>
        <w:rPr>
          <w:rFonts w:ascii="Calibri" w:cs="Calibri" w:eastAsia="Calibri" w:hAnsi="Calibri"/>
          <w:color w:val="1D5FD6"/>
          <w:sz w:val="30"/>
          <w:szCs w:val="30"/>
        </w:rPr>
        <w:t xml:space="preserve">Stress-test fraud models against attacks they haven't learned yet.</w:t>
      </w:r>
    </w:p>
    <w:p>
      <w:pPr>
        <w:spacing w:after="3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0"/>
          <w:szCs w:val="20"/>
        </w:rPr>
        <w:t xml:space="preserve">Mastercard Innovation Challenge 2026</w:t>
      </w:r>
    </w:p>
    <w:p>
      <w:pPr>
        <w:spacing w:after="2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20"/>
          <w:szCs w:val="20"/>
        </w:rPr>
        <w:t xml:space="preserve">AI Defense Lab for Payment Security</w:t>
      </w:r>
    </w:p>
    <w:p>
      <w:pPr>
        <w:spacing w:after="2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AEGIS is a closed-loop AI red team for payment fraud. GenAI reasons about emerging attacks and about a detector's blind spots; deterministic simulators generate every transaction row; a frozen XGBoost defender scores them; and fraud that escapes becomes adversarial evidence for the next round. AEGIS then asks the question a static test split cannot answer — does hardening against the attacks a model has seen actually transfer to an attack family it has never seen?</w:t>
      </w:r>
    </w:p>
    <w:tbl>
      <w:tblPr>
        <w:tblW w:type="auto" w:w="1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E6EAF1" w:sz="2"/>
          <w:insideV w:val="single" w:color="E6EAF1" w:sz="2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shd w:fill="EEF2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Verified evidence</w:t>
            </w:r>
          </w:p>
        </w:tc>
        <w:tc>
          <w:tcPr>
            <w:tcW w:type="dxa" w:w="5360"/>
            <w:shd w:fill="EEF2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400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4B5568"/>
                <w:sz w:val="18"/>
                <w:szCs w:val="18"/>
              </w:rPr>
              <w:t xml:space="preserve">Attack vectors identified</w:t>
            </w:r>
          </w:p>
        </w:tc>
        <w:tc>
          <w:tcPr>
            <w:tcW w:type="dxa" w:w="536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14  (3 deeply simulated, 11 research-identified only)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4B5568"/>
                <w:sz w:val="18"/>
                <w:szCs w:val="18"/>
              </w:rPr>
              <w:t xml:space="preserve">Synthetic transactions generated</w:t>
            </w:r>
          </w:p>
        </w:tc>
        <w:tc>
          <w:tcPr>
            <w:tcW w:type="dxa" w:w="53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55,000 across 3,000 scenarios, seed-reproducible</w:t>
            </w:r>
          </w:p>
        </w:tc>
      </w:tr>
      <w:tr>
        <w:tc>
          <w:tcPr>
            <w:tcW w:type="dxa" w:w="400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4B5568"/>
                <w:sz w:val="18"/>
                <w:szCs w:val="18"/>
              </w:rPr>
              <w:t xml:space="preserve">Families with live GenAI evidence</w:t>
            </w:r>
          </w:p>
        </w:tc>
        <w:tc>
          <w:tcPr>
            <w:tcW w:type="dxa" w:w="536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3 / 3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4B5568"/>
                <w:sz w:val="18"/>
                <w:szCs w:val="18"/>
              </w:rPr>
              <w:t xml:space="preserve">Defender v3 PR-AUC</w:t>
            </w:r>
          </w:p>
        </w:tc>
        <w:tc>
          <w:tcPr>
            <w:tcW w:type="dxa" w:w="53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0.904  (untouched PaySim test split)</w:t>
            </w:r>
          </w:p>
        </w:tc>
      </w:tr>
      <w:tr>
        <w:tc>
          <w:tcPr>
            <w:tcW w:type="dxa" w:w="400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4B5568"/>
                <w:sz w:val="18"/>
                <w:szCs w:val="18"/>
              </w:rPr>
              <w:t xml:space="preserve">Defender v3 recall @ 0.1% FPR</w:t>
            </w:r>
          </w:p>
        </w:tc>
        <w:tc>
          <w:tcPr>
            <w:tcW w:type="dxa" w:w="536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85.2%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4B5568"/>
                <w:sz w:val="18"/>
                <w:szCs w:val="18"/>
              </w:rPr>
              <w:t xml:space="preserve">Defender v3 false positive rate</w:t>
            </w:r>
          </w:p>
        </w:tc>
        <w:tc>
          <w:tcPr>
            <w:tcW w:type="dxa" w:w="5360"/>
            <w:shd w:fill="FFFFFF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0.0216%  (alert rate 0.35%)</w:t>
            </w:r>
          </w:p>
        </w:tc>
      </w:tr>
      <w:tr>
        <w:tc>
          <w:tcPr>
            <w:tcW w:type="dxa" w:w="400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color w:val="4B5568"/>
                <w:sz w:val="18"/>
                <w:szCs w:val="18"/>
              </w:rPr>
              <w:t xml:space="preserve">Generalization to an unseen family</w:t>
            </w:r>
          </w:p>
        </w:tc>
        <w:tc>
          <w:tcPr>
            <w:tcW w:type="dxa" w:w="5360"/>
            <w:shd w:fill="FAFBFD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58.3% mean LOAFO recall — PARTIAL GENERALIZATION</w:t>
            </w:r>
          </w:p>
        </w:tc>
      </w:tr>
    </w:tbl>
    <w:p>
      <w:pPr>
        <w:spacing w:after="140"/>
      </w:pPr>
    </w:p>
    <w:tbl>
      <w:tblPr>
        <w:tblW w:type="auto" w:w="100"/>
        <w:tblBorders>
          <w:top w:val="single" w:color="E5C07B" w:sz="4"/>
          <w:left w:val="single" w:color="E5C07B" w:sz="4"/>
          <w:bottom w:val="single" w:color="E5C07B" w:sz="4"/>
          <w:right w:val="single" w:color="E5C07B" w:sz="4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FF7E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58.3% is not a fraud-detection rate.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B5568"/>
                <w:sz w:val="19"/>
                <w:szCs w:val="19"/>
              </w:rPr>
              <w:t xml:space="preserve">It is the mean recall of three separate fold models, each trained with one attack family contributing zero rows, each scored on one fresh scenario of that held-out family (3–12 fraud events each — directional, not statistically powered). Two of three families transferred; mule-network structuring did not.</w:t>
            </w:r>
          </w:p>
        </w:tc>
      </w:tr>
    </w:tbl>
    <w:p>
      <w:pPr>
        <w:spacing w:after="2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Live demo   </w:t>
      </w:r>
      <w:hyperlink w:history="1" r:id="rIdviagf9c1hoswzn4nn4osq">
        <w:r>
          <w:rPr>
            <w:rFonts w:ascii="Calibri" w:cs="Calibri" w:eastAsia="Calibri" w:hAnsi="Calibri"/>
            <w:color w:val="1D5FD6"/>
            <w:sz w:val="19"/>
            <w:szCs w:val="19"/>
            <w:u w:val="single"/>
          </w:rPr>
          <w:t xml:space="preserve">https://mastercard-aegis.vercel.app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Repository   </w:t>
      </w:r>
      <w:hyperlink w:history="1" r:id="rIdw-b4g_x9ptcegqiqi4egd">
        <w:r>
          <w:rPr>
            <w:rFonts w:ascii="Calibri" w:cs="Calibri" w:eastAsia="Calibri" w:hAnsi="Calibri"/>
            <w:color w:val="1D5FD6"/>
            <w:sz w:val="19"/>
            <w:szCs w:val="19"/>
            <w:u w:val="single"/>
          </w:rPr>
          <w:t xml:space="preserve">https://github.com/tensorforgee/mastercard-aegis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API   </w:t>
      </w:r>
      <w:hyperlink w:history="1" r:id="rIdughnldhy2bsltlxhjc9dt">
        <w:r>
          <w:rPr>
            <w:rFonts w:ascii="Calibri" w:cs="Calibri" w:eastAsia="Calibri" w:hAnsi="Calibri"/>
            <w:color w:val="1D5FD6"/>
            <w:sz w:val="19"/>
            <w:szCs w:val="19"/>
            <w:u w:val="single"/>
          </w:rPr>
          <w:t xml:space="preserve">https://mastercard-aegis.onrender.com</w:t>
        </w:r>
      </w:hyperlink>
    </w:p>
    <w:p>
      <w:pPr>
        <w:spacing w:after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7280"/>
          <w:sz w:val="17"/>
          <w:szCs w:val="17"/>
        </w:rPr>
        <w:t xml:space="preserve">Every figure in this document is read from a persisted artifact tracked in the repository, so each one is checkable from a clean clone with no dataset download and no pipeline run.</w:t>
      </w:r>
    </w:p>
    <w:p>
      <w:r>
        <w:br w:type="page"/>
      </w:r>
    </w:p>
    <w:p>
      <w:pPr>
        <w:pStyle w:val="Heading1"/>
        <w:spacing w:after="140" w:before="4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How AEGIS works</w:t>
      </w:r>
    </w:p>
    <w:p>
      <w:pPr>
        <w:spacing w:after="11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One closed loop. A language model reasons at exactly two points and never writes a transaction row; deterministic, seeded code produces every number.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5540B"/>
          <w:sz w:val="19"/>
          <w:szCs w:val="19"/>
        </w:rPr>
        <w:t xml:space="preserve">1  GenAI Attack Analyst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turns researched fraud taxonomy into a structured attack hypothesis.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2  Structured Blueprint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bounded, contract-validated simulator parameters.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3  Deterministic Simulator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writes every transaction row. Seeded, reproducible.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D5FD6"/>
          <w:sz w:val="19"/>
          <w:szCs w:val="19"/>
        </w:rPr>
        <w:t xml:space="preserve">4  XGBoost Defender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scores each transaction, decision-time-safe features only.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D5FD6"/>
          <w:sz w:val="19"/>
          <w:szCs w:val="19"/>
        </w:rPr>
        <w:t xml:space="preserve">5  Caught / Escaped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escaped fraud is the blind-spot signal the next round reads.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5540B"/>
          <w:sz w:val="19"/>
          <w:szCs w:val="19"/>
        </w:rPr>
        <w:t xml:space="preserve">6  GenAI Blind-Spot Analyst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reads the real misses and the risk scores assigned.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7  Bounded Mutation Proposal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bounds-checked by deterministic code; out-of-range proposals are rejected, never clamped.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8  Deterministic Next Generation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  — the simulator, not the model, generates the next seeded scenario.</w:t>
      </w:r>
    </w:p>
    <w:p>
      <w:pPr>
        <w:spacing w:after="100"/>
      </w:pPr>
    </w:p>
    <w:tbl>
      <w:tblPr>
        <w:tblW w:type="auto" w:w="100"/>
        <w:tblBorders>
          <w:top w:val="single" w:color="C9D6EA" w:sz="4"/>
          <w:left w:val="single" w:color="C9D6EA" w:sz="4"/>
          <w:bottom w:val="single" w:color="C9D6EA" w:sz="4"/>
          <w:right w:val="single" w:color="C9D6EA" w:sz="4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LOAFO sits outside this loop.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B5568"/>
                <w:sz w:val="19"/>
                <w:szCs w:val="19"/>
              </w:rPr>
              <w:t xml:space="preserve">Leave One Attack Family Out is a generalization test, not a generation stage: hold one attack family out of hardening entirely, then score a fresh scenario of that family. It creates no attacks and proposes no mutations.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4962525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Overview — the judge-facing landing screen. Red Team stages are amber, Blue Team stages blue; a filled dot marks the two stages where a language model reasons.</w:t>
      </w:r>
    </w:p>
    <w:p>
      <w:r>
        <w:br w:type="page"/>
      </w:r>
    </w:p>
    <w:p>
      <w:pPr>
        <w:pStyle w:val="Heading1"/>
        <w:spacing w:after="140" w:before="4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Red Team — the Attack Lab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Breadth is researched; depth is measured.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14 attack vectors are catalogued across 8 categories with cited sources. Exactly 3 are deeply simulated — only those have a generator, a blueprint and a real detector result.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GenAI reasons; it writes 0 transaction rows.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Every row in every corpus is written by a deterministic, seeded simulator, so any result can be regenerated and re-checked.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Live GenAI provenance is persisted.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Each reasoning artifact carries provider, model, prompt version, latency and a real request id. With no API key the layer fails loudly rather than inventing reasoning text.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Bounded mutation is enforced, not described.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GenAI supplies a direction and magnitude; deterministic validation recomputes the value and refuses anything outside the blueprint's declared bounds. Refusals are persisted and shown.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Scenario identity is always explicit.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Guided-generation, replay and LOAFO evidence may use different persisted scenarios — or, for some families, the same one. AEGIS labels each scenario id rather than assuming either relationship.</w:t>
      </w:r>
    </w:p>
    <w:p>
      <w:pPr>
        <w:spacing w:after="60" w:before="120"/>
        <w:jc w:val="center"/>
      </w:pPr>
      <w:r>
        <w:drawing>
          <wp:inline distT="0" distB="0" distL="0" distR="0">
            <wp:extent cx="413385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Attack Lab — synthetic identity bust-out. The Blind-Spot Analyst proposed 6 mutations: 5 applied, 1 rejected by the deterministic bounds check with its reason printed verbatim. Note the two distinct scenario ids: the guided generation and the recorded confrontation are different runs.</w:t>
      </w:r>
    </w:p>
    <w:p>
      <w:r>
        <w:br w:type="page"/>
      </w:r>
    </w:p>
    <w:p>
      <w:pPr>
        <w:pStyle w:val="Heading1"/>
        <w:spacing w:after="140" w:before="4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The closed loop in practice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Recorded escapes reveal detector blind spots.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Every escape shown is a fraudulent transaction that a real detector let through in a run that already happened.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Only evidence explicitly promoted as hard positives informed later hardening.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Promotion is recorded in the artifact; it is never inferred from whether a transaction escaped.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LOAFO evaluation evidence does not imply retraining.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Held-out fold results measure generalization. They never feed a training set, and the interface says so on every such row.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Historical snapshots are not automatically same-scenario comparisons.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One confrontation was recorded per defender generation against the same blueprint, each with its own persisted scenario. Those document the system's evolution — they are deliberately not drawn as a causal v1 → v2 → v3 chart.</w:t>
      </w:r>
    </w:p>
    <w:p>
      <w:pPr>
        <w:spacing w:after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The loop is also reported honestly where it cost something: hardening Defender v2 against specific hard positives reduced native-split F1 by 1.36 points versus baseline v1. That line is on the screen, not buried in an appendix.</w:t>
      </w:r>
    </w:p>
    <w:p>
      <w:pPr>
        <w:spacing w:after="60" w:before="120"/>
        <w:jc w:val="center"/>
      </w:pPr>
      <w:r>
        <w:drawing>
          <wp:inline distT="0" distB="0" distL="0" distR="0">
            <wp:extent cx="4352925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Evolution — the recorded closed-loop timeline, then what escaped per attack family. Note the two different evidence roles: "Recorded hardening snapshots" for bust-out, "Held-out fold vs Defender v3" for mule network.</w:t>
      </w:r>
    </w:p>
    <w:p>
      <w:r>
        <w:br w:type="page"/>
      </w:r>
    </w:p>
    <w:p>
      <w:pPr>
        <w:pStyle w:val="Heading1"/>
        <w:spacing w:after="140" w:before="4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Results — partial generalization</w:t>
      </w:r>
    </w:p>
    <w:tbl>
      <w:tblPr>
        <w:tblW w:type="auto" w:w="100"/>
        <w:tblBorders>
          <w:top w:val="single" w:color="E5C07B" w:sz="4"/>
          <w:left w:val="single" w:color="E5C07B" w:sz="4"/>
          <w:bottom w:val="single" w:color="E5C07B" w:sz="4"/>
          <w:right w:val="single" w:color="E5C07B" w:sz="4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FF7E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5790B"/>
                <w:sz w:val="24"/>
                <w:szCs w:val="24"/>
              </w:rPr>
              <w:t xml:space="preserve">PARTIAL GENERALIZATION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9"/>
                <w:szCs w:val="19"/>
              </w:rPr>
              <w:t xml:space="preserve">2 of 3 families transferred. Mule-network structuring did not.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B5568"/>
                <w:sz w:val="19"/>
                <w:szCs w:val="19"/>
              </w:rPr>
              <w:t xml:space="preserve">Mean LOAFO recall across the three folds is 58.3%.</w:t>
            </w:r>
          </w:p>
        </w:tc>
      </w:tr>
    </w:tbl>
    <w:p>
      <w:pPr>
        <w:spacing w:after="140"/>
      </w:pPr>
    </w:p>
    <w:p>
      <w:pPr>
        <w:spacing w:after="11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LOAFO in plain language: hold one attack family out of hardening, then evaluate on a fresh scenario from that unseen family. In each fold the held-out family contributes zero training rows, and the fold model and Defender v3 are scored on the same fresh scenario — so that comparison is like-for-like.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Transfer occurred for 2 of 3 families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in the recorded benchmark (bust-out 100%, adaptive evasion 75%).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Mule-network structuring remained the weakest unseen family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— 0 of 12 caught by the fold trained without it, against 42% for Defender v3, which was trained on it.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Results are directional.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Each fresh scenario holds 3–12 fraud events, so a single additional catch or miss moves a family's recall materially.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58.3% is not Defender v3's production recall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and not a fraud-detection rate of any kind.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D5FD6"/>
          <w:sz w:val="22"/>
          <w:szCs w:val="22"/>
        </w:rPr>
        <w:t xml:space="preserve">The native-test trade-off</w:t>
      </w:r>
    </w:p>
    <w:p>
      <w:pPr>
        <w:spacing w:after="6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On the identical untouched PaySim test split, baseline v1 still leads PR-AUC, recall and F1; Defender v3 leads precision, false positive rate and recall at a 0.1% FPR budget. Hardening changed the operating trade-off; it did not uniformly improve every native-test metric.</w:t>
      </w:r>
    </w:p>
    <w:p>
      <w:pPr>
        <w:spacing w:after="60" w:before="120"/>
        <w:jc w:val="center"/>
      </w:pPr>
      <w:r>
        <w:drawing>
          <wp:inline distT="0" distB="0" distL="0" distR="0">
            <wp:extent cx="413385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Results — the LOAFO verdict and table, and the fresh-scenario family chart. Mule network shows a Defender v3 bar and no held-out bar at all: that is the 0% result, left visible.</w:t>
      </w:r>
    </w:p>
    <w:p>
      <w:r>
        <w:br w:type="page"/>
      </w:r>
    </w:p>
    <w:p>
      <w:pPr>
        <w:pStyle w:val="Heading1"/>
        <w:spacing w:after="140" w:before="40"/>
      </w:pPr>
      <w:r>
        <w:rPr>
          <w:rFonts w:ascii="Calibri" w:cs="Calibri" w:eastAsia="Calibri" w:hAnsi="Calibri"/>
          <w:b/>
          <w:bCs/>
          <w:color w:val="1F2937"/>
          <w:sz w:val="30"/>
          <w:szCs w:val="30"/>
        </w:rPr>
        <w:t xml:space="preserve">Real-world fit and limitations</w:t>
      </w:r>
    </w:p>
    <w:p>
      <w:pPr>
        <w:spacing w:after="1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0"/>
          <w:szCs w:val="20"/>
        </w:rPr>
        <w:t xml:space="preserve">AEGIS is offline adversarial validation and hardening infrastructure for fraud-model teams.</w:t>
      </w:r>
    </w:p>
    <w:p>
      <w:pPr>
        <w:spacing w:after="1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Historical transaction logs and fraud labels  →  offline AEGIS evaluation  →  reproducible attack scenarios, blind-spot evidence, hard-positive datasets and a generalization report  →  the next model validation or retraining cycle.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D5FD6"/>
          <w:sz w:val="22"/>
          <w:szCs w:val="22"/>
        </w:rPr>
        <w:t xml:space="preserve">What it needs, who uses it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Users: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fraud model validation and model-risk functions, fraud data-science teams, security and financial-crime red teams, and issuer, acquirer or network fraud functions.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Inputs: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a batch export of historical transactions with fraud labels, plus institution-specific feature mapping and governance.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Outputs: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reproducible attack scenarios, hard-positive datasets, blind-spot evidence, and a generalization benchmark.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D5FD6"/>
          <w:sz w:val="22"/>
          <w:szCs w:val="22"/>
        </w:rPr>
        <w:t xml:space="preserve">Boundaries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AEGIS is not in the authorization path.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It never scores a live payment and has no code path that could.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The current prototype is not connected to live payment scoring.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The deployed demo is a read-only surface over persisted benchmark artifacts.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PaySim is synthetic / reference data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B5568"/>
          <w:sz w:val="19"/>
          <w:szCs w:val="19"/>
        </w:rPr>
        <w:t xml:space="preserve">— a public synthetic mobile-money simulator, not captured real transactions. No real fraud cases are involved anywhere.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19"/>
          <w:szCs w:val="19"/>
        </w:rPr>
        <w:t xml:space="preserve">A real deployment would require institution-specific data mapping, privacy, governance and validation controls.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1D5FD6"/>
          <w:sz w:val="22"/>
          <w:szCs w:val="22"/>
        </w:rPr>
        <w:t xml:space="preserve">Limitations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 w:val="false"/>
          <w:bCs w:val="false"/>
          <w:color w:val="4B5568"/>
          <w:sz w:val="19"/>
          <w:szCs w:val="19"/>
        </w:rPr>
        <w:t xml:space="preserve">Synthetic / reference benchmark throughout; every attack is generated by AEGIS's own simulators.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 w:val="false"/>
          <w:bCs w:val="false"/>
          <w:color w:val="4B5568"/>
          <w:sz w:val="19"/>
          <w:szCs w:val="19"/>
        </w:rPr>
        <w:t xml:space="preserve">Exactly three deeply simulated attack families; the other eleven are research-identified only.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 w:val="false"/>
          <w:bCs w:val="false"/>
          <w:color w:val="4B5568"/>
          <w:sz w:val="19"/>
          <w:szCs w:val="19"/>
        </w:rPr>
        <w:t xml:space="preserve">Small scenario counts (3–12 fraud events per fresh scenario) — all per-family figures are directional.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 w:val="false"/>
          <w:bCs w:val="false"/>
          <w:color w:val="4B5568"/>
          <w:sz w:val="19"/>
          <w:szCs w:val="19"/>
        </w:rPr>
        <w:t xml:space="preserve">Generalization is partial, not universal, and mule-network structuring remains the weakest unseen family.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 w:val="false"/>
          <w:bCs w:val="false"/>
          <w:color w:val="4B5568"/>
          <w:sz w:val="19"/>
          <w:szCs w:val="19"/>
        </w:rPr>
        <w:t xml:space="preserve">No claim of universal fraud detection, production readiness, latency SLA, or any customer, partnership or regulatory approval.</w:t>
      </w:r>
    </w:p>
    <w:p>
      <w:pPr>
        <w:spacing w:after="2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Frontend   </w:t>
      </w:r>
      <w:hyperlink w:history="1" r:id="rIdl_u9wlslbiep6fnxtzoud">
        <w:r>
          <w:rPr>
            <w:rFonts w:ascii="Calibri" w:cs="Calibri" w:eastAsia="Calibri" w:hAnsi="Calibri"/>
            <w:color w:val="1D5FD6"/>
            <w:sz w:val="19"/>
            <w:szCs w:val="19"/>
            <w:u w:val="single"/>
          </w:rPr>
          <w:t xml:space="preserve">https://mastercard-aegis.vercel.app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GitHub   </w:t>
      </w:r>
      <w:hyperlink w:history="1" r:id="rIdfld1devhb9ifmwotb7u-k">
        <w:r>
          <w:rPr>
            <w:rFonts w:ascii="Calibri" w:cs="Calibri" w:eastAsia="Calibri" w:hAnsi="Calibri"/>
            <w:color w:val="1D5FD6"/>
            <w:sz w:val="19"/>
            <w:szCs w:val="19"/>
            <w:u w:val="single"/>
          </w:rPr>
          <w:t xml:space="preserve">https://github.com/tensorforgee/mastercard-aegis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API   </w:t>
      </w:r>
      <w:hyperlink w:history="1" r:id="rIdmpfziib8rljmfb7e8ybra">
        <w:r>
          <w:rPr>
            <w:rFonts w:ascii="Calibri" w:cs="Calibri" w:eastAsia="Calibri" w:hAnsi="Calibri"/>
            <w:color w:val="1D5FD6"/>
            <w:sz w:val="19"/>
            <w:szCs w:val="19"/>
            <w:u w:val="single"/>
          </w:rPr>
          <w:t xml:space="preserve">https://mastercard-aegis.onrender.com</w:t>
        </w:r>
      </w:hyperlink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AEGIS — Mastercard Innovation Challenge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iagf9c1hoswzn4nn4osq" Type="http://schemas.openxmlformats.org/officeDocument/2006/relationships/hyperlink" Target="https://mastercard-aegis.vercel.app" TargetMode="External"/><Relationship Id="rIdw-b4g_x9ptcegqiqi4egd" Type="http://schemas.openxmlformats.org/officeDocument/2006/relationships/hyperlink" Target="https://github.com/tensorforgee/mastercard-aegis" TargetMode="External"/><Relationship Id="rIdughnldhy2bsltlxhjc9dt" Type="http://schemas.openxmlformats.org/officeDocument/2006/relationships/hyperlink" Target="https://mastercard-aegis.onrender.com" TargetMode="External"/><Relationship Id="rIdl_u9wlslbiep6fnxtzoud" Type="http://schemas.openxmlformats.org/officeDocument/2006/relationships/hyperlink" Target="https://mastercard-aegis.vercel.app" TargetMode="External"/><Relationship Id="rIdfld1devhb9ifmwotb7u-k" Type="http://schemas.openxmlformats.org/officeDocument/2006/relationships/hyperlink" Target="https://github.com/tensorforgee/mastercard-aegis" TargetMode="External"/><Relationship Id="rIdmpfziib8rljmfb7e8ybra" Type="http://schemas.openxmlformats.org/officeDocument/2006/relationships/hyperlink" Target="https://mastercard-aegis.onrender.com" TargetMode="External"/><Relationship Id="rId9" Type="http://schemas.openxmlformats.org/officeDocument/2006/relationships/image" Target="media/7ba27780044cc5c7bae3634c656825b9cd561368.png"/><Relationship Id="rId10" Type="http://schemas.openxmlformats.org/officeDocument/2006/relationships/image" Target="media/1b337bd6c80b87219adfab323a2b53f398f7f50b.png"/><Relationship Id="rId11" Type="http://schemas.openxmlformats.org/officeDocument/2006/relationships/image" Target="media/103f7178517ce4e99bfd5e9a87c923291f69b4f1.png"/><Relationship Id="rId12" Type="http://schemas.openxmlformats.org/officeDocument/2006/relationships/image" Target="media/e4ce385e81bb68ad52e7ef71b474abd24087ca34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AEGIS — Judge Walkthrough</dc:title>
  <dc:creator>AEGIS</dc:creator>
  <dc:description>Mastercard Innovation Challenge 2026 submission walkthrough</dc:description>
  <cp:lastModifiedBy>Un-named</cp:lastModifiedBy>
  <cp:revision>1</cp:revision>
  <dcterms:created xsi:type="dcterms:W3CDTF">2026-08-30T23:46:42.319Z</dcterms:created>
  <dcterms:modified xsi:type="dcterms:W3CDTF">2026-08-30T23:46:42.324Z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