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3864"/>
          <w:sz w:val="52"/>
          <w:szCs w:val="52"/>
        </w:rPr>
        <w:t xml:space="preserve">Compliance Pilot Plan</w:t>
      </w:r>
    </w:p>
    <w:p>
      <w:pPr>
        <w:spacing w:after="40"/>
      </w:pPr>
      <w:r>
        <w:rPr>
          <w:rFonts w:ascii="Calibri" w:cs="Calibri" w:eastAsia="Calibri" w:hAnsi="Calibri"/>
          <w:color w:val="1F3864"/>
          <w:sz w:val="26"/>
          <w:szCs w:val="26"/>
        </w:rPr>
        <w:t xml:space="preserve">Wisconsin Metal Parts</w:t>
      </w:r>
    </w:p>
    <w:p>
      <w:pPr>
        <w:spacing w:after="40"/>
      </w:pPr>
      <w:r>
        <w:rPr>
          <w:rFonts w:ascii="Calibri" w:cs="Calibri" w:eastAsia="Calibri" w:hAnsi="Calibri"/>
          <w:color w:val="404040"/>
          <w:sz w:val="22"/>
          <w:szCs w:val="22"/>
        </w:rPr>
        <w:t xml:space="preserve">Microsoft 365 GCC High Deployment and Migration</w:t>
      </w:r>
    </w:p>
    <w:p>
      <w:pPr>
        <w:spacing w:after="40"/>
      </w:pPr>
      <w:r>
        <w:rPr>
          <w:rFonts w:ascii="Calibri" w:cs="Calibri" w:eastAsia="Calibri" w:hAnsi="Calibri"/>
          <w:color w:val="595959"/>
          <w:sz w:val="22"/>
          <w:szCs w:val="22"/>
        </w:rPr>
        <w:t xml:space="preserve">September 15, 2026</w:t>
      </w:r>
    </w:p>
    <w:p>
      <w:pPr>
        <w:spacing w:after="160"/>
      </w:pPr>
      <w:r>
        <w:rPr>
          <w:rFonts w:ascii="Calibri" w:cs="Calibri" w:eastAsia="Calibri" w:hAnsi="Calibri"/>
          <w:color w:val="595959"/>
          <w:sz w:val="22"/>
          <w:szCs w:val="22"/>
        </w:rPr>
        <w:t xml:space="preserve">Prepared by Essendis</w:t>
      </w:r>
    </w:p>
    <w:p>
      <w:pPr>
        <w:pBdr>
          <w:bottom w:val="single" w:color="1F3864" w:sz="6" w:space="1"/>
        </w:pBdr>
        <w:spacing w:after="280"/>
      </w:pPr>
    </w:p>
    <w:p>
      <w:pPr>
        <w:pStyle w:val="Heading1"/>
        <w:keepNext/>
        <w:spacing w:after="140" w:before="280"/>
      </w:pPr>
      <w:r>
        <w:t xml:space="preserve">1. Purpose</w:t>
      </w:r>
    </w:p>
    <w:p>
      <w:pPr>
        <w:spacing w:after="120" w:line="240"/>
      </w:pPr>
      <w:r>
        <w:rPr>
          <w:rFonts w:ascii="Calibri" w:cs="Calibri" w:eastAsia="Calibri" w:hAnsi="Calibri"/>
          <w:sz w:val="22"/>
          <w:szCs w:val="22"/>
        </w:rPr>
        <w:t xml:space="preserve">This plan describes a simple pilot that validates the baseline compliance configuration in the GCC High tenant before cutover: Communication Compliance, insider risk management, organization-wide retention and disposition, Purview Message Encryption, and the TLS requirements for relayed and external mail. Each policy is built scoped to the pilot group, proven with seeded test content, tuned, and signed off by WMP before its scope widens to the whole organization at cutover.</w:t>
      </w:r>
    </w:p>
    <w:p>
      <w:pPr>
        <w:spacing w:after="120" w:line="240"/>
      </w:pPr>
      <w:r>
        <w:rPr>
          <w:rFonts w:ascii="Calibri" w:cs="Calibri" w:eastAsia="Calibri" w:hAnsi="Calibri"/>
          <w:sz w:val="22"/>
          <w:szCs w:val="22"/>
        </w:rPr>
        <w:t xml:space="preserve">Production mail and files remain in the commercial tenant until the November cutover, so the pilot works entirely on test content created for it. Its outputs are tuned policy settings recorded in the Configuration Document, a WMP reviewer trained on the review queues, and confirmed TLS readiness for every relay device and known external sender.</w:t>
      </w:r>
    </w:p>
    <w:p>
      <w:pPr>
        <w:pStyle w:val="Heading1"/>
        <w:keepNext/>
        <w:spacing w:after="140" w:before="280"/>
      </w:pPr>
      <w:r>
        <w:t xml:space="preserve">2. Pilot Group</w:t>
      </w:r>
    </w:p>
    <w:p>
      <w:pPr>
        <w:spacing w:after="120" w:line="240"/>
      </w:pPr>
      <w:r>
        <w:rPr>
          <w:rFonts w:ascii="Calibri" w:cs="Calibri" w:eastAsia="Calibri" w:hAnsi="Calibri"/>
          <w:sz w:val="22"/>
          <w:szCs w:val="22"/>
        </w:rPr>
        <w:t xml:space="preserve">Six to eight participants, drawn from all three license tiers so that entitlement and user experience are proven per tier. [TBD: pilot participant names]</w:t>
      </w:r>
    </w:p>
    <w:p>
      <w:pPr>
        <w:spacing w:after="6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20"/>
        <w:gridCol w:w="5940"/>
      </w:tblGrid>
      <w:tr>
        <w:trPr>
          <w:cantSplit/>
          <w:tblHeader/>
        </w:trPr>
        <w:tc>
          <w:tcPr>
            <w:tcW w:type="dxa" w:w="3420"/>
            <w:shd w:fill="D9E2F3" w:color="auto" w:val="clear"/>
            <w:tcMar>
              <w:top w:type="dxa" w:w="80"/>
              <w:left w:type="dxa" w:w="108"/>
              <w:bottom w:type="dxa" w:w="80"/>
              <w:right w:type="dxa" w:w="108"/>
            </w:tcMar>
            <w:vAlign w:val="top"/>
          </w:tcPr>
          <w:p>
            <w:pPr>
              <w:spacing w:after="20" w:before="20" w:line="240"/>
            </w:pPr>
            <w:r>
              <w:rPr>
                <w:rFonts w:ascii="Calibri" w:cs="Calibri" w:eastAsia="Calibri" w:hAnsi="Calibri"/>
                <w:b/>
                <w:bCs/>
                <w:color w:val="1F3864"/>
                <w:sz w:val="20"/>
                <w:szCs w:val="20"/>
              </w:rPr>
              <w:t xml:space="preserve">Participants</w:t>
            </w:r>
          </w:p>
        </w:tc>
        <w:tc>
          <w:tcPr>
            <w:tcW w:type="dxa" w:w="5940"/>
            <w:shd w:fill="D9E2F3" w:color="auto" w:val="clear"/>
            <w:tcMar>
              <w:top w:type="dxa" w:w="80"/>
              <w:left w:type="dxa" w:w="108"/>
              <w:bottom w:type="dxa" w:w="80"/>
              <w:right w:type="dxa" w:w="108"/>
            </w:tcMar>
            <w:vAlign w:val="top"/>
          </w:tcPr>
          <w:p>
            <w:pPr>
              <w:spacing w:after="20" w:before="20" w:line="240"/>
            </w:pPr>
            <w:r>
              <w:rPr>
                <w:rFonts w:ascii="Calibri" w:cs="Calibri" w:eastAsia="Calibri" w:hAnsi="Calibri"/>
                <w:b/>
                <w:bCs/>
                <w:color w:val="1F3864"/>
                <w:sz w:val="20"/>
                <w:szCs w:val="20"/>
              </w:rPr>
              <w:t xml:space="preserve">Purpose</w:t>
            </w:r>
          </w:p>
        </w:tc>
      </w:tr>
      <w:tr>
        <w:trPr>
          <w:cantSplit/>
        </w:trPr>
        <w:tc>
          <w:tcPr>
            <w:tcW w:type="dxa" w:w="342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Two M365 G5 users, one an IT administrator</w:t>
            </w:r>
          </w:p>
        </w:tc>
        <w:tc>
          <w:tcPr>
            <w:tcW w:type="dxa" w:w="594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Full Purview experience and administrative validation</w:t>
            </w:r>
          </w:p>
        </w:tc>
      </w:tr>
      <w:tr>
        <w:trPr>
          <w:cantSplit/>
        </w:trPr>
        <w:tc>
          <w:tcPr>
            <w:tcW w:type="dxa" w:w="342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Two Business Premium users with the Defender and Purview Suite</w:t>
            </w:r>
          </w:p>
        </w:tc>
        <w:tc>
          <w:tcPr>
            <w:tcW w:type="dxa" w:w="594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Proves the add-on provides Communication Compliance, insider risk management, and retention</w:t>
            </w:r>
          </w:p>
        </w:tc>
      </w:tr>
      <w:tr>
        <w:trPr>
          <w:cantSplit/>
        </w:trPr>
        <w:tc>
          <w:tcPr>
            <w:tcW w:type="dxa" w:w="342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Two F3 users with the F5 Security + Compliance add-on</w:t>
            </w:r>
          </w:p>
        </w:tc>
        <w:tc>
          <w:tcPr>
            <w:tcW w:type="dxa" w:w="594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Frontline experience, including shared device patterns</w:t>
            </w:r>
          </w:p>
        </w:tc>
      </w:tr>
      <w:tr>
        <w:trPr>
          <w:cantSplit/>
        </w:trPr>
        <w:tc>
          <w:tcPr>
            <w:tcW w:type="dxa" w:w="342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One WMP-designated reviewer</w:t>
            </w:r>
          </w:p>
        </w:tc>
        <w:tc>
          <w:tcPr>
            <w:tcW w:type="dxa" w:w="594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Works the review queues; trained during the pilot</w:t>
            </w:r>
          </w:p>
        </w:tc>
      </w:tr>
      <w:tr>
        <w:trPr>
          <w:cantSplit/>
        </w:trPr>
        <w:tc>
          <w:tcPr>
            <w:tcW w:type="dxa" w:w="342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Essendis engineer</w:t>
            </w:r>
          </w:p>
        </w:tc>
        <w:tc>
          <w:tcPr>
            <w:tcW w:type="dxa" w:w="594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Builds the policies, runs the scenarios, tunes the settings</w:t>
            </w:r>
          </w:p>
        </w:tc>
      </w:tr>
    </w:tbl>
    <w:p>
      <w:pPr>
        <w:spacing w:after="160"/>
      </w:pPr>
    </w:p>
    <w:p>
      <w:pPr>
        <w:spacing w:after="120" w:line="240"/>
      </w:pPr>
      <w:r>
        <w:rPr>
          <w:rFonts w:ascii="Calibri" w:cs="Calibri" w:eastAsia="Calibri" w:hAnsi="Calibri"/>
          <w:sz w:val="22"/>
          <w:szCs w:val="22"/>
        </w:rPr>
        <w:t xml:space="preserve">Pilot devices are test or IT-owned Windows machines enrolled in the GCC High tenant as the endpoint pilot ring, with Endpoint DLP active. Production devices convert at cutover and are not part of the pilot.</w:t>
      </w:r>
    </w:p>
    <w:p>
      <w:pPr>
        <w:pStyle w:val="Heading1"/>
        <w:keepNext/>
        <w:spacing w:after="140" w:before="280"/>
      </w:pPr>
      <w:r>
        <w:t xml:space="preserve">3. Prerequisites</w:t>
      </w:r>
    </w:p>
    <w:p>
      <w:pPr>
        <w:pStyle w:val="ListParagraph"/>
        <w:numPr>
          <w:ilvl w:val="0"/>
          <w:numId w:val="2"/>
        </w:numPr>
        <w:spacing w:after="120" w:line="240"/>
      </w:pPr>
      <w:r>
        <w:rPr>
          <w:rFonts w:ascii="Calibri" w:cs="Calibri" w:eastAsia="Calibri" w:hAnsi="Calibri"/>
          <w:sz w:val="22"/>
          <w:szCs w:val="22"/>
        </w:rPr>
        <w:t xml:space="preserve">Tenant initialized and pilot users licensed in their production tiers.</w:t>
      </w:r>
    </w:p>
    <w:p>
      <w:pPr>
        <w:pStyle w:val="ListParagraph"/>
        <w:numPr>
          <w:ilvl w:val="0"/>
          <w:numId w:val="2"/>
        </w:numPr>
        <w:spacing w:after="120" w:line="240"/>
      </w:pPr>
      <w:r>
        <w:rPr>
          <w:rFonts w:ascii="Calibri" w:cs="Calibri" w:eastAsia="Calibri" w:hAnsi="Calibri"/>
          <w:sz w:val="22"/>
          <w:szCs w:val="22"/>
        </w:rPr>
        <w:t xml:space="preserve">CUI sensitivity label and DLP policies published to the pilot group.</w:t>
      </w:r>
    </w:p>
    <w:p>
      <w:pPr>
        <w:pStyle w:val="ListParagraph"/>
        <w:numPr>
          <w:ilvl w:val="0"/>
          <w:numId w:val="2"/>
        </w:numPr>
        <w:spacing w:after="120" w:line="240"/>
      </w:pPr>
      <w:r>
        <w:rPr>
          <w:rFonts w:ascii="Calibri" w:cs="Calibri" w:eastAsia="Calibri" w:hAnsi="Calibri"/>
          <w:sz w:val="22"/>
          <w:szCs w:val="22"/>
        </w:rPr>
        <w:t xml:space="preserve">Endpoint pilot ring enrolled, with the removable media policy and Endpoint DLP applied.</w:t>
      </w:r>
    </w:p>
    <w:p>
      <w:pPr>
        <w:pStyle w:val="ListParagraph"/>
        <w:numPr>
          <w:ilvl w:val="0"/>
          <w:numId w:val="2"/>
        </w:numPr>
        <w:spacing w:after="120" w:line="240"/>
      </w:pPr>
      <w:r>
        <w:rPr>
          <w:rFonts w:ascii="Calibri" w:cs="Calibri" w:eastAsia="Calibri" w:hAnsi="Calibri"/>
          <w:sz w:val="22"/>
          <w:szCs w:val="22"/>
        </w:rPr>
        <w:t xml:space="preserve">The pilot-scoped policies built: the Communication Compliance policy, the two insider risk policies, the retention policy scoped to pilot users, and a separate one-day retain-and-delete test policy on a test site, a test mailbox, and a pilot chat.</w:t>
      </w:r>
    </w:p>
    <w:p>
      <w:pPr>
        <w:pStyle w:val="ListParagraph"/>
        <w:numPr>
          <w:ilvl w:val="0"/>
          <w:numId w:val="2"/>
        </w:numPr>
        <w:spacing w:after="120" w:line="240"/>
      </w:pPr>
      <w:r>
        <w:rPr>
          <w:rFonts w:ascii="Calibri" w:cs="Calibri" w:eastAsia="Calibri" w:hAnsi="Calibri"/>
          <w:sz w:val="22"/>
          <w:szCs w:val="22"/>
        </w:rPr>
        <w:t xml:space="preserve">The Purview Message Encryption transport rule and the staged mail connectors in place.</w:t>
      </w:r>
    </w:p>
    <w:p>
      <w:pPr>
        <w:pStyle w:val="ListParagraph"/>
        <w:numPr>
          <w:ilvl w:val="0"/>
          <w:numId w:val="2"/>
        </w:numPr>
        <w:spacing w:after="120" w:line="240"/>
      </w:pPr>
      <w:r>
        <w:rPr>
          <w:rFonts w:ascii="Calibri" w:cs="Calibri" w:eastAsia="Calibri" w:hAnsi="Calibri"/>
          <w:sz w:val="22"/>
          <w:szCs w:val="22"/>
        </w:rPr>
        <w:t xml:space="preserve">An external test mailbox outside Microsoft 365, and a DoD partner or prime contact willing to run the encrypted mail test.</w:t>
      </w:r>
    </w:p>
    <w:p>
      <w:pPr>
        <w:pStyle w:val="ListParagraph"/>
        <w:numPr>
          <w:ilvl w:val="0"/>
          <w:numId w:val="2"/>
        </w:numPr>
        <w:spacing w:after="120" w:line="240"/>
      </w:pPr>
      <w:r>
        <w:rPr>
          <w:rFonts w:ascii="Calibri" w:cs="Calibri" w:eastAsia="Calibri" w:hAnsi="Calibri"/>
          <w:sz w:val="22"/>
          <w:szCs w:val="22"/>
        </w:rPr>
        <w:t xml:space="preserve">Proposed retention periods from WMP, even if provisional; the pilot runs with proposed values pending sign-off.</w:t>
      </w:r>
    </w:p>
    <w:p>
      <w:pPr>
        <w:pStyle w:val="Heading1"/>
        <w:keepNext/>
        <w:spacing w:after="140" w:before="280"/>
      </w:pPr>
      <w:r>
        <w:t xml:space="preserve">4. Schedule</w:t>
      </w:r>
    </w:p>
    <w:p>
      <w:pPr>
        <w:spacing w:after="120" w:line="240"/>
      </w:pPr>
      <w:r>
        <w:rPr>
          <w:rFonts w:ascii="Calibri" w:cs="Calibri" w:eastAsia="Calibri" w:hAnsi="Calibri"/>
          <w:sz w:val="22"/>
          <w:szCs w:val="22"/>
        </w:rPr>
        <w:t xml:space="preserve">Three weeks. Target window: start by Monday, October 12 and finish by Friday, October 30, keeping two weeks of margin before the November 13 cutover start. If prerequisites complete earlier, start earlier.</w:t>
      </w:r>
    </w:p>
    <w:p>
      <w:pPr>
        <w:spacing w:after="120" w:line="240"/>
      </w:pPr>
      <w:r>
        <w:rPr>
          <w:rFonts w:ascii="Calibri" w:cs="Calibri" w:eastAsia="Calibri" w:hAnsi="Calibri"/>
          <w:sz w:val="22"/>
          <w:szCs w:val="22"/>
        </w:rPr>
        <w:t xml:space="preserve">Week 1, setup and seeding. Assign licenses, publish the pilot-scoped policies, seed labeled test files on the pilot SharePoint site, create the test mailboxes, start the one-day retention test policy, and begin the scripted Communication Compliance sends. Signal latency makes the early start matter: Communication Compliance matches can take a day to appear, and insider risk indicators longer.</w:t>
      </w:r>
    </w:p>
    <w:p>
      <w:pPr>
        <w:spacing w:after="120" w:line="240"/>
      </w:pPr>
      <w:r>
        <w:rPr>
          <w:rFonts w:ascii="Calibri" w:cs="Calibri" w:eastAsia="Calibri" w:hAnsi="Calibri"/>
          <w:sz w:val="22"/>
          <w:szCs w:val="22"/>
        </w:rPr>
        <w:t xml:space="preserve">Week 2, execution. Run the test cases in section 5. The WMP reviewer works the Communication Compliance and insider risk queues alongside Essendis; this is the training. Run the external encryption tests, including the partner test, and the TLS capability checks for relay devices and known external senders.</w:t>
      </w:r>
    </w:p>
    <w:p>
      <w:pPr>
        <w:spacing w:after="120" w:line="240"/>
      </w:pPr>
      <w:r>
        <w:rPr>
          <w:rFonts w:ascii="Calibri" w:cs="Calibri" w:eastAsia="Calibri" w:hAnsi="Calibri"/>
          <w:sz w:val="22"/>
          <w:szCs w:val="22"/>
        </w:rPr>
        <w:t xml:space="preserve">Week 3, observation and tuning. Confirm the one-day retention policy deleted its test content and that the legal hold kept its mailbox intact. Review alert quality, adjust thresholds, rerun any failed case, and close with WMP sign-off on the settings.</w:t>
      </w:r>
    </w:p>
    <w:p>
      <w:pPr>
        <w:pStyle w:val="Heading1"/>
        <w:keepNext/>
        <w:spacing w:after="140" w:before="280"/>
      </w:pPr>
      <w:r>
        <w:t xml:space="preserve">5. Test Cases</w:t>
      </w:r>
    </w:p>
    <w:p>
      <w:pPr>
        <w:spacing w:after="6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3780"/>
        <w:gridCol w:w="4680"/>
      </w:tblGrid>
      <w:tr>
        <w:trPr>
          <w:cantSplit/>
          <w:tblHeader/>
        </w:trPr>
        <w:tc>
          <w:tcPr>
            <w:tcW w:type="dxa" w:w="900"/>
            <w:shd w:fill="D9E2F3" w:color="auto" w:val="clear"/>
            <w:tcMar>
              <w:top w:type="dxa" w:w="80"/>
              <w:left w:type="dxa" w:w="108"/>
              <w:bottom w:type="dxa" w:w="80"/>
              <w:right w:type="dxa" w:w="108"/>
            </w:tcMar>
            <w:vAlign w:val="top"/>
          </w:tcPr>
          <w:p>
            <w:pPr>
              <w:spacing w:after="20" w:before="20" w:line="240"/>
            </w:pPr>
            <w:r>
              <w:rPr>
                <w:rFonts w:ascii="Calibri" w:cs="Calibri" w:eastAsia="Calibri" w:hAnsi="Calibri"/>
                <w:b/>
                <w:bCs/>
                <w:color w:val="1F3864"/>
                <w:sz w:val="20"/>
                <w:szCs w:val="20"/>
              </w:rPr>
              <w:t xml:space="preserve">ID</w:t>
            </w:r>
          </w:p>
        </w:tc>
        <w:tc>
          <w:tcPr>
            <w:tcW w:type="dxa" w:w="3780"/>
            <w:shd w:fill="D9E2F3" w:color="auto" w:val="clear"/>
            <w:tcMar>
              <w:top w:type="dxa" w:w="80"/>
              <w:left w:type="dxa" w:w="108"/>
              <w:bottom w:type="dxa" w:w="80"/>
              <w:right w:type="dxa" w:w="108"/>
            </w:tcMar>
            <w:vAlign w:val="top"/>
          </w:tcPr>
          <w:p>
            <w:pPr>
              <w:spacing w:after="20" w:before="20" w:line="240"/>
            </w:pPr>
            <w:r>
              <w:rPr>
                <w:rFonts w:ascii="Calibri" w:cs="Calibri" w:eastAsia="Calibri" w:hAnsi="Calibri"/>
                <w:b/>
                <w:bCs/>
                <w:color w:val="1F3864"/>
                <w:sz w:val="20"/>
                <w:szCs w:val="20"/>
              </w:rPr>
              <w:t xml:space="preserve">Scenario</w:t>
            </w:r>
          </w:p>
        </w:tc>
        <w:tc>
          <w:tcPr>
            <w:tcW w:type="dxa" w:w="4680"/>
            <w:shd w:fill="D9E2F3" w:color="auto" w:val="clear"/>
            <w:tcMar>
              <w:top w:type="dxa" w:w="80"/>
              <w:left w:type="dxa" w:w="108"/>
              <w:bottom w:type="dxa" w:w="80"/>
              <w:right w:type="dxa" w:w="108"/>
            </w:tcMar>
            <w:vAlign w:val="top"/>
          </w:tcPr>
          <w:p>
            <w:pPr>
              <w:spacing w:after="20" w:before="20" w:line="240"/>
            </w:pPr>
            <w:r>
              <w:rPr>
                <w:rFonts w:ascii="Calibri" w:cs="Calibri" w:eastAsia="Calibri" w:hAnsi="Calibri"/>
                <w:b/>
                <w:bCs/>
                <w:color w:val="1F3864"/>
                <w:sz w:val="20"/>
                <w:szCs w:val="20"/>
              </w:rPr>
              <w:t xml:space="preserve">Expected result</w:t>
            </w:r>
          </w:p>
        </w:tc>
      </w:tr>
      <w:tr>
        <w:trPr>
          <w:cantSplit/>
        </w:trPr>
        <w:tc>
          <w:tcPr>
            <w:tcW w:type="dxa" w:w="90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CC-1</w:t>
            </w:r>
          </w:p>
        </w:tc>
        <w:tc>
          <w:tcPr>
            <w:tcW w:type="dxa" w:w="37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Internal Teams message and email carrying the CUI label and matching CUI sensitive information types</w:t>
            </w:r>
          </w:p>
        </w:tc>
        <w:tc>
          <w:tcPr>
            <w:tcW w:type="dxa" w:w="46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Matches appear in the Communication Compliance queue within 24 hours; sender pseudonymized</w:t>
            </w:r>
          </w:p>
        </w:tc>
      </w:tr>
      <w:tr>
        <w:trPr>
          <w:cantSplit/>
        </w:trPr>
        <w:tc>
          <w:tcPr>
            <w:tcW w:type="dxa" w:w="90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CC-2</w:t>
            </w:r>
          </w:p>
        </w:tc>
        <w:tc>
          <w:tcPr>
            <w:tcW w:type="dxa" w:w="37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Internal message containing a sample the built-in conduct classifiers detect</w:t>
            </w:r>
          </w:p>
        </w:tc>
        <w:tc>
          <w:tcPr>
            <w:tcW w:type="dxa" w:w="46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Match queued with the classifier identified</w:t>
            </w:r>
          </w:p>
        </w:tc>
      </w:tr>
      <w:tr>
        <w:trPr>
          <w:cantSplit/>
        </w:trPr>
        <w:tc>
          <w:tcPr>
            <w:tcW w:type="dxa" w:w="90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CC-3</w:t>
            </w:r>
          </w:p>
        </w:tc>
        <w:tc>
          <w:tcPr>
            <w:tcW w:type="dxa" w:w="37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WMP reviewer works one match end to end: review, escalate, resolve</w:t>
            </w:r>
          </w:p>
        </w:tc>
        <w:tc>
          <w:tcPr>
            <w:tcW w:type="dxa" w:w="46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Identity revealed only at escalation; workflow completes</w:t>
            </w:r>
          </w:p>
        </w:tc>
      </w:tr>
      <w:tr>
        <w:trPr>
          <w:cantSplit/>
        </w:trPr>
        <w:tc>
          <w:tcPr>
            <w:tcW w:type="dxa" w:w="90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IR-1</w:t>
            </w:r>
          </w:p>
        </w:tc>
        <w:tc>
          <w:tcPr>
            <w:tcW w:type="dxa" w:w="37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Bulk download of 50 or more CUI-labeled files from the pilot SharePoint site</w:t>
            </w:r>
          </w:p>
        </w:tc>
        <w:tc>
          <w:tcPr>
            <w:tcW w:type="dxa" w:w="46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Activity surfaces as an insider risk alert after indicator processing</w:t>
            </w:r>
          </w:p>
        </w:tc>
      </w:tr>
      <w:tr>
        <w:trPr>
          <w:cantSplit/>
        </w:trPr>
        <w:tc>
          <w:tcPr>
            <w:tcW w:type="dxa" w:w="90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IR-2</w:t>
            </w:r>
          </w:p>
        </w:tc>
        <w:tc>
          <w:tcPr>
            <w:tcW w:type="dxa" w:w="37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Attempted exfiltration from a pilot device: USB copy, upload to personal cloud storage, print of a labeled file</w:t>
            </w:r>
          </w:p>
        </w:tc>
        <w:tc>
          <w:tcPr>
            <w:tcW w:type="dxa" w:w="46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Removable media policy blocks the USB copy; Endpoint DLP records each attempt; signals reach insider risk management</w:t>
            </w:r>
          </w:p>
        </w:tc>
      </w:tr>
      <w:tr>
        <w:trPr>
          <w:cantSplit/>
        </w:trPr>
        <w:tc>
          <w:tcPr>
            <w:tcW w:type="dxa" w:w="90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IR-3</w:t>
            </w:r>
          </w:p>
        </w:tc>
        <w:tc>
          <w:tcPr>
            <w:tcW w:type="dxa" w:w="37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A pilot user is flagged as departing, then repeats IR-1</w:t>
            </w:r>
          </w:p>
        </w:tc>
        <w:tc>
          <w:tcPr>
            <w:tcW w:type="dxa" w:w="46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Departing-user policy elevates the user and raises an alert</w:t>
            </w:r>
          </w:p>
        </w:tc>
      </w:tr>
      <w:tr>
        <w:trPr>
          <w:cantSplit/>
        </w:trPr>
        <w:tc>
          <w:tcPr>
            <w:tcW w:type="dxa" w:w="90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IR-4</w:t>
            </w:r>
          </w:p>
        </w:tc>
        <w:tc>
          <w:tcPr>
            <w:tcW w:type="dxa" w:w="37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Reviewer triages an alert into a case</w:t>
            </w:r>
          </w:p>
        </w:tc>
        <w:tc>
          <w:tcPr>
            <w:tcW w:type="dxa" w:w="46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Identity revealed at case creation; case workflow completes</w:t>
            </w:r>
          </w:p>
        </w:tc>
      </w:tr>
      <w:tr>
        <w:trPr>
          <w:cantSplit/>
        </w:trPr>
        <w:tc>
          <w:tcPr>
            <w:tcW w:type="dxa" w:w="90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RET-1</w:t>
            </w:r>
          </w:p>
        </w:tc>
        <w:tc>
          <w:tcPr>
            <w:tcW w:type="dxa" w:w="37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One-day retain-and-delete policy on the seeded test locations</w:t>
            </w:r>
          </w:p>
        </w:tc>
        <w:tc>
          <w:tcPr>
            <w:tcW w:type="dxa" w:w="46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Content permanently deleted after the period plus processing time</w:t>
            </w:r>
          </w:p>
        </w:tc>
      </w:tr>
      <w:tr>
        <w:trPr>
          <w:cantSplit/>
        </w:trPr>
        <w:tc>
          <w:tcPr>
            <w:tcW w:type="dxa" w:w="90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RET-2</w:t>
            </w:r>
          </w:p>
        </w:tc>
        <w:tc>
          <w:tcPr>
            <w:tcW w:type="dxa" w:w="37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A user deletes a retained item before the period ends</w:t>
            </w:r>
          </w:p>
        </w:tc>
        <w:tc>
          <w:tcPr>
            <w:tcW w:type="dxa" w:w="46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The item is preserved and discoverable until the period ends</w:t>
            </w:r>
          </w:p>
        </w:tc>
      </w:tr>
      <w:tr>
        <w:trPr>
          <w:cantSplit/>
        </w:trPr>
        <w:tc>
          <w:tcPr>
            <w:tcW w:type="dxa" w:w="90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RET-3</w:t>
            </w:r>
          </w:p>
        </w:tc>
        <w:tc>
          <w:tcPr>
            <w:tcW w:type="dxa" w:w="37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Legal hold placed on the test mailbox before the period ends</w:t>
            </w:r>
          </w:p>
        </w:tc>
        <w:tc>
          <w:tcPr>
            <w:tcW w:type="dxa" w:w="46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Content survives past the retention period while the hold stands</w:t>
            </w:r>
          </w:p>
        </w:tc>
      </w:tr>
      <w:tr>
        <w:trPr>
          <w:cantSplit/>
        </w:trPr>
        <w:tc>
          <w:tcPr>
            <w:tcW w:type="dxa" w:w="90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RET-4</w:t>
            </w:r>
          </w:p>
        </w:tc>
        <w:tc>
          <w:tcPr>
            <w:tcW w:type="dxa" w:w="37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Retention policy with proposed production periods applied to pilot users</w:t>
            </w:r>
          </w:p>
        </w:tc>
        <w:tc>
          <w:tcPr>
            <w:tcW w:type="dxa" w:w="46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Policy reports as applied within a week; no change to day-to-day use</w:t>
            </w:r>
          </w:p>
        </w:tc>
      </w:tr>
      <w:tr>
        <w:trPr>
          <w:cantSplit/>
        </w:trPr>
        <w:tc>
          <w:tcPr>
            <w:tcW w:type="dxa" w:w="90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PME-1</w:t>
            </w:r>
          </w:p>
        </w:tc>
        <w:tc>
          <w:tcPr>
            <w:tcW w:type="dxa" w:w="37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CUI-labeled mail sent to the external non-Microsoft test mailbox</w:t>
            </w:r>
          </w:p>
        </w:tc>
        <w:tc>
          <w:tcPr>
            <w:tcW w:type="dxa" w:w="46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Encrypt-Only applied by the transport rule; recipient reads via the portal with a one-time passcode; WMP branding shown</w:t>
            </w:r>
          </w:p>
        </w:tc>
      </w:tr>
      <w:tr>
        <w:trPr>
          <w:cantSplit/>
        </w:trPr>
        <w:tc>
          <w:tcPr>
            <w:tcW w:type="dxa" w:w="90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PME-2</w:t>
            </w:r>
          </w:p>
        </w:tc>
        <w:tc>
          <w:tcPr>
            <w:tcW w:type="dxa" w:w="37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CUI-labeled mail sent to a Microsoft 365 recipient</w:t>
            </w:r>
          </w:p>
        </w:tc>
        <w:tc>
          <w:tcPr>
            <w:tcW w:type="dxa" w:w="46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Opens natively in Outlook</w:t>
            </w:r>
          </w:p>
        </w:tc>
      </w:tr>
      <w:tr>
        <w:trPr>
          <w:cantSplit/>
        </w:trPr>
        <w:tc>
          <w:tcPr>
            <w:tcW w:type="dxa" w:w="90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PME-3</w:t>
            </w:r>
          </w:p>
        </w:tc>
        <w:tc>
          <w:tcPr>
            <w:tcW w:type="dxa" w:w="37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Encrypted mail exchange with the DoD partner or prime</w:t>
            </w:r>
          </w:p>
        </w:tc>
        <w:tc>
          <w:tcPr>
            <w:tcW w:type="dxa" w:w="46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Partner opens, reads, and replies; the reply returns protected</w:t>
            </w:r>
          </w:p>
        </w:tc>
      </w:tr>
      <w:tr>
        <w:trPr>
          <w:cantSplit/>
        </w:trPr>
        <w:tc>
          <w:tcPr>
            <w:tcW w:type="dxa" w:w="90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TLS-1</w:t>
            </w:r>
          </w:p>
        </w:tc>
        <w:tc>
          <w:tcPr>
            <w:tcW w:type="dxa" w:w="37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Each relay device and application (printers, Epicor, help desk platform) tested against the staged relay connector</w:t>
            </w:r>
          </w:p>
        </w:tc>
        <w:tc>
          <w:tcPr>
            <w:tcW w:type="dxa" w:w="46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TLS 1.2 or higher negotiated; any device that cannot is listed for remediation or replacement</w:t>
            </w:r>
          </w:p>
        </w:tc>
      </w:tr>
      <w:tr>
        <w:trPr>
          <w:cantSplit/>
        </w:trPr>
        <w:tc>
          <w:tcPr>
            <w:tcW w:type="dxa" w:w="90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TLS-2</w:t>
            </w:r>
          </w:p>
        </w:tc>
        <w:tc>
          <w:tcPr>
            <w:tcW w:type="dxa" w:w="37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Inbound mail from Pipedrive and the sister organizations inspected</w:t>
            </w:r>
          </w:p>
        </w:tc>
        <w:tc>
          <w:tcPr>
            <w:tcW w:type="dxa" w:w="4680"/>
            <w:tcMar>
              <w:top w:type="dxa" w:w="80"/>
              <w:left w:type="dxa" w:w="108"/>
              <w:bottom w:type="dxa" w:w="80"/>
              <w:right w:type="dxa" w:w="108"/>
            </w:tcMar>
            <w:vAlign w:val="top"/>
          </w:tcPr>
          <w:p>
            <w:pPr>
              <w:spacing w:after="20" w:before="20" w:line="240"/>
            </w:pPr>
            <w:r>
              <w:rPr>
                <w:rFonts w:ascii="Calibri" w:cs="Calibri" w:eastAsia="Calibri" w:hAnsi="Calibri"/>
                <w:b w:val="false"/>
                <w:bCs w:val="false"/>
                <w:color w:val="000000"/>
                <w:sz w:val="20"/>
                <w:szCs w:val="20"/>
              </w:rPr>
              <w:t xml:space="preserve">Connections show TLS 1.2 or higher, clearing the way for inbound enforcement</w:t>
            </w:r>
          </w:p>
        </w:tc>
      </w:tr>
    </w:tbl>
    <w:p>
      <w:pPr>
        <w:spacing w:after="160"/>
      </w:pPr>
    </w:p>
    <w:p>
      <w:pPr>
        <w:pStyle w:val="Heading1"/>
        <w:keepNext/>
        <w:spacing w:after="140" w:before="280"/>
      </w:pPr>
      <w:r>
        <w:t xml:space="preserve">6. Roles</w:t>
      </w:r>
    </w:p>
    <w:p>
      <w:pPr>
        <w:spacing w:after="120" w:line="240"/>
      </w:pPr>
      <w:r>
        <w:rPr>
          <w:rFonts w:ascii="Calibri" w:cs="Calibri" w:eastAsia="Calibri" w:hAnsi="Calibri"/>
          <w:sz w:val="22"/>
          <w:szCs w:val="22"/>
        </w:rPr>
        <w:t xml:space="preserve">Essendis builds and scopes the policies, runs the scenarios with the pilot users, tunes thresholds, and records the agreed settings in the Configuration Document. WMP names the participants and the reviewer, works the queues from week 2, decides the retention periods, and approves the settings. Monitoring, alerting, and operations remain WMP-owned after the pilot, as recorded in the design document's Scope section.</w:t>
      </w:r>
    </w:p>
    <w:p>
      <w:pPr>
        <w:pStyle w:val="Heading1"/>
        <w:keepNext/>
        <w:spacing w:after="140" w:before="280"/>
      </w:pPr>
      <w:r>
        <w:t xml:space="preserve">7. Exit Criteria</w:t>
      </w:r>
    </w:p>
    <w:p>
      <w:pPr>
        <w:pStyle w:val="ListParagraph"/>
        <w:numPr>
          <w:ilvl w:val="0"/>
          <w:numId w:val="2"/>
        </w:numPr>
        <w:spacing w:after="120" w:line="240"/>
      </w:pPr>
      <w:r>
        <w:rPr>
          <w:rFonts w:ascii="Calibri" w:cs="Calibri" w:eastAsia="Calibri" w:hAnsi="Calibri"/>
          <w:sz w:val="22"/>
          <w:szCs w:val="22"/>
        </w:rPr>
        <w:t xml:space="preserve">Every test case passed, or its variance recorded and accepted by WMP.</w:t>
      </w:r>
    </w:p>
    <w:p>
      <w:pPr>
        <w:pStyle w:val="ListParagraph"/>
        <w:numPr>
          <w:ilvl w:val="0"/>
          <w:numId w:val="2"/>
        </w:numPr>
        <w:spacing w:after="120" w:line="240"/>
      </w:pPr>
      <w:r>
        <w:rPr>
          <w:rFonts w:ascii="Calibri" w:cs="Calibri" w:eastAsia="Calibri" w:hAnsi="Calibri"/>
          <w:sz w:val="22"/>
          <w:szCs w:val="22"/>
        </w:rPr>
        <w:t xml:space="preserve">Communication Compliance and insider risk thresholds tuned on pilot false positives; the WMP reviewer has worked at least one match and one alert end to end.</w:t>
      </w:r>
    </w:p>
    <w:p>
      <w:pPr>
        <w:pStyle w:val="ListParagraph"/>
        <w:numPr>
          <w:ilvl w:val="0"/>
          <w:numId w:val="2"/>
        </w:numPr>
        <w:spacing w:after="120" w:line="240"/>
      </w:pPr>
      <w:r>
        <w:rPr>
          <w:rFonts w:ascii="Calibri" w:cs="Calibri" w:eastAsia="Calibri" w:hAnsi="Calibri"/>
          <w:sz w:val="22"/>
          <w:szCs w:val="22"/>
        </w:rPr>
        <w:t xml:space="preserve">Retention mechanics demonstrated (deletion, preservation on user delete, hold override) and the retention periods confirmed by WMP, closing the open placeholders in the design document.</w:t>
      </w:r>
    </w:p>
    <w:p>
      <w:pPr>
        <w:pStyle w:val="ListParagraph"/>
        <w:numPr>
          <w:ilvl w:val="0"/>
          <w:numId w:val="2"/>
        </w:numPr>
        <w:spacing w:after="120" w:line="240"/>
      </w:pPr>
      <w:r>
        <w:rPr>
          <w:rFonts w:ascii="Calibri" w:cs="Calibri" w:eastAsia="Calibri" w:hAnsi="Calibri"/>
          <w:sz w:val="22"/>
          <w:szCs w:val="22"/>
        </w:rPr>
        <w:t xml:space="preserve">The partner encryption test succeeded, and portal instructions for external recipients are drafted into the communications plan.</w:t>
      </w:r>
    </w:p>
    <w:p>
      <w:pPr>
        <w:pStyle w:val="ListParagraph"/>
        <w:numPr>
          <w:ilvl w:val="0"/>
          <w:numId w:val="2"/>
        </w:numPr>
        <w:spacing w:after="120" w:line="240"/>
      </w:pPr>
      <w:r>
        <w:rPr>
          <w:rFonts w:ascii="Calibri" w:cs="Calibri" w:eastAsia="Calibri" w:hAnsi="Calibri"/>
          <w:sz w:val="22"/>
          <w:szCs w:val="22"/>
        </w:rPr>
        <w:t xml:space="preserve">Every relay device and known external sender confirmed at TLS 1.2 or higher, or on a dated remediation list agreed before inbound enforcement.</w:t>
      </w:r>
    </w:p>
    <w:p>
      <w:pPr>
        <w:pStyle w:val="ListParagraph"/>
        <w:numPr>
          <w:ilvl w:val="0"/>
          <w:numId w:val="2"/>
        </w:numPr>
        <w:spacing w:after="120" w:line="240"/>
      </w:pPr>
      <w:r>
        <w:rPr>
          <w:rFonts w:ascii="Calibri" w:cs="Calibri" w:eastAsia="Calibri" w:hAnsi="Calibri"/>
          <w:sz w:val="22"/>
          <w:szCs w:val="22"/>
        </w:rPr>
        <w:t xml:space="preserve">WMP sign-off recorded; the one-day test policy deleted; each policy re-scoped to the whole organization at cutover.</w:t>
      </w:r>
    </w:p>
    <w:p>
      <w:pPr>
        <w:pStyle w:val="Heading1"/>
        <w:keepNext/>
        <w:spacing w:after="140" w:before="280"/>
      </w:pPr>
      <w:r>
        <w:t xml:space="preserve">8. What the Pilot Does Not Show</w:t>
      </w:r>
    </w:p>
    <w:p>
      <w:pPr>
        <w:spacing w:after="120" w:line="240"/>
      </w:pPr>
      <w:r>
        <w:rPr>
          <w:rFonts w:ascii="Calibri" w:cs="Calibri" w:eastAsia="Calibri" w:hAnsi="Calibri"/>
          <w:sz w:val="22"/>
          <w:szCs w:val="22"/>
        </w:rPr>
        <w:t xml:space="preserve">Alert volume at the full 150-user population, insider risk behavioral baselines (these need weeks of organic activity), and long-period retention outcomes. These are observed after cutover; the pilot proves configuration, workflow, and entitlement.</w:t>
      </w:r>
    </w:p>
    <w:sectPr>
      <w:foot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360"/>
      </w:tabs>
      <w:spacing w:before="60"/>
    </w:pPr>
    <w:r>
      <w:rPr>
        <w:rFonts w:ascii="Calibri" w:cs="Calibri" w:eastAsia="Calibri" w:hAnsi="Calibri"/>
        <w:color w:val="808080"/>
        <w:sz w:val="18"/>
        <w:szCs w:val="18"/>
      </w:rPr>
      <w:t xml:space="preserve">Essendis  |  Compliance Pilot Plan</w:t>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rPr>
        <w:rFonts w:ascii="Calibri" w:cs="Calibri" w:eastAsia="Calibri" w:hAnsi="Calib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2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40" w:before="280"/>
    </w:pPr>
    <w:rPr>
      <w:rFonts w:ascii="Calibri" w:cs="Calibri" w:eastAsia="Calibri" w:hAnsi="Calibri"/>
      <w:b/>
      <w:bCs/>
      <w:color w:val="1F3864"/>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Company>Wisconsin Metal Parts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Pilot Plan</dc:title>
  <dc:creator>Essendis</dc:creator>
  <dc:description>Compliance pilot plan for the Microsoft 365 GCC High deployment and migration.</dc:description>
  <cp:lastModifiedBy>Essendis</cp:lastModifiedBy>
  <cp:revision>1</cp:revision>
  <dcterms:created xsi:type="dcterms:W3CDTF">2026-09-15T18:35:20.622Z</dcterms:created>
  <dcterms:modified xsi:type="dcterms:W3CDTF">2026-09-15T18:35:20.622Z</dcterms:modified>
</cp:coreProperties>
</file>

<file path=docProps/custom.xml><?xml version="1.0" encoding="utf-8"?>
<Properties xmlns="http://schemas.openxmlformats.org/officeDocument/2006/custom-properties" xmlns:vt="http://schemas.openxmlformats.org/officeDocument/2006/docPropsVTypes"/>
</file>