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B351289" w14:textId="77777777" w:rsidR="00D27727" w:rsidRPr="00AA0F1E" w:rsidRDefault="007B4BF7" w:rsidP="00EF6029">
      <w:pPr>
        <w:rPr>
          <w:noProof/>
          <w:sz w:val="36"/>
          <w:szCs w:val="36"/>
          <w14:ligatures w14:val="standardContextual"/>
        </w:rPr>
      </w:pPr>
      <w:r>
        <w:rPr>
          <w:rFonts w:asciiTheme="majorHAnsi" w:hAnsiTheme="majorHAnsi" w:cstheme="majorHAnsi"/>
          <w:noProof/>
          <w:color w:val="494949" w:themeColor="text2" w:themeTint="BF"/>
          <w:sz w:val="36"/>
          <w:szCs w:val="36"/>
          <w14:ligatures w14:val="standardContextual"/>
        </w:rPr>
        <w:drawing>
          <wp:anchor distT="0" distB="0" distL="114300" distR="114300" simplePos="0" relativeHeight="251658240" behindDoc="1" locked="0" layoutInCell="1" allowOverlap="1" wp14:anchorId="3D9B2EC0" wp14:editId="09336132">
            <wp:simplePos x="0" y="0"/>
            <wp:positionH relativeFrom="margin">
              <wp:align>right</wp:align>
            </wp:positionH>
            <wp:positionV relativeFrom="margin">
              <wp:posOffset>253365</wp:posOffset>
            </wp:positionV>
            <wp:extent cx="3288030" cy="3112770"/>
            <wp:effectExtent l="0" t="7620" r="0" b="0"/>
            <wp:wrapNone/>
            <wp:docPr id="834642535" name="Picture 14" descr="A black and orange background with circle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2535" name="Picture 14" descr="A black and orange background with circles and lines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3288030" cy="3112770"/>
                    </a:xfrm>
                    <a:prstGeom prst="rect">
                      <a:avLst/>
                    </a:prstGeom>
                  </pic:spPr>
                </pic:pic>
              </a:graphicData>
            </a:graphic>
            <wp14:sizeRelH relativeFrom="margin">
              <wp14:pctWidth>0</wp14:pctWidth>
            </wp14:sizeRelH>
            <wp14:sizeRelV relativeFrom="margin">
              <wp14:pctHeight>0</wp14:pctHeight>
            </wp14:sizeRelV>
          </wp:anchor>
        </w:drawing>
      </w:r>
    </w:p>
    <w:p w14:paraId="3E151592" w14:textId="77777777" w:rsidR="0097051B" w:rsidRDefault="00E05F6A" w:rsidP="00EF6029">
      <w:pPr>
        <w:rPr>
          <w:sz w:val="36"/>
          <w:szCs w:val="36"/>
        </w:rPr>
      </w:pPr>
      <w:r>
        <w:rPr>
          <w:noProof/>
        </w:rPr>
        <w:drawing>
          <wp:anchor distT="0" distB="0" distL="114300" distR="114300" simplePos="0" relativeHeight="251658243" behindDoc="1" locked="0" layoutInCell="1" allowOverlap="1" wp14:anchorId="27EC1684" wp14:editId="138D32F4">
            <wp:simplePos x="0" y="0"/>
            <wp:positionH relativeFrom="column">
              <wp:posOffset>-170815</wp:posOffset>
            </wp:positionH>
            <wp:positionV relativeFrom="paragraph">
              <wp:posOffset>220345</wp:posOffset>
            </wp:positionV>
            <wp:extent cx="3448050" cy="3448050"/>
            <wp:effectExtent l="0" t="0" r="0" b="0"/>
            <wp:wrapNone/>
            <wp:docPr id="1181533599" name="Picture 11"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lient log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805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noProof/>
          </w:rPr>
          <w:id w:val="-1089544416"/>
          <w:picture/>
        </w:sdtPr>
        <w:sdtEndPr/>
        <w:sdtContent/>
      </w:sdt>
    </w:p>
    <w:p w14:paraId="49E948FF" w14:textId="77777777" w:rsidR="00C920F9" w:rsidRDefault="00C920F9" w:rsidP="00644A8A">
      <w:pPr>
        <w:pStyle w:val="BodyText"/>
        <w:rPr>
          <w:noProof/>
        </w:rPr>
      </w:pPr>
      <w:bookmarkStart w:id="0" w:name="_Toc213127668"/>
    </w:p>
    <w:p w14:paraId="15A23901" w14:textId="77777777" w:rsidR="00C920F9" w:rsidRDefault="00C920F9" w:rsidP="00644A8A">
      <w:pPr>
        <w:pStyle w:val="BodyText"/>
        <w:rPr>
          <w:noProof/>
        </w:rPr>
      </w:pPr>
    </w:p>
    <w:p w14:paraId="0B719117" w14:textId="77777777" w:rsidR="00C920F9" w:rsidRDefault="00C920F9" w:rsidP="00644A8A">
      <w:pPr>
        <w:pStyle w:val="BodyText"/>
        <w:rPr>
          <w:noProof/>
        </w:rPr>
      </w:pPr>
    </w:p>
    <w:p w14:paraId="1ED7DBE6" w14:textId="77777777" w:rsidR="002C05DF" w:rsidRDefault="002C05DF" w:rsidP="00644A8A">
      <w:pPr>
        <w:pStyle w:val="BodyText"/>
        <w:rPr>
          <w:noProof/>
        </w:rPr>
      </w:pPr>
    </w:p>
    <w:p w14:paraId="5A1BD767" w14:textId="77777777" w:rsidR="00B105F3" w:rsidRDefault="00B105F3" w:rsidP="00644A8A">
      <w:pPr>
        <w:pStyle w:val="BodyText"/>
      </w:pPr>
    </w:p>
    <w:p w14:paraId="792363E1" w14:textId="77777777" w:rsidR="00B105F3" w:rsidRDefault="00B105F3" w:rsidP="00644A8A">
      <w:pPr>
        <w:pStyle w:val="BodyText"/>
      </w:pPr>
    </w:p>
    <w:p w14:paraId="5DBBAA4B" w14:textId="77777777" w:rsidR="00B105F3" w:rsidRDefault="00B105F3" w:rsidP="00644A8A">
      <w:pPr>
        <w:pStyle w:val="BodyText"/>
      </w:pPr>
    </w:p>
    <w:p w14:paraId="0380ED52" w14:textId="77777777" w:rsidR="00B105F3" w:rsidRDefault="00B105F3" w:rsidP="00644A8A">
      <w:pPr>
        <w:pStyle w:val="BodyText"/>
      </w:pPr>
    </w:p>
    <w:p w14:paraId="041D0FC0" w14:textId="77777777" w:rsidR="00B105F3" w:rsidRDefault="00B105F3" w:rsidP="00644A8A">
      <w:pPr>
        <w:pStyle w:val="BodyText"/>
      </w:pPr>
    </w:p>
    <w:p w14:paraId="69F1EBA0" w14:textId="3F4854A2" w:rsidR="00A658F5" w:rsidRPr="006B3269" w:rsidRDefault="00B34CA2" w:rsidP="00644A8A">
      <w:pPr>
        <w:pStyle w:val="BodyText"/>
        <w:rPr>
          <w:sz w:val="44"/>
          <w:szCs w:val="44"/>
        </w:rPr>
      </w:pPr>
      <w:sdt>
        <w:sdtPr>
          <w:rPr>
            <w:sz w:val="44"/>
            <w:szCs w:val="44"/>
          </w:rPr>
          <w:alias w:val="Company"/>
          <w:tag w:val=""/>
          <w:id w:val="789867811"/>
          <w:placeholder>
            <w:docPart w:val="9287F050078A46FD8D232B2AADDC7649"/>
          </w:placeholder>
          <w:dataBinding w:prefixMappings="xmlns:ns0='http://schemas.openxmlformats.org/officeDocument/2006/extended-properties' " w:xpath="/ns0:Properties[1]/ns0:Company[1]" w:storeItemID="{6668398D-A668-4E3E-A5EB-62B293D839F1}"/>
          <w:text/>
        </w:sdtPr>
        <w:sdtEndPr/>
        <w:sdtContent>
          <w:r>
            <w:rPr>
              <w:sz w:val="44"/>
              <w:szCs w:val="44"/>
            </w:rPr>
            <w:t>Wisconsin Metal Parts</w:t>
          </w:r>
        </w:sdtContent>
      </w:sdt>
      <w:bookmarkEnd w:id="0"/>
    </w:p>
    <w:bookmarkStart w:id="3" w:name="_Toc213127669" w:displacedByCustomXml="next"/>
    <w:sdt>
      <w:sdtPr>
        <w:rPr>
          <w:sz w:val="44"/>
          <w:szCs w:val="44"/>
        </w:rPr>
        <w:alias w:val="Subject"/>
        <w:tag w:val=""/>
        <w:id w:val="1606457934"/>
        <w:placeholder>
          <w:docPart w:val="E019ADBAF2B045F9B6A8A95B4F5200C6"/>
        </w:placeholder>
        <w:dataBinding w:prefixMappings="xmlns:ns0='http://purl.org/dc/elements/1.1/' xmlns:ns1='http://schemas.openxmlformats.org/package/2006/metadata/core-properties' " w:xpath="/ns1:coreProperties[1]/ns0:subject[1]" w:storeItemID="{6C3C8BC8-F283-45AE-878A-BAB7291924A1}"/>
        <w:text/>
      </w:sdtPr>
      <w:sdtEndPr/>
      <w:sdtContent>
        <w:p w14:paraId="00E93FC8" w14:textId="77777777" w:rsidR="0097051B" w:rsidRPr="006B3269" w:rsidRDefault="00D04E56" w:rsidP="00644A8A">
          <w:pPr>
            <w:pStyle w:val="BodyText"/>
            <w:rPr>
              <w:sz w:val="44"/>
              <w:szCs w:val="44"/>
            </w:rPr>
          </w:pPr>
          <w:r>
            <w:rPr>
              <w:sz w:val="44"/>
              <w:szCs w:val="44"/>
            </w:rPr>
            <w:t>Microsoft Government Cloud Migration Design</w:t>
          </w:r>
        </w:p>
      </w:sdtContent>
    </w:sdt>
    <w:bookmarkEnd w:id="3" w:displacedByCustomXml="prev"/>
    <w:p w14:paraId="0F40894A" w14:textId="77777777" w:rsidR="002C05DF" w:rsidRDefault="00E519F4" w:rsidP="000958CE">
      <w:pPr>
        <w:rPr>
          <w:rFonts w:asciiTheme="majorHAnsi" w:hAnsiTheme="majorHAnsi" w:cstheme="majorHAnsi"/>
          <w:color w:val="F28627" w:themeColor="accent3"/>
          <w:sz w:val="36"/>
          <w:szCs w:val="36"/>
        </w:rPr>
      </w:pPr>
      <w:r>
        <w:rPr>
          <w:noProof/>
          <w14:ligatures w14:val="standardContextual"/>
        </w:rPr>
        <w:drawing>
          <wp:anchor distT="0" distB="0" distL="114300" distR="114300" simplePos="0" relativeHeight="251658244" behindDoc="1" locked="0" layoutInCell="1" allowOverlap="1" wp14:anchorId="569F2D57" wp14:editId="5E9974B6">
            <wp:simplePos x="0" y="0"/>
            <wp:positionH relativeFrom="margin">
              <wp:posOffset>-10571</wp:posOffset>
            </wp:positionH>
            <wp:positionV relativeFrom="paragraph">
              <wp:posOffset>1123917</wp:posOffset>
            </wp:positionV>
            <wp:extent cx="2500630" cy="480695"/>
            <wp:effectExtent l="0" t="0" r="0" b="0"/>
            <wp:wrapTopAndBottom/>
            <wp:docPr id="689895533" name="Picture 1904"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  AI-generated content may be incorrect."/>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2500630" cy="480695"/>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42" behindDoc="0" locked="0" layoutInCell="1" allowOverlap="1" wp14:anchorId="0973EBFC" wp14:editId="7D159308">
                <wp:simplePos x="0" y="0"/>
                <wp:positionH relativeFrom="margin">
                  <wp:posOffset>-9525</wp:posOffset>
                </wp:positionH>
                <wp:positionV relativeFrom="page">
                  <wp:posOffset>7096125</wp:posOffset>
                </wp:positionV>
                <wp:extent cx="5943600" cy="0"/>
                <wp:effectExtent l="38100" t="38100" r="0" b="57150"/>
                <wp:wrapTopAndBottom/>
                <wp:docPr id="113613054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w14:anchorId="01874FD9">
              <v:line id="Straight Connector 14" style="position:absolute;flip:x;z-index:25165824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558.75pt" to="467.25pt,558.75pt" w14:anchorId="7B54F37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OekYAIAAFEFAAAOAAAAZHJzL2Uyb0RvYy54bWysVE1vGyEQvVfqf0Dcm3WcNk1XXucQN+0h baKkVc8EBi8qCwiIP/59Z8BeW4kUVVUv7DLMvHnzZmB2uRksW0FMxruOn55MOAMnvTJu2fGfP67f XXCWsnBKWO+g41tI/HL+9s1sHVqY+t5bBZEhiEvtOnS8zzm0TZNkD4NIJz6Aw0Pt4yAybuOyUVGs EX2wzXQyOW/WPqoQvYSU0Lqoh3xe8LUGmW+1TpCZ7Thyy2WNZX2ktZnPRLuMIvRG7miIf2AxCOMw 6Qi1EFmwp2heQA1GRp+8zifSD43X2kgoNWA1p5Nn1Tz0IkCpBcVJYZQp/T9Y+X115e4iUZcb9xBu vPydUJRmHVI7HtImheq20XFg2prwFftdasYq2KZIuh0lhU1mEo0fPr0/O5+g8nJ/1oiWIChjiCl/ AT8w+um4NY6qFa1Y3aRMJA4uZLaOrTHn9CPi0R7bpq6NtYVNxx0OGGfR518m90W6PcFlQrwSkVjw qF6NL0MGVzaylcDxEFKCy9MCbZ+Gb15VO44ZJiyDgmYcp2q+2JuR5YhUOC/Tca5T8nsl4RlBIwZF lc+OK6rBBN0iFC9JYUFROYVGNhbucbR3gTsZKCkJuRCprxSTt0bVkB6E+uwUy9uAt7BKhWIOoDiz gFeX/iq4MPbg6VEaTrK/8ESu1iHlw2yUv7y1QEysuwfNjMIZqJKOGh2rvS++eFOYxn6OgX+h2s6f QqFc9zG4zuarWceIktm7PAYPxvlYJuEZQN6UHmDxuvrvFah1kwSPXm3vIvWGdnhva1/rG0MPw/G+ eB1ewvkfAAAA//8DAFBLAwQUAAYACAAAACEAbqYUJd4AAAAMAQAADwAAAGRycy9kb3ducmV2Lnht bEyPS0/DMBCE70j8B2uRuLWOy6uEOBUPUXFDbZF6dWPHiRqvrdhpAr+e5YDgNjs7mv22WE2uYyfT x9ajBDHPgBmsvG7RSvjYvc6WwGJSqFXn0Uj4NBFW5flZoXLtR9yY0zZZRiUYcyWhSSnknMeqMU7F uQ8GaVf73qlEY2+57tVI5a7jiyy75U61SBcaFcxzY6rjdnASwqJev73zzf5lFwb7Jdb2+FSPUl5e TI8PwJKZ0l8YfvAJHUpiOvgBdWSdhJm4oST5QtyRosT91TWJw6/Fy4L/f6L8BgAA//8DAFBLAQIt ABQABgAIAAAAIQC2gziS/gAAAOEBAAATAAAAAAAAAAAAAAAAAAAAAABbQ29udGVudF9UeXBlc10u eG1sUEsBAi0AFAAGAAgAAAAhADj9If/WAAAAlAEAAAsAAAAAAAAAAAAAAAAALwEAAF9yZWxzLy5y ZWxzUEsBAi0AFAAGAAgAAAAhAPC856RgAgAAUQUAAA4AAAAAAAAAAAAAAAAALgIAAGRycy9lMm9E b2MueG1sUEsBAi0AFAAGAAgAAAAhAG6mFCXeAAAADAEAAA8AAAAAAAAAAAAAAAAAugQAAGRycy9k b3ducmV2LnhtbFBLBQYAAAAABAAEAPMAAADFBQAAAAA= ">
                <v:stroke joinstyle="miter" endarrow="oval"/>
                <o:lock v:ext="edit" shapetype="f"/>
                <w10:wrap type="topAndBottom" anchorx="margin" anchory="page"/>
              </v:line>
            </w:pict>
          </mc:Fallback>
        </mc:AlternateContent>
      </w:r>
    </w:p>
    <w:p w14:paraId="39DFA71D" w14:textId="77777777" w:rsidR="00693778" w:rsidRPr="00557F19" w:rsidRDefault="00D44B76" w:rsidP="000958CE">
      <w:pPr>
        <w:rPr>
          <w:rFonts w:asciiTheme="majorHAnsi" w:hAnsiTheme="majorHAnsi" w:cstheme="majorHAnsi"/>
          <w:color w:val="F28627" w:themeColor="accent3"/>
          <w:sz w:val="36"/>
          <w:szCs w:val="36"/>
        </w:rPr>
      </w:pPr>
      <w:r>
        <w:rPr>
          <w:rFonts w:asciiTheme="majorHAnsi" w:hAnsiTheme="majorHAnsi" w:cstheme="majorHAnsi"/>
          <w:color w:val="F28627" w:themeColor="accent3"/>
          <w:sz w:val="36"/>
          <w:szCs w:val="36"/>
        </w:rPr>
        <w:t>Comprehensive Cloud Cybersecurity</w:t>
      </w:r>
    </w:p>
    <w:p w14:paraId="541AD099" w14:textId="7125F99A" w:rsidR="005066D6" w:rsidRPr="009C1B06" w:rsidRDefault="005066D6" w:rsidP="008A64A6">
      <w:pPr>
        <w:rPr>
          <w:color w:val="494949" w:themeColor="text2" w:themeTint="BF"/>
          <w:sz w:val="28"/>
          <w:szCs w:val="28"/>
        </w:rPr>
      </w:pPr>
      <w:r>
        <w:rPr>
          <w:rFonts w:asciiTheme="majorHAnsi" w:hAnsiTheme="majorHAnsi" w:cstheme="majorHAnsi"/>
          <w:color w:val="494949" w:themeColor="text2" w:themeTint="BF"/>
          <w:sz w:val="28"/>
          <w:szCs w:val="28"/>
        </w:rPr>
        <w:t>Prepared by:</w:t>
      </w:r>
      <w:r>
        <w:rPr>
          <w:color w:val="494949" w:themeColor="text2" w:themeTint="BF"/>
          <w:sz w:val="28"/>
          <w:szCs w:val="28"/>
        </w:rPr>
        <w:t xml:space="preserve"> </w:t>
      </w:r>
      <w:sdt>
        <w:sdtPr>
          <w:rPr>
            <w:color w:val="494949" w:themeColor="text2" w:themeTint="BF"/>
            <w:sz w:val="28"/>
            <w:szCs w:val="28"/>
          </w:rPr>
          <w:id w:val="-2119982853"/>
          <w:placeholder>
            <w:docPart w:val="F30CAC44AB274423BE92E548155606FD"/>
          </w:placeholder>
        </w:sdtPr>
        <w:sdtEndPr/>
        <w:sdtContent>
          <w:sdt>
            <w:sdtPr>
              <w:rPr>
                <w:color w:val="494949" w:themeColor="text2" w:themeTint="BF"/>
                <w:sz w:val="28"/>
                <w:szCs w:val="28"/>
              </w:rPr>
              <w:alias w:val="Prepared By"/>
              <w:tag w:val=""/>
              <w:id w:val="916680556"/>
              <w:placeholder>
                <w:docPart w:val="D9E7B3EA1FF540CD86129DC48EDFDF4B"/>
              </w:placeholder>
              <w:dataBinding w:prefixMappings="xmlns:ec='urn:essendis:engagement-profile' " w:xpath="/ec:engagement[1]/ec:AuthorName[1]" w:storeItemID="{E55E11D8-6A7D-4C25-9E68-2A3B8F0C4D91}"/>
              <w:text/>
            </w:sdtPr>
            <w:sdtEndPr/>
            <w:sdtContent>
              <w:r>
                <w:rPr>
                  <w:color w:val="494949" w:themeColor="text2" w:themeTint="BF"/>
                  <w:sz w:val="28"/>
                  <w:szCs w:val="28"/>
                </w:rPr>
                <w:t>Michael Schraepfer</w:t>
              </w:r>
            </w:sdtContent>
          </w:sdt>
        </w:sdtContent>
      </w:sdt>
    </w:p>
    <w:p w14:paraId="23C163A3" w14:textId="62F6353F" w:rsidR="005066D6" w:rsidRPr="009C1B06" w:rsidRDefault="002C05DF" w:rsidP="008A64A6">
      <w:pPr>
        <w:rPr>
          <w:color w:val="3A3A3A" w:themeColor="background2" w:themeShade="40"/>
          <w:sz w:val="28"/>
          <w:szCs w:val="28"/>
        </w:rPr>
      </w:pPr>
      <w:r>
        <w:rPr>
          <w:noProof/>
          <w:sz w:val="16"/>
          <w:szCs w:val="16"/>
          <w14:ligatures w14:val="standardContextual"/>
        </w:rPr>
        <mc:AlternateContent>
          <mc:Choice Requires="wps">
            <w:drawing>
              <wp:anchor distT="0" distB="0" distL="114300" distR="114300" simplePos="0" relativeHeight="251658241" behindDoc="0" locked="0" layoutInCell="1" allowOverlap="1" wp14:anchorId="3D43A01C" wp14:editId="573B2AB9">
                <wp:simplePos x="0" y="0"/>
                <wp:positionH relativeFrom="margin">
                  <wp:posOffset>-9525</wp:posOffset>
                </wp:positionH>
                <wp:positionV relativeFrom="page">
                  <wp:posOffset>9324975</wp:posOffset>
                </wp:positionV>
                <wp:extent cx="5943600" cy="0"/>
                <wp:effectExtent l="0" t="38100" r="57150" b="57150"/>
                <wp:wrapTopAndBottom/>
                <wp:docPr id="36038775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w14:anchorId="289E33E2">
              <v:line id="Straight Connector 14" style="position:absolute;z-index:25189273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734.25pt" to="467.25pt,734.25pt" w14:anchorId="4A0629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4xfFWwIAAEcFAAAOAAAAZHJzL2Uyb0RvYy54bWysVE1vGyEQvVfqf0Dcm7WdNk1XXucQN72k bZS06pnA4EVlAQHxx7/vDNhrK5GiqupldxnmvXnzGHZ+tR0sW0NMxruOT88mnIGTXhm36vjPHzfv LjlLWTglrHfQ8R0kfrV4+2a+CS3MfO+tgsiQxKV2Ezre5xzapkmyh0GkMx/A4ab2cRAZl3HVqCg2 yD7YZjaZXDQbH1WIXkJKGF3WTb4o/FqDzN+1TpCZ7Thqy+UZy/ORns1iLtpVFKE3ci9D/IOKQRiH RUeqpciCPUXzgmowMvrkdT6Tfmi81kZC6QG7mU6edfPQiwClFzQnhdGm9P9o5bf1tbuLJF1u3UO4 9fJ3QlOaTUjtuEmLFGraVseB0lE72xYjd6ORsM1MYvDDp/fnFxP0Wx72GtEegCGm/AX8wOij49Y4 6lG0Yn2bMpUW7SGFwtaxDU7W7CPy0RoPS90Ya5m2BgfG4VhxFn3+ZXJfDMPkmpiQryASCx49q/gy WnBtI1sLHAohJbg8Kwj7NHz1qsZxuLBgGQ8M4xDV8OUhjCpHpqJ5lU5rTSnvlYLnRI0chCqvvVZ0 gwm6O2heksKConaKjGws3ONA74F7G6go2bUUqa8Sk7dGVUgPQn12iuVdwLtXrUIzB1CcWcALS1+V XBh7zPRoDSfbX2SiVutQ8nEiylfeWSAl1t2DZkbhDFRLR49O3T40X7IJpvE8R+BfuLbPJyiUSz6C 69G/WnVElMre5RE8GOdjmYRnBHlbzgCb1zX/4EDtmyx49Gp3F+lsaIW3tZ5r/bPQ7+B0XbKO/7/F HwAAAP//AwBQSwMEFAAGAAgAAAAhACMYvEbdAAAADAEAAA8AAABkcnMvZG93bnJldi54bWxMj8FO w0AMRO9I/MPKSFxQuymUqIRsKoQEh3Jq6Qe4WTcJZL1RdtMmf19zQHAbj0fj53w9uladqA+NZwOL eQKKuPS24crA/vNttgIVIrLF1jMZmCjAuri+yjGz/sxbOu1ipaSEQ4YG6hi7TOtQ1uQwzH1HLLuj 7x1GGftK2x7PUu5afZ8kqXbYsFyosaPXmsrv3eAMpO/HbZm66uPrbsBpP3UbSzUac3szvjyDijTG vzD84As6FMJ08APboFoDs8WjJMVfpitRknh6WIo4/Fq6yPX/J4oLAAAA//8DAFBLAQItABQABgAI AAAAIQC2gziS/gAAAOEBAAATAAAAAAAAAAAAAAAAAAAAAABbQ29udGVudF9UeXBlc10ueG1sUEsB Ai0AFAAGAAgAAAAhADj9If/WAAAAlAEAAAsAAAAAAAAAAAAAAAAALwEAAF9yZWxzLy5yZWxzUEsB Ai0AFAAGAAgAAAAhAO7jF8VbAgAARwUAAA4AAAAAAAAAAAAAAAAALgIAAGRycy9lMm9Eb2MueG1s UEsBAi0AFAAGAAgAAAAhACMYvEbdAAAADAEAAA8AAAAAAAAAAAAAAAAAtQQAAGRycy9kb3ducmV2 LnhtbFBLBQYAAAAABAAEAPMAAAC/BQAAAAA= ">
                <v:stroke joinstyle="miter" endarrow="oval"/>
                <o:lock v:ext="edit" shapetype="f"/>
                <w10:wrap type="topAndBottom" anchorx="margin" anchory="page"/>
              </v:line>
            </w:pict>
          </mc:Fallback>
        </mc:AlternateContent>
      </w:r>
      <w:r>
        <w:rPr>
          <w:rFonts w:asciiTheme="majorHAnsi" w:hAnsiTheme="majorHAnsi" w:cstheme="majorHAnsi"/>
          <w:color w:val="494949" w:themeColor="text2" w:themeTint="BF"/>
          <w:sz w:val="28"/>
          <w:szCs w:val="28"/>
        </w:rPr>
        <w:t>Created:</w:t>
      </w:r>
      <w:r>
        <w:rPr>
          <w:color w:val="494949" w:themeColor="text2" w:themeTint="BF"/>
          <w:sz w:val="28"/>
          <w:szCs w:val="28"/>
        </w:rPr>
        <w:t xml:space="preserve"> </w:t>
      </w:r>
      <w:sdt>
        <w:sdtPr>
          <w:rPr>
            <w:color w:val="3A3A3A" w:themeColor="background2" w:themeShade="40"/>
            <w:sz w:val="28"/>
            <w:szCs w:val="28"/>
          </w:rPr>
          <w:alias w:val="Date"/>
          <w:tag w:val="Date"/>
          <w:id w:val="324799692"/>
          <w:placeholder>
            <w:docPart w:val="F30CAC44AB274423BE92E548155606FD"/>
          </w:placeholder>
        </w:sdtPr>
        <w:sdtEndPr/>
        <w:sdtContent>
          <w:sdt>
            <w:sdtPr>
              <w:rPr>
                <w:color w:val="3A3A3A" w:themeColor="background2" w:themeShade="40"/>
                <w:sz w:val="28"/>
                <w:szCs w:val="28"/>
              </w:rPr>
              <w:alias w:val="Document Date"/>
              <w:tag w:val=""/>
              <w:id w:val="-1967958237"/>
              <w:placeholder>
                <w:docPart w:val="787454FF55AB4DCEA10A0CCCD7B538F9"/>
              </w:placeholder>
              <w:dataBinding w:prefixMappings="xmlns:ec='urn:essendis:engagement-profile' " w:xpath="/ec:engagement[1]/ec:DocDate[1]" w:storeItemID="{E55E11D8-6A7D-4C25-9E68-2A3B8F0C4D91}"/>
              <w:text/>
            </w:sdtPr>
            <w:sdtEndPr/>
            <w:sdtContent>
              <w:r>
                <w:rPr>
                  <w:color w:val="3A3A3A" w:themeColor="background2" w:themeShade="40"/>
                  <w:sz w:val="28"/>
                  <w:szCs w:val="28"/>
                </w:rPr>
                <w:t>8/24/2026</w:t>
              </w:r>
            </w:sdtContent>
          </w:sdt>
        </w:sdtContent>
      </w:sdt>
    </w:p>
    <w:p w14:paraId="4D1826D3" w14:textId="77777777" w:rsidR="003A6457" w:rsidRDefault="003A6457">
      <w:pPr>
        <w:rPr>
          <w:sz w:val="36"/>
          <w:szCs w:val="36"/>
        </w:rPr>
        <w:sectPr w:rsidR="003A6457" w:rsidSect="00A51360">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354" w:left="1440" w:header="720" w:footer="720" w:gutter="0"/>
          <w:pgNumType w:start="3"/>
          <w:cols w:space="720"/>
          <w:titlePg/>
          <w:docGrid w:linePitch="360"/>
        </w:sectPr>
      </w:pPr>
    </w:p>
    <w:sdt>
      <w:sdtPr>
        <w:rPr>
          <w:rFonts w:asciiTheme="minorHAnsi" w:eastAsiaTheme="minorEastAsia" w:hAnsiTheme="minorHAnsi" w:cstheme="minorBidi"/>
          <w:color w:val="0D0D0D" w:themeColor="text1"/>
          <w:sz w:val="20"/>
          <w:szCs w:val="20"/>
        </w:rPr>
        <w:id w:val="-1417393085"/>
        <w:docPartObj>
          <w:docPartGallery w:val="Table of Contents"/>
          <w:docPartUnique/>
        </w:docPartObj>
      </w:sdtPr>
      <w:sdtEndPr>
        <w:rPr>
          <w:b/>
          <w:bCs/>
          <w:noProof/>
          <w:color w:val="0D0D0D" w:themeColor="text2"/>
        </w:rPr>
      </w:sdtEndPr>
      <w:sdtContent>
        <w:p w14:paraId="329658DA" w14:textId="77777777" w:rsidR="00D17A7C" w:rsidRDefault="00D17A7C">
          <w:pPr>
            <w:pStyle w:val="TOCHeading"/>
          </w:pPr>
          <w:r>
            <w:t>Contents</w:t>
          </w:r>
        </w:p>
        <w:p>
          <w:pPr>
            <w:pStyle w:val="TOC1"/>
            <w:tabs>
              <w:tab w:val="right" w:leader="dot" w:pos="10070"/>
            </w:tabs>
            <w:rPr>
              <w:rFonts w:eastAsiaTheme="minorEastAsia"/>
              <w:noProof/>
              <w:color w:val="auto"/>
              <w:kern w:val="2"/>
              <w:sz w:val="24"/>
              <w:szCs w:val="24"/>
              <w14:ligatures w14:val="standardContextual"/>
            </w:rPr>
          </w:pPr>
          <w:r>
            <w:fldChar w:fldCharType="begin"/>
            <w:instrText xml:space="preserve"> TOC \o "1-3" \h \z \u </w:instrText>
            <w:fldChar w:fldCharType="separate"/>
          </w:r>
          <w:r>
            <w:rPr>
              <w:rStyle w:val="Hyperlink"/>
              <w:noProof/>
            </w:rPr>
            <w:fldChar w:fldCharType="begin"/>
            <w:instrText xml:space="preserve"> </w:instrText>
          </w:r>
          <w:r>
            <w:rPr>
              <w:noProof/>
            </w:rPr>
            <w:instrText>HYPERLINK \l "_Toc238469942"</w:instrText>
          </w:r>
          <w:r>
            <w:rPr>
              <w:rStyle w:val="Hyperlink"/>
              <w:noProof/>
            </w:rPr>
            <w:instrText xml:space="preserve"> </w:instrText>
            <w:fldChar w:fldCharType="separate"/>
            <w:t xml:space="preserve">Overview</w:t>
          </w:r>
          <w:r>
            <w:rPr>
              <w:noProof/>
              <w:webHidden/>
            </w:rPr>
            <w:tab/>
            <w:fldChar w:fldCharType="begin"/>
            <w:instrText xml:space="preserve"> PAGEREF _Toc238469942 \h </w:instrText>
            <w:fldChar w:fldCharType="separate"/>
            <w:t>9</w:t>
            <w:fldChar w:fldCharType="end"/>
          </w:r>
          <w:r>
            <w:rPr>
              <w:rStyle w:val="Hyperlink"/>
              <w:noProof/>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"_Toc238469943"</w:instrText>
          </w:r>
          <w:r>
            <w:rPr>
              <w:rStyle w:val="Hyperlink"/>
              <w:noProof/>
            </w:rPr>
            <w:instrText xml:space="preserve"> </w:instrText>
            <w:fldChar w:fldCharType="separate"/>
            <w:t xml:space="preserve">Purpose</w:t>
          </w:r>
          <w:r>
            <w:rPr>
              <w:noProof/>
              <w:webHidden/>
            </w:rPr>
            <w:tab/>
            <w:fldChar w:fldCharType="begin"/>
            <w:instrText xml:space="preserve"> PAGEREF _Toc238469943 \h </w:instrText>
            <w:fldChar w:fldCharType="separate"/>
            <w:t>9</w:t>
            <w:fldChar w:fldCharType="end"/>
          </w:r>
          <w:r>
            <w:rPr>
              <w:rStyle w:val="Hyperlink"/>
              <w:noProof/>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"_Toc238469944"</w:instrText>
          </w:r>
          <w:r>
            <w:rPr>
              <w:rStyle w:val="Hyperlink"/>
              <w:noProof/>
            </w:rPr>
            <w:instrText xml:space="preserve"> </w:instrText>
            <w:fldChar w:fldCharType="separate"/>
            <w:t xml:space="preserve">Scope</w:t>
          </w:r>
          <w:r>
            <w:rPr>
              <w:noProof/>
              <w:webHidden/>
            </w:rPr>
            <w:tab/>
            <w:fldChar w:fldCharType="begin"/>
            <w:instrText xml:space="preserve"> PAGEREF _Toc238469944 \h </w:instrText>
            <w:fldChar w:fldCharType="separate"/>
            <w:t>9</w:t>
            <w:fldChar w:fldCharType="end"/>
          </w:r>
          <w:r>
            <w:rPr>
              <w:rStyle w:val="Hyperlink"/>
              <w:noProof/>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"_Toc238469945"</w:instrText>
          </w:r>
          <w:r>
            <w:rPr>
              <w:rStyle w:val="Hyperlink"/>
              <w:noProof/>
            </w:rPr>
            <w:instrText xml:space="preserve"> </w:instrText>
            <w:fldChar w:fldCharType="separate"/>
            <w:t xml:space="preserve">Microsoft 365 Design</w:t>
          </w:r>
          <w:r>
            <w:rPr>
              <w:noProof/>
              <w:webHidden/>
            </w:rPr>
            <w:tab/>
            <w:fldChar w:fldCharType="begin"/>
            <w:instrText xml:space="preserve"> PAGEREF _Toc238469945 \h </w:instrText>
            <w:fldChar w:fldCharType="separate"/>
            <w:t>12</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"_Toc238469946"</w:instrText>
          </w:r>
          <w:r>
            <w:rPr>
              <w:rStyle w:val="Hyperlink"/>
              <w:noProof/>
            </w:rPr>
            <w:instrText xml:space="preserve"> </w:instrText>
            <w:fldChar w:fldCharType="separate"/>
            <w:t xml:space="preserve">Tenant Initialization</w:t>
          </w:r>
          <w:r>
            <w:rPr>
              <w:noProof/>
              <w:webHidden/>
            </w:rPr>
            <w:tab/>
            <w:fldChar w:fldCharType="begin"/>
            <w:instrText xml:space="preserve"> PAGEREF _Toc238469946 \h </w:instrText>
            <w:fldChar w:fldCharType="separate"/>
            <w:t>12</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"_Toc238469947"</w:instrText>
          </w:r>
          <w:r>
            <w:rPr>
              <w:rStyle w:val="Hyperlink"/>
            </w:rPr>
            <w:instrText xml:space="preserve"> </w:instrText>
            <w:fldChar w:fldCharType="separate"/>
            <w:t xml:space="preserve">Tenant Global Admin Account</w:t>
          </w:r>
          <w:r>
            <w:rPr>
              <w:webHidden/>
            </w:rPr>
            <w:tab/>
            <w:fldChar w:fldCharType="begin"/>
            <w:instrText xml:space="preserve"> PAGEREF _Toc238469947 \h </w:instrText>
            <w:fldChar w:fldCharType="separate"/>
            <w:t>12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"_Toc238469948"</w:instrText>
          </w:r>
          <w:r>
            <w:rPr>
              <w:rStyle w:val="Hyperlink"/>
            </w:rPr>
            <w:instrText xml:space="preserve"> </w:instrText>
            <w:fldChar w:fldCharType="separate"/>
            <w:t xml:space="preserve">Domain Verification</w:t>
          </w:r>
          <w:r>
            <w:rPr>
              <w:webHidden/>
            </w:rPr>
            <w:tab/>
            <w:fldChar w:fldCharType="begin"/>
            <w:instrText xml:space="preserve"> PAGEREF _Toc238469948 \h </w:instrText>
            <w:fldChar w:fldCharType="separate"/>
            <w:t>12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"_Toc238469949"</w:instrText>
          </w:r>
          <w:r>
            <w:rPr>
              <w:rStyle w:val="Hyperlink"/>
            </w:rPr>
            <w:instrText xml:space="preserve"> </w:instrText>
            <w:fldChar w:fldCharType="separate"/>
            <w:t xml:space="preserve">Tenant Branding</w:t>
          </w:r>
          <w:r>
            <w:rPr>
              <w:webHidden/>
            </w:rPr>
            <w:tab/>
            <w:fldChar w:fldCharType="begin"/>
            <w:instrText xml:space="preserve"> PAGEREF _Toc238469949 \h </w:instrText>
            <w:fldChar w:fldCharType="separate"/>
            <w:t>13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"_Toc238469950"</w:instrText>
          </w:r>
          <w:r>
            <w:rPr>
              <w:rStyle w:val="Hyperlink"/>
            </w:rPr>
            <w:instrText xml:space="preserve"> </w:instrText>
            <w:fldChar w:fldCharType="separate"/>
            <w:t xml:space="preserve">Naming conventions</w:t>
          </w:r>
          <w:r>
            <w:rPr>
              <w:webHidden/>
            </w:rPr>
            <w:tab/>
            <w:fldChar w:fldCharType="begin"/>
            <w:instrText xml:space="preserve"> PAGEREF _Toc238469950 \h </w:instrText>
            <w:fldChar w:fldCharType="separate"/>
            <w:t>13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"_Toc238480001"</w:instrText>
          </w:r>
          <w:r>
            <w:rPr>
              <w:rStyle w:val="Hyperlink"/>
            </w:rPr>
            <w:instrText xml:space="preserve"> </w:instrText>
            <w:fldChar w:fldCharType="separate"/>
            <w:t xml:space="preserve">Audit Logging</w:t>
          </w:r>
          <w:r>
            <w:rPr>
              <w:webHidden/>
            </w:rPr>
            <w:tab/>
            <w:fldChar w:fldCharType="begin"/>
            <w:instrText xml:space="preserve"> PAGEREF _Toc238480001 \h </w:instrText>
            <w:fldChar w:fldCharType="separate"/>
            <w:t>13</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"_Toc238480002"</w:instrText>
          </w:r>
          <w:r>
            <w:rPr>
              <w:rStyle w:val="Hyperlink"/>
              <w:noProof/>
            </w:rPr>
            <w:instrText xml:space="preserve"> </w:instrText>
            <w:fldChar w:fldCharType="separate"/>
            <w:t xml:space="preserve">Licensing</w:t>
          </w:r>
          <w:r>
            <w:rPr>
              <w:noProof/>
              <w:webHidden/>
            </w:rPr>
            <w:tab/>
            <w:fldChar w:fldCharType="begin"/>
            <w:instrText xml:space="preserve"> PAGEREF _Toc238480002 \h </w:instrText>
            <w:fldChar w:fldCharType="separate"/>
            <w:t>14</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"_Toc238469951"</w:instrText>
          </w:r>
          <w:r>
            <w:rPr>
              <w:rStyle w:val="Hyperlink"/>
              <w:noProof/>
            </w:rPr>
            <w:instrText xml:space="preserve"> </w:instrText>
            <w:fldChar w:fldCharType="separate"/>
            <w:t xml:space="preserve">Baseline Security</w:t>
          </w:r>
          <w:r>
            <w:rPr>
              <w:noProof/>
              <w:webHidden/>
            </w:rPr>
            <w:tab/>
            <w:fldChar w:fldCharType="begin"/>
            <w:instrText xml:space="preserve"> PAGEREF _Toc238469951 \h </w:instrText>
            <w:fldChar w:fldCharType="separate"/>
            <w:t>15</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"_Toc238469952"</w:instrText>
          </w:r>
          <w:r>
            <w:rPr>
              <w:rStyle w:val="Hyperlink"/>
            </w:rPr>
            <w:instrText xml:space="preserve"> </w:instrText>
            <w:fldChar w:fldCharType="separate"/>
            <w:t xml:space="preserve">User Sign In</w:t>
          </w:r>
          <w:r>
            <w:rPr>
              <w:webHidden/>
            </w:rPr>
            <w:tab/>
            <w:fldChar w:fldCharType="begin"/>
            <w:instrText xml:space="preserve"> PAGEREF _Toc238469952 \h </w:instrText>
            <w:fldChar w:fldCharType="separate"/>
            <w:t>15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"_Toc238469953"</w:instrText>
          </w:r>
          <w:r>
            <w:rPr>
              <w:rStyle w:val="Hyperlink"/>
            </w:rPr>
            <w:instrText xml:space="preserve"> </w:instrText>
            <w:fldChar w:fldCharType="separate"/>
            <w:t xml:space="preserve">Multi-Factor Authentication (MFA)</w:t>
          </w:r>
          <w:r>
            <w:rPr>
              <w:webHidden/>
            </w:rPr>
            <w:tab/>
            <w:fldChar w:fldCharType="begin"/>
            <w:instrText xml:space="preserve"> PAGEREF _Toc238469953 \h </w:instrText>
            <w:fldChar w:fldCharType="separate"/>
            <w:t>15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"_Toc238469954"</w:instrText>
          </w:r>
          <w:r>
            <w:rPr>
              <w:rStyle w:val="Hyperlink"/>
            </w:rPr>
            <w:instrText xml:space="preserve"> </w:instrText>
            <w:fldChar w:fldCharType="separate"/>
            <w:t xml:space="preserve">Legacy Authentication</w:t>
          </w:r>
          <w:r>
            <w:rPr>
              <w:webHidden/>
            </w:rPr>
            <w:tab/>
            <w:fldChar w:fldCharType="begin"/>
            <w:instrText xml:space="preserve"> PAGEREF _Toc238469954 \h </w:instrText>
            <w:fldChar w:fldCharType="separate"/>
            <w:t>16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"_Toc238469955"</w:instrText>
          </w:r>
          <w:r>
            <w:rPr>
              <w:rStyle w:val="Hyperlink"/>
            </w:rPr>
            <w:instrText xml:space="preserve"> </w:instrText>
            <w:fldChar w:fldCharType="separate"/>
            <w:t xml:space="preserve">Single Sign-On</w:t>
          </w:r>
          <w:r>
            <w:rPr>
              <w:webHidden/>
            </w:rPr>
            <w:tab/>
            <w:fldChar w:fldCharType="begin"/>
            <w:instrText xml:space="preserve"> PAGEREF _Toc238469955 \h </w:instrText>
            <w:fldChar w:fldCharType="separate"/>
            <w:t>16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"_Toc238469956"</w:instrText>
          </w:r>
          <w:r>
            <w:rPr>
              <w:rStyle w:val="Hyperlink"/>
            </w:rPr>
            <w:instrText xml:space="preserve"> </w:instrText>
            <w:fldChar w:fldCharType="separate"/>
            <w:t xml:space="preserve">Smart Lockout</w:t>
          </w:r>
          <w:r>
            <w:rPr>
              <w:webHidden/>
            </w:rPr>
            <w:tab/>
            <w:fldChar w:fldCharType="begin"/>
            <w:instrText xml:space="preserve"> PAGEREF _Toc238469956 \h </w:instrText>
            <w:fldChar w:fldCharType="separate"/>
            <w:t>16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"_Toc238469957"</w:instrText>
          </w:r>
          <w:r>
            <w:rPr>
              <w:rStyle w:val="Hyperlink"/>
            </w:rPr>
            <w:instrText xml:space="preserve"> </w:instrText>
            <w:fldChar w:fldCharType="separate"/>
            <w:t xml:space="preserve">Self Service Password Reset</w:t>
          </w:r>
          <w:r>
            <w:rPr>
              <w:webHidden/>
            </w:rPr>
            <w:tab/>
            <w:fldChar w:fldCharType="begin"/>
            <w:instrText xml:space="preserve"> PAGEREF _Toc238469957 \h </w:instrText>
            <w:fldChar w:fldCharType="separate"/>
            <w:t>16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"_Toc238469958"</w:instrText>
          </w:r>
          <w:r>
            <w:rPr>
              <w:rStyle w:val="Hyperlink"/>
            </w:rPr>
            <w:instrText xml:space="preserve"> </w:instrText>
            <w:fldChar w:fldCharType="separate"/>
            <w:t xml:space="preserve">Password Settings</w:t>
          </w:r>
          <w:r>
            <w:rPr>
              <w:webHidden/>
            </w:rPr>
            <w:tab/>
            <w:fldChar w:fldCharType="begin"/>
            <w:instrText xml:space="preserve"> PAGEREF _Toc238469958 \h </w:instrText>
            <w:fldChar w:fldCharType="separate"/>
            <w:t>16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"_Toc238469959"</w:instrText>
          </w:r>
          <w:r>
            <w:rPr>
              <w:rStyle w:val="Hyperlink"/>
            </w:rPr>
            <w:instrText xml:space="preserve"> </w:instrText>
            <w:fldChar w:fldCharType="separate"/>
            <w:t xml:space="preserve">Emergency Accounts</w:t>
          </w:r>
          <w:r>
            <w:rPr>
              <w:webHidden/>
            </w:rPr>
            <w:tab/>
            <w:fldChar w:fldCharType="begin"/>
            <w:instrText xml:space="preserve"> PAGEREF _Toc238469959 \h </w:instrText>
            <w:fldChar w:fldCharType="separate"/>
            <w:t>17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"_Toc238469960"</w:instrText>
          </w:r>
          <w:r>
            <w:rPr>
              <w:rStyle w:val="Hyperlink"/>
            </w:rPr>
            <w:instrText xml:space="preserve"> </w:instrText>
            <w:fldChar w:fldCharType="separate"/>
            <w:t xml:space="preserve">Privileged Identity Management</w:t>
          </w:r>
          <w:r>
            <w:rPr>
              <w:webHidden/>
            </w:rPr>
            <w:tab/>
            <w:fldChar w:fldCharType="begin"/>
            <w:instrText xml:space="preserve"> PAGEREF _Toc238469960 \h </w:instrText>
            <w:fldChar w:fldCharType="separate"/>
            <w:t>17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"_Toc238469961"</w:instrText>
          </w:r>
          <w:r>
            <w:rPr>
              <w:rStyle w:val="Hyperlink"/>
            </w:rPr>
            <w:instrText xml:space="preserve"> </w:instrText>
            <w:fldChar w:fldCharType="separate"/>
            <w:t xml:space="preserve">Conditional Access</w:t>
          </w:r>
          <w:r>
            <w:rPr>
              <w:webHidden/>
            </w:rPr>
            <w:tab/>
            <w:fldChar w:fldCharType="begin"/>
            <w:instrText xml:space="preserve"> PAGEREF _Toc238469961 \h </w:instrText>
            <w:fldChar w:fldCharType="separate"/>
            <w:t>18</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"_Toc238469962"</w:instrText>
          </w:r>
          <w:r>
            <w:rPr>
              <w:rStyle w:val="Hyperlink"/>
              <w:noProof/>
            </w:rPr>
            <w:instrText xml:space="preserve"> </w:instrText>
            <w:fldChar w:fldCharType="separate"/>
            <w:t xml:space="preserve">1. Block Legacy Authentication (Critical)</w:t>
          </w:r>
          <w:r>
            <w:rPr>
              <w:noProof/>
              <w:webHidden/>
            </w:rPr>
            <w:tab/>
            <w:fldChar w:fldCharType="begin"/>
            <w:instrText xml:space="preserve"> PAGEREF _Toc238469962 \h </w:instrText>
            <w:fldChar w:fldCharType="separate"/>
            <w:t>18</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"_Toc238469963"</w:instrText>
          </w:r>
          <w:r>
            <w:rPr>
              <w:rStyle w:val="Hyperlink"/>
              <w:noProof/>
            </w:rPr>
            <w:instrText xml:space="preserve"> </w:instrText>
            <w:fldChar w:fldCharType="separate"/>
            <w:t xml:space="preserve">2. Require MFA for All Users</w:t>
          </w:r>
          <w:r>
            <w:rPr>
              <w:noProof/>
              <w:webHidden/>
            </w:rPr>
            <w:tab/>
            <w:fldChar w:fldCharType="begin"/>
            <w:instrText xml:space="preserve"> PAGEREF _Toc238469963 \h </w:instrText>
            <w:fldChar w:fldCharType="separate"/>
            <w:t>18</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"_Toc238469964"</w:instrText>
          </w:r>
          <w:r>
            <w:rPr>
              <w:rStyle w:val="Hyperlink"/>
              <w:noProof/>
            </w:rPr>
            <w:instrText xml:space="preserve"> </w:instrText>
            <w:fldChar w:fldCharType="separate"/>
            <w:t xml:space="preserve">3. Require Compliant or Hybrid-Joined Device</w:t>
          </w:r>
          <w:r>
            <w:rPr>
              <w:noProof/>
              <w:webHidden/>
            </w:rPr>
            <w:tab/>
            <w:fldChar w:fldCharType="begin"/>
            <w:instrText xml:space="preserve"> PAGEREF _Toc238469964 \h </w:instrText>
            <w:fldChar w:fldCharType="separate"/>
            <w:t>19</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"_Toc238469965"</w:instrText>
          </w:r>
          <w:r>
            <w:rPr>
              <w:rStyle w:val="Hyperlink"/>
              <w:noProof/>
            </w:rPr>
            <w:instrText xml:space="preserve"> </w:instrText>
            <w:fldChar w:fldCharType="separate"/>
            <w:t xml:space="preserve">4. Admin Role Protection (High Impact)</w:t>
          </w:r>
          <w:r>
            <w:rPr>
              <w:noProof/>
              <w:webHidden/>
            </w:rPr>
            <w:tab/>
            <w:fldChar w:fldCharType="begin"/>
            <w:instrText xml:space="preserve"> PAGEREF _Toc238469965 \h </w:instrText>
            <w:fldChar w:fldCharType="separate"/>
            <w:t>19</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"_Toc238480003"</w:instrText>
          </w:r>
          <w:r>
            <w:rPr>
              <w:rStyle w:val="Hyperlink"/>
              <w:noProof/>
            </w:rPr>
            <w:instrText xml:space="preserve"> </w:instrText>
            <w:fldChar w:fldCharType="separate"/>
            <w:t xml:space="preserve">5. Require MFA for Azure Management</w:t>
          </w:r>
          <w:r>
            <w:rPr>
              <w:noProof/>
              <w:webHidden/>
            </w:rPr>
            <w:tab/>
            <w:fldChar w:fldCharType="begin"/>
            <w:instrText xml:space="preserve"> PAGEREF _Toc238480003 \h </w:instrText>
            <w:fldChar w:fldCharType="separate"/>
            <w:t>20</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"_Toc238469967"</w:instrText>
          </w:r>
          <w:r>
            <w:rPr>
              <w:rStyle w:val="Hyperlink"/>
              <w:noProof/>
            </w:rPr>
            <w:instrText xml:space="preserve"> </w:instrText>
            <w:fldChar w:fldCharType="separate"/>
            <w:t xml:space="preserve">6. Session Controls for Web Access (Optional but Recommended)</w:t>
          </w:r>
          <w:r>
            <w:rPr>
              <w:noProof/>
              <w:webHidden/>
            </w:rPr>
            <w:tab/>
            <w:fldChar w:fldCharType="begin"/>
            <w:instrText xml:space="preserve"> PAGEREF _Toc238469967 \h </w:instrText>
            <w:fldChar w:fldCharType="separate"/>
            <w:t>20</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"_Toc238469968"</w:instrText>
          </w:r>
          <w:r>
            <w:rPr>
              <w:rStyle w:val="Hyperlink"/>
              <w:noProof/>
            </w:rPr>
            <w:instrText xml:space="preserve"> </w:instrText>
            <w:fldChar w:fldCharType="separate"/>
            <w:t xml:space="preserve">7. Block High-Risk Sign-Ins</w:t>
          </w:r>
          <w:r>
            <w:rPr>
              <w:noProof/>
              <w:webHidden/>
            </w:rPr>
            <w:tab/>
            <w:fldChar w:fldCharType="begin"/>
            <w:instrText xml:space="preserve"> PAGEREF _Toc238469968 \h </w:instrText>
            <w:fldChar w:fldCharType="separate"/>
            <w:t>21</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"_Toc238469969"</w:instrText>
          </w:r>
          <w:r>
            <w:rPr>
              <w:rStyle w:val="Hyperlink"/>
              <w:noProof/>
            </w:rPr>
            <w:instrText xml:space="preserve"> </w:instrText>
            <w:fldChar w:fldCharType="separate"/>
            <w:t xml:space="preserve">8. Require Password Reset for High User Risk (If P2)</w:t>
          </w:r>
          <w:r>
            <w:rPr>
              <w:noProof/>
              <w:webHidden/>
            </w:rPr>
            <w:tab/>
            <w:fldChar w:fldCharType="begin"/>
            <w:instrText xml:space="preserve"> PAGEREF _Toc238469969 \h </w:instrText>
            <w:fldChar w:fldCharType="separate"/>
            <w:t>21</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"_Toc238469970"</w:instrText>
          </w:r>
          <w:r>
            <w:rPr>
              <w:rStyle w:val="Hyperlink"/>
              <w:noProof/>
            </w:rPr>
            <w:instrText xml:space="preserve"> </w:instrText>
            <w:fldChar w:fldCharType="separate"/>
            <w:t xml:space="preserve">9. Break-Glass Account Design</w:t>
          </w:r>
          <w:r>
            <w:rPr>
              <w:noProof/>
              <w:webHidden/>
            </w:rPr>
            <w:tab/>
            <w:fldChar w:fldCharType="begin"/>
            <w:instrText xml:space="preserve"> PAGEREF _Toc238469970 \h </w:instrText>
            <w:fldChar w:fldCharType="separate"/>
            <w:t>21</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"_Toc238480004"</w:instrText>
          </w:r>
          <w:r>
            <w:rPr>
              <w:rStyle w:val="Hyperlink"/>
              <w:noProof/>
            </w:rPr>
            <w:instrText xml:space="preserve"> </w:instrText>
            <w:fldChar w:fldCharType="separate"/>
            <w:t xml:space="preserve">10. Geo Block (non-US)</w:t>
          </w:r>
          <w:r>
            <w:rPr>
              <w:noProof/>
              <w:webHidden/>
            </w:rPr>
            <w:tab/>
            <w:fldChar w:fldCharType="begin"/>
            <w:instrText xml:space="preserve"> PAGEREF _Toc238480004 \h </w:instrText>
            <w:fldChar w:fldCharType="separate"/>
            <w:t>21</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"_Toc238480005"</w:instrText>
          </w:r>
          <w:r>
            <w:rPr>
              <w:rStyle w:val="Hyperlink"/>
            </w:rPr>
            <w:instrText xml:space="preserve"> </w:instrText>
            <w:fldChar w:fldCharType="separate"/>
            <w:t xml:space="preserve">Conditional Access Rollout and Exclusions</w:t>
          </w:r>
          <w:r>
            <w:rPr>
              <w:webHidden/>
            </w:rPr>
            <w:tab/>
            <w:fldChar w:fldCharType="begin"/>
            <w:instrText xml:space="preserve"> PAGEREF _Toc238480005 \h </w:instrText>
            <w:fldChar w:fldCharType="separate"/>
            <w:t>22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"_Toc238480006"</w:instrText>
          </w:r>
          <w:r>
            <w:rPr>
              <w:rStyle w:val="Hyperlink"/>
            </w:rPr>
            <w:instrText xml:space="preserve"> </w:instrText>
            <w:fldChar w:fldCharType="separate"/>
            <w:t xml:space="preserve">Locations (Named locations for conditional access)</w:t>
          </w:r>
          <w:r>
            <w:rPr>
              <w:webHidden/>
            </w:rPr>
            <w:tab/>
            <w:fldChar w:fldCharType="begin"/>
            <w:instrText xml:space="preserve"> PAGEREF _Toc238480006 \h </w:instrText>
            <w:fldChar w:fldCharType="separate"/>
            <w:t>22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"_Toc238480007"</w:instrText>
          </w:r>
          <w:r>
            <w:rPr>
              <w:rStyle w:val="Hyperlink"/>
            </w:rPr>
            <w:instrText xml:space="preserve"> </w:instrText>
            <w:fldChar w:fldCharType="separate"/>
            <w:t xml:space="preserve">Role-Based Access Control (RBAC)</w:t>
          </w:r>
          <w:r>
            <w:rPr>
              <w:webHidden/>
            </w:rPr>
            <w:tab/>
            <w:fldChar w:fldCharType="begin"/>
            <w:instrText xml:space="preserve"> PAGEREF _Toc238480007 \h </w:instrText>
            <w:fldChar w:fldCharType="separate"/>
            <w:t>23</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"_Toc238469973"</w:instrText>
          </w:r>
          <w:r>
            <w:rPr>
              <w:rStyle w:val="Hyperlink"/>
              <w:noProof/>
            </w:rPr>
            <w:instrText xml:space="preserve"> </w:instrText>
            <w:fldChar w:fldCharType="separate"/>
            <w:t xml:space="preserve">Microsoft Entra ID</w:t>
          </w:r>
          <w:r>
            <w:rPr>
              <w:noProof/>
              <w:webHidden/>
            </w:rPr>
            <w:tab/>
            <w:fldChar w:fldCharType="begin"/>
            <w:instrText xml:space="preserve"> PAGEREF _Toc238469973 \h </w:instrText>
            <w:fldChar w:fldCharType="separate"/>
            <w:t>25</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"_Toc238469974"</w:instrText>
          </w:r>
          <w:r>
            <w:rPr>
              <w:rStyle w:val="Hyperlink"/>
            </w:rPr>
            <w:instrText xml:space="preserve"> </w:instrText>
            <w:fldChar w:fldCharType="separate"/>
            <w:t xml:space="preserve">Custom Domain</w:t>
          </w:r>
          <w:r>
            <w:rPr>
              <w:webHidden/>
            </w:rPr>
            <w:tab/>
            <w:fldChar w:fldCharType="begin"/>
            <w:instrText xml:space="preserve"> PAGEREF _Toc238469974 \h </w:instrText>
            <w:fldChar w:fldCharType="separate"/>
            <w:t>25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"_Toc238469975"</w:instrText>
          </w:r>
          <w:r>
            <w:rPr>
              <w:rStyle w:val="Hyperlink"/>
            </w:rPr>
            <w:instrText xml:space="preserve"> </w:instrText>
            <w:fldChar w:fldCharType="separate"/>
            <w:t xml:space="preserve">Terms of Use &amp; CUI Warning</w:t>
          </w:r>
          <w:r>
            <w:rPr>
              <w:webHidden/>
            </w:rPr>
            <w:tab/>
            <w:fldChar w:fldCharType="begin"/>
            <w:instrText xml:space="preserve"> PAGEREF _Toc238469975 \h </w:instrText>
            <w:fldChar w:fldCharType="separate"/>
            <w:t>25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"_Toc238480008"</w:instrText>
          </w:r>
          <w:r>
            <w:rPr>
              <w:rStyle w:val="Hyperlink"/>
            </w:rPr>
            <w:instrText xml:space="preserve"> </w:instrText>
            <w:fldChar w:fldCharType="separate"/>
            <w:t xml:space="preserve">Privileged Identity Management (PIM)</w:t>
          </w:r>
          <w:r>
            <w:rPr>
              <w:webHidden/>
            </w:rPr>
            <w:tab/>
            <w:fldChar w:fldCharType="begin"/>
            <w:instrText xml:space="preserve"> PAGEREF _Toc238480008 \h </w:instrText>
            <w:fldChar w:fldCharType="separate"/>
            <w:t>25</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"_Toc238480009"</w:instrText>
          </w:r>
          <w:r>
            <w:rPr>
              <w:rStyle w:val="Hyperlink"/>
              <w:noProof/>
            </w:rPr>
            <w:instrText xml:space="preserve"> </w:instrText>
            <w:fldChar w:fldCharType="separate"/>
            <w:t xml:space="preserve">Hybrid Identity and Device Join</w:t>
          </w:r>
          <w:r>
            <w:rPr>
              <w:noProof/>
              <w:webHidden/>
            </w:rPr>
            <w:tab/>
            <w:fldChar w:fldCharType="begin"/>
            <w:instrText xml:space="preserve"> PAGEREF _Toc238480009 \h </w:instrText>
            <w:fldChar w:fldCharType="separate"/>
            <w:t>27</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"_Toc238480010"</w:instrText>
          </w:r>
          <w:r>
            <w:rPr>
              <w:rStyle w:val="Hyperlink"/>
            </w:rPr>
            <w:instrText xml:space="preserve"> </w:instrText>
            <w:fldChar w:fldCharType="separate"/>
            <w:t xml:space="preserve">Directory Synchronization</w:t>
          </w:r>
          <w:r>
            <w:rPr>
              <w:webHidden/>
            </w:rPr>
            <w:tab/>
            <w:fldChar w:fldCharType="begin"/>
            <w:instrText xml:space="preserve"> PAGEREF _Toc238480010 \h </w:instrText>
            <w:fldChar w:fldCharType="separate"/>
            <w:t>27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"_Toc238480011"</w:instrText>
          </w:r>
          <w:r>
            <w:rPr>
              <w:rStyle w:val="Hyperlink"/>
            </w:rPr>
            <w:instrText xml:space="preserve"> </w:instrText>
            <w:fldChar w:fldCharType="separate"/>
            <w:t xml:space="preserve">Device Join Model</w:t>
          </w:r>
          <w:r>
            <w:rPr>
              <w:webHidden/>
            </w:rPr>
            <w:tab/>
            <w:fldChar w:fldCharType="begin"/>
            <w:instrText xml:space="preserve"> PAGEREF _Toc238480011 \h </w:instrText>
            <w:fldChar w:fldCharType="separate"/>
            <w:t>27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"_Toc238480012"</w:instrText>
          </w:r>
          <w:r>
            <w:rPr>
              <w:rStyle w:val="Hyperlink"/>
            </w:rPr>
            <w:instrText xml:space="preserve"> </w:instrText>
            <w:fldChar w:fldCharType="separate"/>
            <w:t xml:space="preserve">On-Premises Services Retained</w:t>
          </w:r>
          <w:r>
            <w:rPr>
              <w:webHidden/>
            </w:rPr>
            <w:tab/>
            <w:fldChar w:fldCharType="begin"/>
            <w:instrText xml:space="preserve"> PAGEREF _Toc238480012 \h </w:instrText>
            <w:fldChar w:fldCharType="separate"/>
            <w:t>28</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"_Toc238469977"</w:instrText>
          </w:r>
          <w:r>
            <w:rPr>
              <w:rStyle w:val="Hyperlink"/>
              <w:noProof/>
            </w:rPr>
            <w:instrText xml:space="preserve"> </w:instrText>
            <w:fldChar w:fldCharType="separate"/>
            <w:t xml:space="preserve">Exchange Online</w:t>
          </w:r>
          <w:r>
            <w:rPr>
              <w:noProof/>
              <w:webHidden/>
            </w:rPr>
            <w:tab/>
            <w:fldChar w:fldCharType="begin"/>
            <w:instrText xml:space="preserve"> PAGEREF _Toc238469977 \h </w:instrText>
            <w:fldChar w:fldCharType="separate"/>
            <w:t>28</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"_Toc238469978"</w:instrText>
          </w:r>
          <w:r>
            <w:rPr>
              <w:rStyle w:val="Hyperlink"/>
            </w:rPr>
            <w:instrText xml:space="preserve"> </w:instrText>
            <w:fldChar w:fldCharType="separate"/>
            <w:t xml:space="preserve">Modern authentication only (disable Basic Auth)</w:t>
          </w:r>
          <w:r>
            <w:rPr>
              <w:webHidden/>
            </w:rPr>
            <w:tab/>
            <w:fldChar w:fldCharType="begin"/>
            <w:instrText xml:space="preserve"> PAGEREF _Toc238469978 \h </w:instrText>
            <w:fldChar w:fldCharType="separate"/>
            <w:t>28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"_Toc238469979"</w:instrText>
          </w:r>
          <w:r>
            <w:rPr>
              <w:rStyle w:val="Hyperlink"/>
            </w:rPr>
            <w:instrText xml:space="preserve"> </w:instrText>
            <w:fldChar w:fldCharType="separate"/>
            <w:t xml:space="preserve">Safe Attachments (Dynamic Delivery)</w:t>
          </w:r>
          <w:r>
            <w:rPr>
              <w:webHidden/>
            </w:rPr>
            <w:tab/>
            <w:fldChar w:fldCharType="begin"/>
            <w:instrText xml:space="preserve"> PAGEREF _Toc238469979 \h </w:instrText>
            <w:fldChar w:fldCharType="separate"/>
            <w:t>28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"_Toc238480013"</w:instrText>
          </w:r>
          <w:r>
            <w:rPr>
              <w:rStyle w:val="Hyperlink"/>
            </w:rPr>
            <w:instrText xml:space="preserve"> </w:instrText>
            <w:fldChar w:fldCharType="separate"/>
            <w:t xml:space="preserve">Defender for Office 365 Preset Security Policies</w:t>
          </w:r>
          <w:r>
            <w:rPr>
              <w:webHidden/>
            </w:rPr>
            <w:tab/>
            <w:fldChar w:fldCharType="begin"/>
            <w:instrText xml:space="preserve"> PAGEREF _Toc238480013 \h </w:instrText>
            <w:fldChar w:fldCharType="separate"/>
            <w:t>29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"_Toc238480014"</w:instrText>
          </w:r>
          <w:r>
            <w:rPr>
              <w:rStyle w:val="Hyperlink"/>
            </w:rPr>
            <w:instrText xml:space="preserve"> </w:instrText>
            <w:fldChar w:fldCharType="separate"/>
            <w:t xml:space="preserve">Safe Links</w:t>
          </w:r>
          <w:r>
            <w:rPr>
              <w:webHidden/>
            </w:rPr>
            <w:tab/>
            <w:fldChar w:fldCharType="begin"/>
            <w:instrText xml:space="preserve"> PAGEREF _Toc238480014 \h </w:instrText>
            <w:fldChar w:fldCharType="separate"/>
            <w:t>29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"_Toc238480015"</w:instrText>
          </w:r>
          <w:r>
            <w:rPr>
              <w:rStyle w:val="Hyperlink"/>
            </w:rPr>
            <w:instrText xml:space="preserve"> </w:instrText>
            <w:fldChar w:fldCharType="separate"/>
            <w:t xml:space="preserve">Safe Attachments for SharePoint, OneDrive, and Teams</w:t>
          </w:r>
          <w:r>
            <w:rPr>
              <w:webHidden/>
            </w:rPr>
            <w:tab/>
            <w:fldChar w:fldCharType="begin"/>
            <w:instrText xml:space="preserve"> PAGEREF _Toc238480015 \h </w:instrText>
            <w:fldChar w:fldCharType="separate"/>
            <w:t>29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"_Toc238480016"</w:instrText>
          </w:r>
          <w:r>
            <w:rPr>
              <w:rStyle w:val="Hyperlink"/>
            </w:rPr>
            <w:instrText xml:space="preserve"> </w:instrText>
            <w:fldChar w:fldCharType="separate"/>
            <w:t xml:space="preserve">Quarantine Management and Notifications</w:t>
          </w:r>
          <w:r>
            <w:rPr>
              <w:webHidden/>
            </w:rPr>
            <w:tab/>
            <w:fldChar w:fldCharType="begin"/>
            <w:instrText xml:space="preserve"> PAGEREF _Toc238480016 \h </w:instrText>
            <w:fldChar w:fldCharType="separate"/>
            <w:t>29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"_Toc238469980"</w:instrText>
          </w:r>
          <w:r>
            <w:rPr>
              <w:rStyle w:val="Hyperlink"/>
            </w:rPr>
            <w:instrText xml:space="preserve"> </w:instrText>
            <w:fldChar w:fldCharType="separate"/>
            <w:t xml:space="preserve">Email Authentication</w:t>
          </w:r>
          <w:r>
            <w:rPr>
              <w:webHidden/>
            </w:rPr>
            <w:tab/>
            <w:fldChar w:fldCharType="begin"/>
            <w:instrText xml:space="preserve"> PAGEREF _Toc238469980 \h </w:instrText>
            <w:fldChar w:fldCharType="separate"/>
            <w:t>30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"_Toc238469981"</w:instrText>
          </w:r>
          <w:r>
            <w:rPr>
              <w:rStyle w:val="Hyperlink"/>
            </w:rPr>
            <w:instrText xml:space="preserve"> </w:instrText>
            <w:fldChar w:fldCharType="separate"/>
            <w:t xml:space="preserve">Anti-Phishing</w:t>
          </w:r>
          <w:r>
            <w:rPr>
              <w:webHidden/>
            </w:rPr>
            <w:tab/>
            <w:fldChar w:fldCharType="begin"/>
            <w:instrText xml:space="preserve"> PAGEREF _Toc238469981 \h </w:instrText>
            <w:fldChar w:fldCharType="separate"/>
            <w:t>30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"_Toc238469982"</w:instrText>
          </w:r>
          <w:r>
            <w:rPr>
              <w:rStyle w:val="Hyperlink"/>
            </w:rPr>
            <w:instrText xml:space="preserve"> </w:instrText>
            <w:fldChar w:fldCharType="separate"/>
            <w:t xml:space="preserve">Anti-Malware</w:t>
          </w:r>
          <w:r>
            <w:rPr>
              <w:webHidden/>
            </w:rPr>
            <w:tab/>
            <w:fldChar w:fldCharType="begin"/>
            <w:instrText xml:space="preserve"> PAGEREF _Toc238469982 \h </w:instrText>
            <w:fldChar w:fldCharType="separate"/>
            <w:t>31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"_Toc238469983"</w:instrText>
          </w:r>
          <w:r>
            <w:rPr>
              <w:rStyle w:val="Hyperlink"/>
            </w:rPr>
            <w:instrText xml:space="preserve"> </w:instrText>
            <w:fldChar w:fldCharType="separate"/>
            <w:t xml:space="preserve">Anti-Spam Policy</w:t>
          </w:r>
          <w:r>
            <w:rPr>
              <w:webHidden/>
            </w:rPr>
            <w:tab/>
            <w:fldChar w:fldCharType="begin"/>
            <w:instrText xml:space="preserve"> PAGEREF _Toc238469983 \h </w:instrText>
            <w:fldChar w:fldCharType="separate"/>
            <w:t>32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"_Toc238469984"</w:instrText>
          </w:r>
          <w:r>
            <w:rPr>
              <w:rStyle w:val="Hyperlink"/>
            </w:rPr>
            <w:instrText xml:space="preserve"> </w:instrText>
            <w:fldChar w:fldCharType="separate"/>
            <w:t xml:space="preserve">Control automatic external email forwarding</w:t>
          </w:r>
          <w:r>
            <w:rPr>
              <w:webHidden/>
            </w:rPr>
            <w:tab/>
            <w:fldChar w:fldCharType="begin"/>
            <w:instrText xml:space="preserve"> PAGEREF _Toc238469984 \h </w:instrText>
            <w:fldChar w:fldCharType="separate"/>
            <w:t>32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"_Toc238469985"</w:instrText>
          </w:r>
          <w:r>
            <w:rPr>
              <w:rStyle w:val="Hyperlink"/>
            </w:rPr>
            <w:instrText xml:space="preserve"> </w:instrText>
            <w:fldChar w:fldCharType="separate"/>
            <w:t xml:space="preserve">Outbound Spam Filtering Policy</w:t>
          </w:r>
          <w:r>
            <w:rPr>
              <w:webHidden/>
            </w:rPr>
            <w:tab/>
            <w:fldChar w:fldCharType="begin"/>
            <w:instrText xml:space="preserve"> PAGEREF _Toc238469985 \h </w:instrText>
            <w:fldChar w:fldCharType="separate"/>
            <w:t>33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"_Toc238469986"</w:instrText>
          </w:r>
          <w:r>
            <w:rPr>
              <w:rStyle w:val="Hyperlink"/>
            </w:rPr>
            <w:instrText xml:space="preserve"> </w:instrText>
            <w:fldChar w:fldCharType="separate"/>
            <w:t xml:space="preserve">Mail-flow (Transport) Rules</w:t>
          </w:r>
          <w:r>
            <w:rPr>
              <w:webHidden/>
            </w:rPr>
            <w:tab/>
            <w:fldChar w:fldCharType="begin"/>
            <w:instrText xml:space="preserve"> PAGEREF _Toc238469986 \h </w:instrText>
            <w:fldChar w:fldCharType="separate"/>
            <w:t>33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"_Toc238469987"</w:instrText>
          </w:r>
          <w:r>
            <w:rPr>
              <w:rStyle w:val="Hyperlink"/>
            </w:rPr>
            <w:instrText xml:space="preserve"> </w:instrText>
            <w:fldChar w:fldCharType="separate"/>
            <w:t xml:space="preserve">Require TLS for partner connectors</w:t>
          </w:r>
          <w:r>
            <w:rPr>
              <w:webHidden/>
            </w:rPr>
            <w:tab/>
            <w:fldChar w:fldCharType="begin"/>
            <w:instrText xml:space="preserve"> PAGEREF _Toc238469987 \h </w:instrText>
            <w:fldChar w:fldCharType="separate"/>
            <w:t>33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"_Toc238480017"</w:instrText>
          </w:r>
          <w:r>
            <w:rPr>
              <w:rStyle w:val="Hyperlink"/>
            </w:rPr>
            <w:instrText xml:space="preserve"> </w:instrText>
            <w:fldChar w:fldCharType="separate"/>
            <w:t xml:space="preserve">Application and Device Mail Flow (SMTP Relay)</w:t>
          </w:r>
          <w:r>
            <w:rPr>
              <w:webHidden/>
            </w:rPr>
            <w:tab/>
            <w:fldChar w:fldCharType="begin"/>
            <w:instrText xml:space="preserve"> PAGEREF _Toc238480017 \h </w:instrText>
            <w:fldChar w:fldCharType="separate"/>
            <w:t>33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"_Toc238480018"</w:instrText>
          </w:r>
          <w:r>
            <w:rPr>
              <w:rStyle w:val="Hyperlink"/>
            </w:rPr>
            <w:instrText xml:space="preserve"> </w:instrText>
            <w:fldChar w:fldCharType="separate"/>
            <w:t xml:space="preserve">Room and Resource Mailboxes</w:t>
          </w:r>
          <w:r>
            <w:rPr>
              <w:webHidden/>
            </w:rPr>
            <w:tab/>
            <w:fldChar w:fldCharType="begin"/>
            <w:instrText xml:space="preserve"> PAGEREF _Toc238480018 \h </w:instrText>
            <w:fldChar w:fldCharType="separate"/>
            <w:t>34</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"_Toc238469988"</w:instrText>
          </w:r>
          <w:r>
            <w:rPr>
              <w:rStyle w:val="Hyperlink"/>
              <w:noProof/>
            </w:rPr>
            <w:instrText xml:space="preserve"> </w:instrText>
            <w:fldChar w:fldCharType="separate"/>
            <w:t xml:space="preserve">SharePoint</w:t>
          </w:r>
          <w:r>
            <w:rPr>
              <w:noProof/>
              <w:webHidden/>
            </w:rPr>
            <w:tab/>
            <w:fldChar w:fldCharType="begin"/>
            <w:instrText xml:space="preserve"> PAGEREF _Toc238469988 \h </w:instrText>
            <w:fldChar w:fldCharType="separate"/>
            <w:t>36</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"_Toc238469989"</w:instrText>
          </w:r>
          <w:r>
            <w:rPr>
              <w:rStyle w:val="Hyperlink"/>
            </w:rPr>
            <w:instrText xml:space="preserve"> </w:instrText>
            <w:fldChar w:fldCharType="separate"/>
            <w:t xml:space="preserve">External Sharing</w:t>
          </w:r>
          <w:r>
            <w:rPr>
              <w:webHidden/>
            </w:rPr>
            <w:tab/>
            <w:fldChar w:fldCharType="begin"/>
            <w:instrText xml:space="preserve"> PAGEREF _Toc238469989 \h </w:instrText>
            <w:fldChar w:fldCharType="separate"/>
            <w:t>36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"_Toc238469990"</w:instrText>
          </w:r>
          <w:r>
            <w:rPr>
              <w:rStyle w:val="Hyperlink"/>
            </w:rPr>
            <w:instrText xml:space="preserve"> </w:instrText>
            <w:fldChar w:fldCharType="separate"/>
            <w:t xml:space="preserve">Sharing Link Expiration</w:t>
          </w:r>
          <w:r>
            <w:rPr>
              <w:webHidden/>
            </w:rPr>
            <w:tab/>
            <w:fldChar w:fldCharType="begin"/>
            <w:instrText xml:space="preserve"> PAGEREF _Toc238469990 \h </w:instrText>
            <w:fldChar w:fldCharType="separate"/>
            <w:t>36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"_Toc238469991"</w:instrText>
          </w:r>
          <w:r>
            <w:rPr>
              <w:rStyle w:val="Hyperlink"/>
            </w:rPr>
            <w:instrText xml:space="preserve"> </w:instrText>
            <w:fldChar w:fldCharType="separate"/>
            <w:t xml:space="preserve">Versioning Control</w:t>
          </w:r>
          <w:r>
            <w:rPr>
              <w:webHidden/>
            </w:rPr>
            <w:tab/>
            <w:fldChar w:fldCharType="begin"/>
            <w:instrText xml:space="preserve"> PAGEREF _Toc238469991 \h </w:instrText>
            <w:fldChar w:fldCharType="separate"/>
            <w:t>36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"_Toc238469992"</w:instrText>
          </w:r>
          <w:r>
            <w:rPr>
              <w:rStyle w:val="Hyperlink"/>
            </w:rPr>
            <w:instrText xml:space="preserve"> </w:instrText>
            <w:fldChar w:fldCharType="separate"/>
            <w:t xml:space="preserve">Site Permissions and Access</w:t>
          </w:r>
          <w:r>
            <w:rPr>
              <w:webHidden/>
            </w:rPr>
            <w:tab/>
            <w:fldChar w:fldCharType="begin"/>
            <w:instrText xml:space="preserve"> PAGEREF _Toc238469992 \h </w:instrText>
            <w:fldChar w:fldCharType="separate"/>
            <w:t>37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"_Toc238469993"</w:instrText>
          </w:r>
          <w:r>
            <w:rPr>
              <w:rStyle w:val="Hyperlink"/>
            </w:rPr>
            <w:instrText xml:space="preserve"> </w:instrText>
            <w:fldChar w:fldCharType="separate"/>
            <w:t xml:space="preserve">Site Provisioning</w:t>
          </w:r>
          <w:r>
            <w:rPr>
              <w:webHidden/>
            </w:rPr>
            <w:tab/>
            <w:fldChar w:fldCharType="begin"/>
            <w:instrText xml:space="preserve"> PAGEREF _Toc238469993 \h </w:instrText>
            <w:fldChar w:fldCharType="separate"/>
            <w:t>37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"_Toc238469994"</w:instrText>
          </w:r>
          <w:r>
            <w:rPr>
              <w:rStyle w:val="Hyperlink"/>
            </w:rPr>
            <w:instrText xml:space="preserve"> </w:instrText>
            <w:fldChar w:fldCharType="separate"/>
            <w:t xml:space="preserve">Unmanaged Device Access Control</w:t>
          </w:r>
          <w:r>
            <w:rPr>
              <w:webHidden/>
            </w:rPr>
            <w:tab/>
            <w:fldChar w:fldCharType="begin"/>
            <w:instrText xml:space="preserve"> PAGEREF _Toc238469994 \h </w:instrText>
            <w:fldChar w:fldCharType="separate"/>
            <w:t>37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"_Toc238469995"</w:instrText>
          </w:r>
          <w:r>
            <w:rPr>
              <w:rStyle w:val="Hyperlink"/>
            </w:rPr>
            <w:instrText xml:space="preserve"> </w:instrText>
            <w:fldChar w:fldCharType="separate"/>
            <w:t xml:space="preserve">Disable Sub-Site Creation</w:t>
          </w:r>
          <w:r>
            <w:rPr>
              <w:webHidden/>
            </w:rPr>
            <w:tab/>
            <w:fldChar w:fldCharType="begin"/>
            <w:instrText xml:space="preserve"> PAGEREF _Toc238469995 \h </w:instrText>
            <w:fldChar w:fldCharType="separate"/>
            <w:t>38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"_Toc238469996"</w:instrText>
          </w:r>
          <w:r>
            <w:rPr>
              <w:rStyle w:val="Hyperlink"/>
            </w:rPr>
            <w:instrText xml:space="preserve"> </w:instrText>
            <w:fldChar w:fldCharType="separate"/>
            <w:t xml:space="preserve">Sync Client Restriction and Known Folder Move</w:t>
          </w:r>
          <w:r>
            <w:rPr>
              <w:webHidden/>
            </w:rPr>
            <w:tab/>
            <w:fldChar w:fldCharType="begin"/>
            <w:instrText xml:space="preserve"> PAGEREF _Toc238469996 \h </w:instrText>
            <w:fldChar w:fldCharType="separate"/>
            <w:t>38</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"_Toc238469997"</w:instrText>
          </w:r>
          <w:r>
            <w:rPr>
              <w:rStyle w:val="Hyperlink"/>
              <w:noProof/>
            </w:rPr>
            <w:instrText xml:space="preserve"> </w:instrText>
            <w:fldChar w:fldCharType="separate"/>
            <w:t xml:space="preserve">OneDrive</w:t>
          </w:r>
          <w:r>
            <w:rPr>
              <w:noProof/>
              <w:webHidden/>
            </w:rPr>
            <w:tab/>
            <w:fldChar w:fldCharType="begin"/>
            <w:instrText xml:space="preserve"> PAGEREF _Toc238469997 \h </w:instrText>
            <w:fldChar w:fldCharType="separate"/>
            <w:t>38</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"_Toc238469998"</w:instrText>
          </w:r>
          <w:r>
            <w:rPr>
              <w:rStyle w:val="Hyperlink"/>
            </w:rPr>
            <w:instrText xml:space="preserve"> </w:instrText>
            <w:fldChar w:fldCharType="separate"/>
            <w:t xml:space="preserve">External Sharing</w:t>
          </w:r>
          <w:r>
            <w:rPr>
              <w:webHidden/>
            </w:rPr>
            <w:tab/>
            <w:fldChar w:fldCharType="begin"/>
            <w:instrText xml:space="preserve"> PAGEREF _Toc238469998 \h </w:instrText>
            <w:fldChar w:fldCharType="separate"/>
            <w:t>38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"_Toc238469999"</w:instrText>
          </w:r>
          <w:r>
            <w:rPr>
              <w:rStyle w:val="Hyperlink"/>
            </w:rPr>
            <w:instrText xml:space="preserve"> </w:instrText>
            <w:fldChar w:fldCharType="separate"/>
            <w:t xml:space="preserve">Sharing Link Expiration</w:t>
          </w:r>
          <w:r>
            <w:rPr>
              <w:webHidden/>
            </w:rPr>
            <w:tab/>
            <w:fldChar w:fldCharType="begin"/>
            <w:instrText xml:space="preserve"> PAGEREF _Toc238469999 \h </w:instrText>
            <w:fldChar w:fldCharType="separate"/>
            <w:t>38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"_Toc238470000"</w:instrText>
          </w:r>
          <w:r>
            <w:rPr>
              <w:rStyle w:val="Hyperlink"/>
            </w:rPr>
            <w:instrText xml:space="preserve"> </w:instrText>
            <w:fldChar w:fldCharType="separate"/>
            <w:t xml:space="preserve">Versioning</w:t>
          </w:r>
          <w:r>
            <w:rPr>
              <w:webHidden/>
            </w:rPr>
            <w:tab/>
            <w:fldChar w:fldCharType="begin"/>
            <w:instrText xml:space="preserve"> PAGEREF _Toc238470000 \h </w:instrText>
            <w:fldChar w:fldCharType="separate"/>
            <w:t>39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"_Toc238470001"</w:instrText>
          </w:r>
          <w:r>
            <w:rPr>
              <w:rStyle w:val="Hyperlink"/>
            </w:rPr>
            <w:instrText xml:space="preserve"> </w:instrText>
            <w:fldChar w:fldCharType="separate"/>
            <w:t xml:space="preserve">Storage and Retention</w:t>
          </w:r>
          <w:r>
            <w:rPr>
              <w:webHidden/>
            </w:rPr>
            <w:tab/>
            <w:fldChar w:fldCharType="begin"/>
            <w:instrText xml:space="preserve"> PAGEREF _Toc238470001 \h </w:instrText>
            <w:fldChar w:fldCharType="separate"/>
            <w:t>39</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"_Toc238470002"</w:instrText>
          </w:r>
          <w:r>
            <w:rPr>
              <w:rStyle w:val="Hyperlink"/>
              <w:noProof/>
            </w:rPr>
            <w:instrText xml:space="preserve"> </w:instrText>
            <w:fldChar w:fldCharType="separate"/>
            <w:t xml:space="preserve">Teams</w:t>
          </w:r>
          <w:r>
            <w:rPr>
              <w:noProof/>
              <w:webHidden/>
            </w:rPr>
            <w:tab/>
            <w:fldChar w:fldCharType="begin"/>
            <w:instrText xml:space="preserve"> PAGEREF _Toc238470002 \h </w:instrText>
            <w:fldChar w:fldCharType="separate"/>
            <w:t>40</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"_Toc238470003"</w:instrText>
          </w:r>
          <w:r>
            <w:rPr>
              <w:rStyle w:val="Hyperlink"/>
            </w:rPr>
            <w:instrText xml:space="preserve"> </w:instrText>
            <w:fldChar w:fldCharType="separate"/>
            <w:t xml:space="preserve">External and Guest Access</w:t>
          </w:r>
          <w:r>
            <w:rPr>
              <w:webHidden/>
            </w:rPr>
            <w:tab/>
            <w:fldChar w:fldCharType="begin"/>
            <w:instrText xml:space="preserve"> PAGEREF _Toc238470003 \h </w:instrText>
            <w:fldChar w:fldCharType="separate"/>
            <w:t>40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"_Toc238470004"</w:instrText>
          </w:r>
          <w:r>
            <w:rPr>
              <w:rStyle w:val="Hyperlink"/>
            </w:rPr>
            <w:instrText xml:space="preserve"> </w:instrText>
            <w:fldChar w:fldCharType="separate"/>
            <w:t xml:space="preserve">Shared Channels</w:t>
          </w:r>
          <w:r>
            <w:rPr>
              <w:webHidden/>
            </w:rPr>
            <w:tab/>
            <w:fldChar w:fldCharType="begin"/>
            <w:instrText xml:space="preserve"> PAGEREF _Toc238470004 \h </w:instrText>
            <w:fldChar w:fldCharType="separate"/>
            <w:t>40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"_Toc238470005"</w:instrText>
          </w:r>
          <w:r>
            <w:rPr>
              <w:rStyle w:val="Hyperlink"/>
            </w:rPr>
            <w:instrText xml:space="preserve"> </w:instrText>
            <w:fldChar w:fldCharType="separate"/>
            <w:t xml:space="preserve">Third-Party Apps</w:t>
          </w:r>
          <w:r>
            <w:rPr>
              <w:webHidden/>
            </w:rPr>
            <w:tab/>
            <w:fldChar w:fldCharType="begin"/>
            <w:instrText xml:space="preserve"> PAGEREF _Toc238470005 \h </w:instrText>
            <w:fldChar w:fldCharType="separate"/>
            <w:t>41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"_Toc238470006"</w:instrText>
          </w:r>
          <w:r>
            <w:rPr>
              <w:rStyle w:val="Hyperlink"/>
            </w:rPr>
            <w:instrText xml:space="preserve"> </w:instrText>
            <w:fldChar w:fldCharType="separate"/>
            <w:t xml:space="preserve">File Sharing Providers</w:t>
          </w:r>
          <w:r>
            <w:rPr>
              <w:webHidden/>
            </w:rPr>
            <w:tab/>
            <w:fldChar w:fldCharType="begin"/>
            <w:instrText xml:space="preserve"> PAGEREF _Toc238470006 \h </w:instrText>
            <w:fldChar w:fldCharType="separate"/>
            <w:t>41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"_Toc238470007"</w:instrText>
          </w:r>
          <w:r>
            <w:rPr>
              <w:rStyle w:val="Hyperlink"/>
            </w:rPr>
            <w:instrText xml:space="preserve"> </w:instrText>
            <w:fldChar w:fldCharType="separate"/>
            <w:t xml:space="preserve">Compliance Monitoring</w:t>
          </w:r>
          <w:r>
            <w:rPr>
              <w:webHidden/>
            </w:rPr>
            <w:tab/>
            <w:fldChar w:fldCharType="begin"/>
            <w:instrText xml:space="preserve"> PAGEREF _Toc238470007 \h </w:instrText>
            <w:fldChar w:fldCharType="separate"/>
            <w:t>41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"_Toc238470008"</w:instrText>
          </w:r>
          <w:r>
            <w:rPr>
              <w:rStyle w:val="Hyperlink"/>
            </w:rPr>
            <w:instrText xml:space="preserve"> </w:instrText>
            <w:fldChar w:fldCharType="separate"/>
            <w:t xml:space="preserve">Meeting Policy</w:t>
          </w:r>
          <w:r>
            <w:rPr>
              <w:webHidden/>
            </w:rPr>
            <w:tab/>
            <w:fldChar w:fldCharType="begin"/>
            <w:instrText xml:space="preserve"> PAGEREF _Toc238470008 \h </w:instrText>
            <w:fldChar w:fldCharType="separate"/>
            <w:t>41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"_Toc238470009"</w:instrText>
          </w:r>
          <w:r>
            <w:rPr>
              <w:rStyle w:val="Hyperlink"/>
            </w:rPr>
            <w:instrText xml:space="preserve"> </w:instrText>
            <w:fldChar w:fldCharType="separate"/>
            <w:t xml:space="preserve">Messaging Policy</w:t>
          </w:r>
          <w:r>
            <w:rPr>
              <w:webHidden/>
            </w:rPr>
            <w:tab/>
            <w:fldChar w:fldCharType="begin"/>
            <w:instrText xml:space="preserve"> PAGEREF _Toc238470009 \h </w:instrText>
            <w:fldChar w:fldCharType="separate"/>
            <w:t>42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"_Toc238480019"</w:instrText>
          </w:r>
          <w:r>
            <w:rPr>
              <w:rStyle w:val="Hyperlink"/>
            </w:rPr>
            <w:instrText xml:space="preserve"> </w:instrText>
            <w:fldChar w:fldCharType="separate"/>
            <w:t xml:space="preserve">Meeting Rooms</w:t>
          </w:r>
          <w:r>
            <w:rPr>
              <w:webHidden/>
            </w:rPr>
            <w:tab/>
            <w:fldChar w:fldCharType="begin"/>
            <w:instrText xml:space="preserve"> PAGEREF _Toc238480019 \h </w:instrText>
            <w:fldChar w:fldCharType="separate"/>
            <w:t>42</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"_Toc238480020"</w:instrText>
          </w:r>
          <w:r>
            <w:rPr>
              <w:rStyle w:val="Hyperlink"/>
              <w:noProof/>
            </w:rPr>
            <w:instrText xml:space="preserve"> </w:instrText>
            <w:fldChar w:fldCharType="separate"/>
            <w:t xml:space="preserve">Information Protection and Data Loss Prevention</w:t>
          </w:r>
          <w:r>
            <w:rPr>
              <w:noProof/>
              <w:webHidden/>
            </w:rPr>
            <w:tab/>
            <w:fldChar w:fldCharType="begin"/>
            <w:instrText xml:space="preserve"> PAGEREF _Toc238480020 \h </w:instrText>
            <w:fldChar w:fldCharType="separate"/>
            <w:t>42</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"_Toc238480021"</w:instrText>
          </w:r>
          <w:r>
            <w:rPr>
              <w:rStyle w:val="Hyperlink"/>
            </w:rPr>
            <w:instrText xml:space="preserve"> </w:instrText>
            <w:fldChar w:fldCharType="separate"/>
            <w:t xml:space="preserve">Sensitivity Labeling</w:t>
          </w:r>
          <w:r>
            <w:rPr>
              <w:webHidden/>
            </w:rPr>
            <w:tab/>
            <w:fldChar w:fldCharType="begin"/>
            <w:instrText xml:space="preserve"> PAGEREF _Toc238480021 \h </w:instrText>
            <w:fldChar w:fldCharType="separate"/>
            <w:t>43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"_Toc238480022"</w:instrText>
          </w:r>
          <w:r>
            <w:rPr>
              <w:rStyle w:val="Hyperlink"/>
            </w:rPr>
            <w:instrText xml:space="preserve"> </w:instrText>
            <w:fldChar w:fldCharType="separate"/>
            <w:t xml:space="preserve">Data Loss Prevention</w:t>
          </w:r>
          <w:r>
            <w:rPr>
              <w:webHidden/>
            </w:rPr>
            <w:tab/>
            <w:fldChar w:fldCharType="begin"/>
            <w:instrText xml:space="preserve"> PAGEREF _Toc238480022 \h </w:instrText>
            <w:fldChar w:fldCharType="separate"/>
            <w:t>43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"_Toc238480023"</w:instrText>
          </w:r>
          <w:r>
            <w:rPr>
              <w:rStyle w:val="Hyperlink"/>
            </w:rPr>
            <w:instrText xml:space="preserve"> </w:instrText>
            <w:fldChar w:fldCharType="separate"/>
            <w:t xml:space="preserve">Endpoint DLP</w:t>
          </w:r>
          <w:r>
            <w:rPr>
              <w:webHidden/>
            </w:rPr>
            <w:tab/>
            <w:fldChar w:fldCharType="begin"/>
            <w:instrText xml:space="preserve"> PAGEREF _Toc238480023 \h </w:instrText>
            <w:fldChar w:fldCharType="separate"/>
            <w:t>43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"_Toc238480024"</w:instrText>
          </w:r>
          <w:r>
            <w:rPr>
              <w:rStyle w:val="Hyperlink"/>
            </w:rPr>
            <w:instrText xml:space="preserve"> </w:instrText>
            <w:fldChar w:fldCharType="separate"/>
            <w:t xml:space="preserve">Message Encryption</w:t>
          </w:r>
          <w:r>
            <w:rPr>
              <w:webHidden/>
            </w:rPr>
            <w:tab/>
            <w:fldChar w:fldCharType="begin"/>
            <w:instrText xml:space="preserve"> PAGEREF _Toc238480024 \h </w:instrText>
            <w:fldChar w:fldCharType="separate"/>
            <w:t>43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"_Toc238480025"</w:instrText>
          </w:r>
          <w:r>
            <w:rPr>
              <w:rStyle w:val="Hyperlink"/>
            </w:rPr>
            <w:instrText xml:space="preserve"> </w:instrText>
            <w:fldChar w:fldCharType="separate"/>
            <w:t xml:space="preserve">Excluded from this design</w:t>
          </w:r>
          <w:r>
            <w:rPr>
              <w:webHidden/>
            </w:rPr>
            <w:tab/>
            <w:fldChar w:fldCharType="begin"/>
            <w:instrText xml:space="preserve"> PAGEREF _Toc238480025 \h </w:instrText>
            <w:fldChar w:fldCharType="separate"/>
            <w:t>43</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"_Toc238471029"</w:instrText>
          </w:r>
          <w:r>
            <w:rPr>
              <w:rStyle w:val="Hyperlink"/>
              <w:noProof/>
            </w:rPr>
            <w:instrText xml:space="preserve"> </w:instrText>
            <w:fldChar w:fldCharType="separate"/>
            <w:t xml:space="preserve">Teams Voice – CallTower Integration</w:t>
          </w:r>
          <w:r>
            <w:rPr>
              <w:noProof/>
              <w:webHidden/>
            </w:rPr>
            <w:tab/>
            <w:fldChar w:fldCharType="begin"/>
            <w:instrText xml:space="preserve"> PAGEREF _Toc238471029 \h </w:instrText>
            <w:fldChar w:fldCharType="separate"/>
            <w:t>44</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"_Toc238480026"</w:instrText>
          </w:r>
          <w:r>
            <w:rPr>
              <w:rStyle w:val="Hyperlink"/>
            </w:rPr>
            <w:instrText xml:space="preserve"> </w:instrText>
            <w:fldChar w:fldCharType="separate"/>
            <w:t xml:space="preserve">Connectivity Model</w:t>
          </w:r>
          <w:r>
            <w:rPr>
              <w:webHidden/>
            </w:rPr>
            <w:tab/>
            <w:fldChar w:fldCharType="begin"/>
            <w:instrText xml:space="preserve"> PAGEREF _Toc238480026 \h </w:instrText>
            <w:fldChar w:fldCharType="separate"/>
            <w:t>44</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"_Toc238471031"</w:instrText>
          </w:r>
          <w:r>
            <w:rPr>
              <w:rStyle w:val="Hyperlink"/>
            </w:rPr>
            <w:instrText xml:space="preserve"> </w:instrText>
            <w:fldChar w:fldCharType="separate"/>
            <w:t xml:space="preserve">Numbering and Number Porting</w:t>
          </w:r>
          <w:r>
            <w:rPr>
              <w:webHidden/>
            </w:rPr>
            <w:tab/>
            <w:fldChar w:fldCharType="begin"/>
            <w:instrText xml:space="preserve"> PAGEREF _Toc238471031 \h </w:instrText>
            <w:fldChar w:fldCharType="separate"/>
            <w:t>44</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"_Toc238480027"</w:instrText>
          </w:r>
          <w:r>
            <w:rPr>
              <w:rStyle w:val="Hyperlink"/>
            </w:rPr>
            <w:instrText xml:space="preserve"> </w:instrText>
            <w:fldChar w:fldCharType="separate"/>
            <w:t xml:space="preserve">Emergency Calling (E911)</w:t>
          </w:r>
          <w:r>
            <w:rPr>
              <w:webHidden/>
            </w:rPr>
            <w:tab/>
            <w:fldChar w:fldCharType="begin"/>
            <w:instrText xml:space="preserve"> PAGEREF _Toc238480027 \h </w:instrText>
            <w:fldChar w:fldCharType="separate"/>
            <w:t>45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"_Toc238471033"</w:instrText>
          </w:r>
          <w:r>
            <w:rPr>
              <w:rStyle w:val="Hyperlink"/>
            </w:rPr>
            <w:instrText xml:space="preserve"> </w:instrText>
            <w:fldChar w:fldCharType="separate"/>
            <w:t xml:space="preserve">Voice Features</w:t>
          </w:r>
          <w:r>
            <w:rPr>
              <w:webHidden/>
            </w:rPr>
            <w:tab/>
            <w:fldChar w:fldCharType="begin"/>
            <w:instrText xml:space="preserve"> PAGEREF _Toc238471033 \h </w:instrText>
            <w:fldChar w:fldCharType="separate"/>
            <w:t>45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"_Toc238471034"</w:instrText>
          </w:r>
          <w:r>
            <w:rPr>
              <w:rStyle w:val="Hyperlink"/>
            </w:rPr>
            <w:instrText xml:space="preserve"> </w:instrText>
            <w:fldChar w:fldCharType="separate"/>
            <w:t xml:space="preserve">Prerequisites and Cutover Sequencing</w:t>
          </w:r>
          <w:r>
            <w:rPr>
              <w:webHidden/>
            </w:rPr>
            <w:tab/>
            <w:fldChar w:fldCharType="begin"/>
            <w:instrText xml:space="preserve"> PAGEREF _Toc238471034 \h </w:instrText>
            <w:fldChar w:fldCharType="separate"/>
            <w:t>46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"_Toc238471035"</w:instrText>
          </w:r>
          <w:r>
            <w:rPr>
              <w:rStyle w:val="Hyperlink"/>
            </w:rPr>
            <w:instrText xml:space="preserve"> </w:instrText>
            <w:fldChar w:fldCharType="separate"/>
            <w:t xml:space="preserve">CMMC Shared Responsibility Matrix</w:t>
          </w:r>
          <w:r>
            <w:rPr>
              <w:webHidden/>
            </w:rPr>
            <w:tab/>
            <w:fldChar w:fldCharType="begin"/>
            <w:instrText xml:space="preserve"> PAGEREF _Toc238471035 \h </w:instrText>
            <w:fldChar w:fldCharType="separate"/>
            <w:t>46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"_Toc238471036"</w:instrText>
          </w:r>
          <w:r>
            <w:rPr>
              <w:rStyle w:val="Hyperlink"/>
            </w:rPr>
            <w:instrText xml:space="preserve"> </w:instrText>
            <w:fldChar w:fldCharType="separate"/>
            <w:t xml:space="preserve">Administration and Support</w:t>
          </w:r>
          <w:r>
            <w:rPr>
              <w:webHidden/>
            </w:rPr>
            <w:tab/>
            <w:fldChar w:fldCharType="begin"/>
            <w:instrText xml:space="preserve"> PAGEREF _Toc238471036 \h </w:instrText>
            <w:fldChar w:fldCharType="separate"/>
            <w:t>46</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"_Toc238471037"</w:instrText>
          </w:r>
          <w:r>
            <w:rPr>
              <w:rStyle w:val="Hyperlink"/>
              <w:noProof/>
            </w:rPr>
            <w:instrText xml:space="preserve"> </w:instrText>
            <w:fldChar w:fldCharType="separate"/>
            <w:t xml:space="preserve">Mobile Device Management (Intune)</w:t>
          </w:r>
          <w:r>
            <w:rPr>
              <w:noProof/>
              <w:webHidden/>
            </w:rPr>
            <w:tab/>
            <w:fldChar w:fldCharType="begin"/>
            <w:instrText xml:space="preserve"> PAGEREF _Toc238471037 \h </w:instrText>
            <w:fldChar w:fldCharType="separate"/>
            <w:t>47</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"_Toc238480028"</w:instrText>
          </w:r>
          <w:r>
            <w:rPr>
              <w:rStyle w:val="Hyperlink"/>
            </w:rPr>
            <w:instrText xml:space="preserve"> </w:instrText>
            <w:fldChar w:fldCharType="separate"/>
            <w:t xml:space="preserve">MDM Platform Setup</w:t>
          </w:r>
          <w:r>
            <w:rPr>
              <w:webHidden/>
            </w:rPr>
            <w:tab/>
            <w:fldChar w:fldCharType="begin"/>
            <w:instrText xml:space="preserve"> PAGEREF _Toc238480028 \h </w:instrText>
            <w:fldChar w:fldCharType="separate"/>
            <w:t>47</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"_Toc238480029"</w:instrText>
          </w:r>
          <w:r>
            <w:rPr>
              <w:rStyle w:val="Hyperlink"/>
            </w:rPr>
            <w:instrText xml:space="preserve"> </w:instrText>
            <w:fldChar w:fldCharType="separate"/>
            <w:t xml:space="preserve">iOS Enrollment and Policy</w:t>
          </w:r>
          <w:r>
            <w:rPr>
              <w:webHidden/>
            </w:rPr>
            <w:tab/>
            <w:fldChar w:fldCharType="begin"/>
            <w:instrText xml:space="preserve"> PAGEREF _Toc238480029 \h </w:instrText>
            <w:fldChar w:fldCharType="separate"/>
            <w:t>48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"_Toc238480030"</w:instrText>
          </w:r>
          <w:r>
            <w:rPr>
              <w:rStyle w:val="Hyperlink"/>
            </w:rPr>
            <w:instrText xml:space="preserve"> </w:instrText>
            <w:fldChar w:fldCharType="separate"/>
            <w:t xml:space="preserve">Android Enrollment and Policy</w:t>
          </w:r>
          <w:r>
            <w:rPr>
              <w:webHidden/>
            </w:rPr>
            <w:tab/>
            <w:fldChar w:fldCharType="begin"/>
            <w:instrText xml:space="preserve"> PAGEREF _Toc238480030 \h </w:instrText>
            <w:fldChar w:fldCharType="separate"/>
            <w:t>48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"_Toc238480031"</w:instrText>
          </w:r>
          <w:r>
            <w:rPr>
              <w:rStyle w:val="Hyperlink"/>
            </w:rPr>
            <w:instrText xml:space="preserve"> </w:instrText>
            <w:fldChar w:fldCharType="separate"/>
            <w:t xml:space="preserve">Compliance and Conditional Access</w:t>
          </w:r>
          <w:r>
            <w:rPr>
              <w:webHidden/>
            </w:rPr>
            <w:tab/>
            <w:fldChar w:fldCharType="begin"/>
            <w:instrText xml:space="preserve"> PAGEREF _Toc238480031 \h </w:instrText>
            <w:fldChar w:fldCharType="separate"/>
            <w:t>49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"_Toc238480032"</w:instrText>
          </w:r>
          <w:r>
            <w:rPr>
              <w:rStyle w:val="Hyperlink"/>
            </w:rPr>
            <w:instrText xml:space="preserve"> </w:instrText>
            <w:fldChar w:fldCharType="separate"/>
            <w:t xml:space="preserve">Pilot Validation and Rollout</w:t>
          </w:r>
          <w:r>
            <w:rPr>
              <w:webHidden/>
            </w:rPr>
            <w:tab/>
            <w:fldChar w:fldCharType="begin"/>
            <w:instrText xml:space="preserve"> PAGEREF _Toc238480032 \h </w:instrText>
            <w:fldChar w:fldCharType="separate"/>
            <w:t>49</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"_Toc238480033"</w:instrText>
          </w:r>
          <w:r>
            <w:rPr>
              <w:rStyle w:val="Hyperlink"/>
              <w:noProof/>
            </w:rPr>
            <w:instrText xml:space="preserve"> </w:instrText>
            <w:fldChar w:fldCharType="separate"/>
            <w:t xml:space="preserve">Windows Endpoint Management (Intune)</w:t>
          </w:r>
          <w:r>
            <w:rPr>
              <w:noProof/>
              <w:webHidden/>
            </w:rPr>
            <w:tab/>
            <w:fldChar w:fldCharType="begin"/>
            <w:instrText xml:space="preserve"> PAGEREF _Toc238480033 \h </w:instrText>
            <w:fldChar w:fldCharType="separate"/>
            <w:t>49</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"_Toc238480034"</w:instrText>
          </w:r>
          <w:r>
            <w:rPr>
              <w:rStyle w:val="Hyperlink"/>
            </w:rPr>
            <w:instrText xml:space="preserve"> </w:instrText>
            <w:fldChar w:fldCharType="separate"/>
            <w:t xml:space="preserve">Security Baselines</w:t>
          </w:r>
          <w:r>
            <w:rPr>
              <w:webHidden/>
            </w:rPr>
            <w:tab/>
            <w:fldChar w:fldCharType="begin"/>
            <w:instrText xml:space="preserve"> PAGEREF _Toc238480034 \h </w:instrText>
            <w:fldChar w:fldCharType="separate"/>
            <w:t>50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"_Toc238480035"</w:instrText>
          </w:r>
          <w:r>
            <w:rPr>
              <w:rStyle w:val="Hyperlink"/>
            </w:rPr>
            <w:instrText xml:space="preserve"> </w:instrText>
            <w:fldChar w:fldCharType="separate"/>
            <w:t xml:space="preserve">BitLocker Encryption</w:t>
          </w:r>
          <w:r>
            <w:rPr>
              <w:webHidden/>
            </w:rPr>
            <w:tab/>
            <w:fldChar w:fldCharType="begin"/>
            <w:instrText xml:space="preserve"> PAGEREF _Toc238480035 \h </w:instrText>
            <w:fldChar w:fldCharType="separate"/>
            <w:t>50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"_Toc238480036"</w:instrText>
          </w:r>
          <w:r>
            <w:rPr>
              <w:rStyle w:val="Hyperlink"/>
            </w:rPr>
            <w:instrText xml:space="preserve"> </w:instrText>
            <w:fldChar w:fldCharType="separate"/>
            <w:t xml:space="preserve">Removable Media</w:t>
          </w:r>
          <w:r>
            <w:rPr>
              <w:webHidden/>
            </w:rPr>
            <w:tab/>
            <w:fldChar w:fldCharType="begin"/>
            <w:instrText xml:space="preserve"> PAGEREF _Toc238480036 \h </w:instrText>
            <w:fldChar w:fldCharType="separate"/>
            <w:t>50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"_Toc238480037"</w:instrText>
          </w:r>
          <w:r>
            <w:rPr>
              <w:rStyle w:val="Hyperlink"/>
            </w:rPr>
            <w:instrText xml:space="preserve"> </w:instrText>
            <w:fldChar w:fldCharType="separate"/>
            <w:t xml:space="preserve">Windows Update</w:t>
          </w:r>
          <w:r>
            <w:rPr>
              <w:webHidden/>
            </w:rPr>
            <w:tab/>
            <w:fldChar w:fldCharType="begin"/>
            <w:instrText xml:space="preserve"> PAGEREF _Toc238480037 \h </w:instrText>
            <w:fldChar w:fldCharType="separate"/>
            <w:t>51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"_Toc238480038"</w:instrText>
          </w:r>
          <w:r>
            <w:rPr>
              <w:rStyle w:val="Hyperlink"/>
            </w:rPr>
            <w:instrText xml:space="preserve"> </w:instrText>
            <w:fldChar w:fldCharType="separate"/>
            <w:t xml:space="preserve">Compliance Policy</w:t>
          </w:r>
          <w:r>
            <w:rPr>
              <w:webHidden/>
            </w:rPr>
            <w:tab/>
            <w:fldChar w:fldCharType="begin"/>
            <w:instrText xml:space="preserve"> PAGEREF _Toc238480038 \h </w:instrText>
            <w:fldChar w:fldCharType="separate"/>
            <w:t>51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"_Toc238480039"</w:instrText>
          </w:r>
          <w:r>
            <w:rPr>
              <w:rStyle w:val="Hyperlink"/>
            </w:rPr>
            <w:instrText xml:space="preserve"> </w:instrText>
            <w:fldChar w:fldCharType="separate"/>
            <w:t xml:space="preserve">Application Control</w:t>
          </w:r>
          <w:r>
            <w:rPr>
              <w:webHidden/>
            </w:rPr>
            <w:tab/>
            <w:fldChar w:fldCharType="begin"/>
            <w:instrText xml:space="preserve"> PAGEREF _Toc238480039 \h </w:instrText>
            <w:fldChar w:fldCharType="separate"/>
            <w:t>51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"_Toc238480040"</w:instrText>
          </w:r>
          <w:r>
            <w:rPr>
              <w:rStyle w:val="Hyperlink"/>
            </w:rPr>
            <w:instrText xml:space="preserve"> </w:instrText>
            <w:fldChar w:fldCharType="separate"/>
            <w:t xml:space="preserve">Local Administrator Rights and Windows LAPS</w:t>
          </w:r>
          <w:r>
            <w:rPr>
              <w:webHidden/>
            </w:rPr>
            <w:tab/>
            <w:fldChar w:fldCharType="begin"/>
            <w:instrText xml:space="preserve"> PAGEREF _Toc238480040 \h </w:instrText>
            <w:fldChar w:fldCharType="separate"/>
            <w:t>51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"_Toc238480041"</w:instrText>
          </w:r>
          <w:r>
            <w:rPr>
              <w:rStyle w:val="Hyperlink"/>
            </w:rPr>
            <w:instrText xml:space="preserve"> </w:instrText>
            <w:fldChar w:fldCharType="separate"/>
            <w:t xml:space="preserve">Endpoint Detection and Response</w:t>
          </w:r>
          <w:r>
            <w:rPr>
              <w:webHidden/>
            </w:rPr>
            <w:tab/>
            <w:fldChar w:fldCharType="begin"/>
            <w:instrText xml:space="preserve"> PAGEREF _Toc238480041 \h </w:instrText>
            <w:fldChar w:fldCharType="separate"/>
            <w:t>51</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"_Toc238480042"</w:instrText>
          </w:r>
          <w:r>
            <w:rPr>
              <w:rStyle w:val="Hyperlink"/>
            </w:rPr>
            <w:instrText xml:space="preserve"> </w:instrText>
            <w:fldChar w:fldCharType="separate"/>
            <w:t xml:space="preserve">Application Deployment</w:t>
          </w:r>
          <w:r>
            <w:rPr>
              <w:webHidden/>
            </w:rPr>
            <w:tab/>
            <w:fldChar w:fldCharType="begin"/>
            <w:instrText xml:space="preserve"> PAGEREF _Toc238480042 \h </w:instrText>
            <w:fldChar w:fldCharType="separate"/>
            <w:t>52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"_Toc238480043"</w:instrText>
          </w:r>
          <w:r>
            <w:rPr>
              <w:rStyle w:val="Hyperlink"/>
            </w:rPr>
            <w:instrText xml:space="preserve"> </w:instrText>
            <w:fldChar w:fldCharType="separate"/>
            <w:t xml:space="preserve">Provisioning</w:t>
          </w:r>
          <w:r>
            <w:rPr>
              <w:webHidden/>
            </w:rPr>
            <w:tab/>
            <w:fldChar w:fldCharType="begin"/>
            <w:instrText xml:space="preserve"> PAGEREF _Toc238480043 \h </w:instrText>
            <w:fldChar w:fldCharType="separate"/>
            <w:t>52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"_Toc238480044"</w:instrText>
          </w:r>
          <w:r>
            <w:rPr>
              <w:rStyle w:val="Hyperlink"/>
            </w:rPr>
            <w:instrText xml:space="preserve"> </w:instrText>
            <w:fldChar w:fldCharType="separate"/>
            <w:t xml:space="preserve">Scope and Pilot Ring</w:t>
          </w:r>
          <w:r>
            <w:rPr>
              <w:webHidden/>
            </w:rPr>
            <w:tab/>
            <w:fldChar w:fldCharType="begin"/>
            <w:instrText xml:space="preserve"> PAGEREF _Toc238480044 \h </w:instrText>
            <w:fldChar w:fldCharType="separate"/>
            <w:t>52</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"_Toc238480045"</w:instrText>
          </w:r>
          <w:r>
            <w:rPr>
              <w:rStyle w:val="Hyperlink"/>
            </w:rPr>
            <w:instrText xml:space="preserve"> </w:instrText>
            <w:fldChar w:fldCharType="separate"/>
            <w:t xml:space="preserve">Group Policy Coexistence</w:t>
          </w:r>
          <w:r>
            <w:rPr>
              <w:webHidden/>
            </w:rPr>
            <w:tab/>
            <w:fldChar w:fldCharType="begin"/>
            <w:instrText xml:space="preserve"> PAGEREF _Toc238480045 \h </w:instrText>
            <w:fldChar w:fldCharType="separate"/>
            <w:t>52</w:t>
            <w:fldChar w:fldCharType="end"/>
          </w:r>
          <w:r>
            <w:rPr>
              <w:rStyle w:val="Hyperlink"/>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"_Toc238470010"</w:instrText>
          </w:r>
          <w:r>
            <w:rPr>
              <w:rStyle w:val="Hyperlink"/>
              <w:noProof/>
            </w:rPr>
            <w:instrText xml:space="preserve"> </w:instrText>
            <w:fldChar w:fldCharType="separate"/>
            <w:t xml:space="preserve">Migration Design</w:t>
          </w:r>
          <w:r>
            <w:rPr>
              <w:noProof/>
              <w:webHidden/>
            </w:rPr>
            <w:tab/>
            <w:fldChar w:fldCharType="begin"/>
            <w:instrText xml:space="preserve"> PAGEREF _Toc238470010 \h </w:instrText>
            <w:fldChar w:fldCharType="separate"/>
            <w:t>53</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"_Toc238470011"</w:instrText>
          </w:r>
          <w:r>
            <w:rPr>
              <w:rStyle w:val="Hyperlink"/>
              <w:noProof/>
            </w:rPr>
            <w:instrText xml:space="preserve"> </w:instrText>
            <w:fldChar w:fldCharType="separate"/>
            <w:t xml:space="preserve">M365 Migration - AvePoint Fly</w:t>
          </w:r>
          <w:r>
            <w:rPr>
              <w:noProof/>
              <w:webHidden/>
            </w:rPr>
            <w:tab/>
            <w:fldChar w:fldCharType="begin"/>
            <w:instrText xml:space="preserve"> PAGEREF _Toc238470011 \h </w:instrText>
            <w:fldChar w:fldCharType="separate"/>
            <w:t>53</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"_Toc238480046"</w:instrText>
          </w:r>
          <w:r>
            <w:rPr>
              <w:rStyle w:val="Hyperlink"/>
            </w:rPr>
            <w:instrText xml:space="preserve"> </w:instrText>
            <w:fldChar w:fldCharType="separate"/>
            <w:t xml:space="preserve">Migration Scope and Prerequisites</w:t>
          </w:r>
          <w:r>
            <w:rPr>
              <w:webHidden/>
            </w:rPr>
            <w:tab/>
            <w:fldChar w:fldCharType="begin"/>
            <w:instrText xml:space="preserve"> PAGEREF _Toc238480046 \h </w:instrText>
            <w:fldChar w:fldCharType="separate"/>
            <w:t>53</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"_Toc238470012"</w:instrText>
          </w:r>
          <w:r>
            <w:rPr>
              <w:rStyle w:val="Hyperlink"/>
            </w:rPr>
            <w:instrText xml:space="preserve"> </w:instrText>
            <w:fldChar w:fldCharType="separate"/>
            <w:t xml:space="preserve">Email</w:t>
          </w:r>
          <w:r>
            <w:rPr>
              <w:webHidden/>
            </w:rPr>
            <w:tab/>
            <w:fldChar w:fldCharType="begin"/>
            <w:instrText xml:space="preserve"> PAGEREF _Toc238470012 \h </w:instrText>
            <w:fldChar w:fldCharType="separate"/>
            <w:t>54</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"_Toc238470013"</w:instrText>
          </w:r>
          <w:r>
            <w:rPr>
              <w:rStyle w:val="Hyperlink"/>
            </w:rPr>
            <w:instrText xml:space="preserve"> </w:instrText>
            <w:fldChar w:fldCharType="separate"/>
            <w:t xml:space="preserve">SharePoint</w:t>
          </w:r>
          <w:r>
            <w:rPr>
              <w:webHidden/>
            </w:rPr>
            <w:tab/>
            <w:fldChar w:fldCharType="begin"/>
            <w:instrText xml:space="preserve"> PAGEREF _Toc238470013 \h </w:instrText>
            <w:fldChar w:fldCharType="separate"/>
            <w:t>54</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"_Toc238470014"</w:instrText>
          </w:r>
          <w:r>
            <w:rPr>
              <w:rStyle w:val="Hyperlink"/>
            </w:rPr>
            <w:instrText xml:space="preserve"> </w:instrText>
            <w:fldChar w:fldCharType="separate"/>
            <w:t xml:space="preserve">OneDrive</w:t>
          </w:r>
          <w:r>
            <w:rPr>
              <w:webHidden/>
            </w:rPr>
            <w:tab/>
            <w:fldChar w:fldCharType="begin"/>
            <w:instrText xml:space="preserve"> PAGEREF _Toc238470014 \h </w:instrText>
            <w:fldChar w:fldCharType="separate"/>
            <w:t>55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"_Toc238470015"</w:instrText>
          </w:r>
          <w:r>
            <w:rPr>
              <w:rStyle w:val="Hyperlink"/>
            </w:rPr>
            <w:instrText xml:space="preserve"> </w:instrText>
            <w:fldChar w:fldCharType="separate"/>
            <w:t xml:space="preserve">Teams</w:t>
          </w:r>
          <w:r>
            <w:rPr>
              <w:webHidden/>
            </w:rPr>
            <w:tab/>
            <w:fldChar w:fldCharType="begin"/>
            <w:instrText xml:space="preserve"> PAGEREF _Toc238470015 \h </w:instrText>
            <w:fldChar w:fldCharType="separate"/>
            <w:t>55</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"_Toc238470016"</w:instrText>
          </w:r>
          <w:r>
            <w:rPr>
              <w:rStyle w:val="Hyperlink"/>
            </w:rPr>
            <w:instrText xml:space="preserve"> </w:instrText>
            <w:fldChar w:fldCharType="separate"/>
            <w:t xml:space="preserve">Constraints</w:t>
          </w:r>
          <w:r>
            <w:rPr>
              <w:webHidden/>
            </w:rPr>
            <w:tab/>
            <w:fldChar w:fldCharType="begin"/>
            <w:instrText xml:space="preserve"> PAGEREF _Toc238470016 \h </w:instrText>
            <w:fldChar w:fldCharType="separate"/>
            <w:t>56</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"_Toc238470017"</w:instrText>
          </w:r>
          <w:r>
            <w:rPr>
              <w:rStyle w:val="Hyperlink"/>
            </w:rPr>
            <w:instrText xml:space="preserve"> </w:instrText>
            <w:fldChar w:fldCharType="separate"/>
            <w:t xml:space="preserve">Approach – Prestage</w:t>
          </w:r>
          <w:r>
            <w:rPr>
              <w:webHidden/>
            </w:rPr>
            <w:tab/>
            <w:fldChar w:fldCharType="begin"/>
            <w:instrText xml:space="preserve"> PAGEREF _Toc238470017 \h </w:instrText>
            <w:fldChar w:fldCharType="separate"/>
            <w:t>56</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"_Toc238480047"</w:instrText>
          </w:r>
          <w:r>
            <w:rPr>
              <w:rStyle w:val="Hyperlink"/>
              <w:noProof/>
            </w:rPr>
            <w:instrText xml:space="preserve"> </w:instrText>
            <w:fldChar w:fldCharType="separate"/>
            <w:t xml:space="preserve">Device Migration – ForensIT User Profile Wizard</w:t>
          </w:r>
          <w:r>
            <w:rPr>
              <w:noProof/>
              <w:webHidden/>
            </w:rPr>
            <w:tab/>
            <w:fldChar w:fldCharType="begin"/>
            <w:instrText xml:space="preserve"> PAGEREF _Toc238480047 \h </w:instrText>
            <w:fldChar w:fldCharType="separate"/>
            <w:t>56</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"_Toc238471043"</w:instrText>
          </w:r>
          <w:r>
            <w:rPr>
              <w:rStyle w:val="Hyperlink"/>
              <w:noProof/>
            </w:rPr>
            <w:instrText xml:space="preserve"> </w:instrText>
            <w:fldChar w:fldCharType="separate"/>
            <w:t xml:space="preserve">On-Premises Exchange Decommission</w:t>
          </w:r>
          <w:r>
            <w:rPr>
              <w:noProof/>
              <w:webHidden/>
            </w:rPr>
            <w:tab/>
            <w:fldChar w:fldCharType="begin"/>
            <w:instrText xml:space="preserve"> PAGEREF _Toc238471043 \h </w:instrText>
            <w:fldChar w:fldCharType="separate"/>
            <w:t>58</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"_Toc238480048"</w:instrText>
          </w:r>
          <w:r>
            <w:rPr>
              <w:rStyle w:val="Hyperlink"/>
            </w:rPr>
            <w:instrText xml:space="preserve"> </w:instrText>
            <w:fldChar w:fldCharType="separate"/>
            <w:t xml:space="preserve">Pre-Decommission Validation Gate</w:t>
          </w:r>
          <w:r>
            <w:rPr>
              <w:webHidden/>
            </w:rPr>
            <w:tab/>
            <w:fldChar w:fldCharType="begin"/>
            <w:instrText xml:space="preserve"> PAGEREF _Toc238480048 \h </w:instrText>
            <w:fldChar w:fldCharType="separate"/>
            <w:t>58</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"_Toc238471045"</w:instrText>
          </w:r>
          <w:r>
            <w:rPr>
              <w:rStyle w:val="Hyperlink"/>
            </w:rPr>
            <w:instrText xml:space="preserve"> </w:instrText>
            <w:fldChar w:fldCharType="separate"/>
            <w:t xml:space="preserve">Mail Flow Cutover</w:t>
          </w:r>
          <w:r>
            <w:rPr>
              <w:webHidden/>
            </w:rPr>
            <w:tab/>
            <w:fldChar w:fldCharType="begin"/>
            <w:instrText xml:space="preserve"> PAGEREF _Toc238471045 \h </w:instrText>
            <w:fldChar w:fldCharType="separate"/>
            <w:t>59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"_Toc238471046"</w:instrText>
          </w:r>
          <w:r>
            <w:rPr>
              <w:rStyle w:val="Hyperlink"/>
            </w:rPr>
            <w:instrText xml:space="preserve"> </w:instrText>
            <w:fldChar w:fldCharType="separate"/>
            <w:t xml:space="preserve">Hybrid Configuration and Directory Services</w:t>
          </w:r>
          <w:r>
            <w:rPr>
              <w:webHidden/>
            </w:rPr>
            <w:tab/>
            <w:fldChar w:fldCharType="begin"/>
            <w:instrText xml:space="preserve"> PAGEREF _Toc238471046 \h </w:instrText>
            <w:fldChar w:fldCharType="separate"/>
            <w:t>59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"_Toc238480049"</w:instrText>
          </w:r>
          <w:r>
            <w:rPr>
              <w:rStyle w:val="Hyperlink"/>
            </w:rPr>
            <w:instrText xml:space="preserve"> </w:instrText>
            <w:fldChar w:fldCharType="separate"/>
            <w:t xml:space="preserve">Monitored Hold and Server Removal</w:t>
          </w:r>
          <w:r>
            <w:rPr>
              <w:webHidden/>
            </w:rPr>
            <w:tab/>
            <w:fldChar w:fldCharType="begin"/>
            <w:instrText xml:space="preserve"> PAGEREF _Toc238480049 \h </w:instrText>
            <w:fldChar w:fldCharType="separate"/>
            <w:t>59</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"_Toc238471048"</w:instrText>
          </w:r>
          <w:r>
            <w:rPr>
              <w:rStyle w:val="Hyperlink"/>
            </w:rPr>
            <w:instrText xml:space="preserve"> </w:instrText>
            <w:fldChar w:fldCharType="separate"/>
            <w:t xml:space="preserve">Post-Decommission Validation</w:t>
          </w:r>
          <w:r>
            <w:rPr>
              <w:webHidden/>
            </w:rPr>
            <w:tab/>
            <w:fldChar w:fldCharType="begin"/>
            <w:instrText xml:space="preserve"> PAGEREF _Toc238471048 \h </w:instrText>
            <w:fldChar w:fldCharType="separate"/>
            <w:t>60</w:t>
            <w:fldChar w:fldCharType="end"/>
          </w:r>
          <w:r>
            <w:rPr>
              <w:rStyle w:val="Hyperlink"/>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"_Toc238480050"</w:instrText>
          </w:r>
          <w:r>
            <w:rPr>
              <w:rStyle w:val="Hyperlink"/>
            </w:rPr>
            <w:instrText xml:space="preserve"> </w:instrText>
            <w:fldChar w:fldCharType="separate"/>
            <w:t xml:space="preserve">Rollback Posture</w:t>
          </w:r>
          <w:r>
            <w:rPr>
              <w:webHidden/>
            </w:rPr>
            <w:tab/>
            <w:fldChar w:fldCharType="begin"/>
            <w:instrText xml:space="preserve"> PAGEREF _Toc238480050 \h </w:instrText>
            <w:fldChar w:fldCharType="separate"/>
            <w:t>60</w:t>
            <w:fldChar w:fldCharType="end"/>
          </w:r>
          <w:r>
            <w:rPr>
              <w:rStyle w:val="Hyperlink"/>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"_Toc238470019"</w:instrText>
          </w:r>
          <w:r>
            <w:rPr>
              <w:rStyle w:val="Hyperlink"/>
              <w:noProof/>
            </w:rPr>
            <w:instrText xml:space="preserve"> </w:instrText>
            <w:fldChar w:fldCharType="separate"/>
            <w:t xml:space="preserve">Schedule</w:t>
          </w:r>
          <w:r>
            <w:rPr>
              <w:noProof/>
              <w:webHidden/>
            </w:rPr>
            <w:tab/>
            <w:fldChar w:fldCharType="begin"/>
            <w:instrText xml:space="preserve"> PAGEREF _Toc238470019 \h </w:instrText>
            <w:fldChar w:fldCharType="separate"/>
            <w:t>60</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"_Toc238470020"</w:instrText>
          </w:r>
          <w:r>
            <w:rPr>
              <w:rStyle w:val="Hyperlink"/>
              <w:noProof/>
            </w:rPr>
            <w:instrText xml:space="preserve"> </w:instrText>
            <w:fldChar w:fldCharType="separate"/>
            <w:t xml:space="preserve">Communications</w:t>
          </w:r>
          <w:r>
            <w:rPr>
              <w:noProof/>
              <w:webHidden/>
            </w:rPr>
            <w:tab/>
            <w:fldChar w:fldCharType="begin"/>
            <w:instrText xml:space="preserve"> PAGEREF _Toc238470020 \h </w:instrText>
            <w:fldChar w:fldCharType="separate"/>
            <w:t>61</w:t>
            <w:fldChar w:fldCharType="end"/>
          </w:r>
          <w:r>
            <w:rPr>
              <w:rStyle w:val="Hyperlink"/>
              <w:noProof/>
            </w:rPr>
            <w:fldChar w:fldCharType="end"/>
          </w:r>
        </w:p>
        <w:p>
          <w:pPr>
            <w:pStyle w:val="TOC3"/>
            <w:rPr>
              <w:rFonts w:eastAsiaTheme="minorEastAsia"/>
              <w:color w:val="auto"/>
              <w:kern w:val="2"/>
              <w14:ligatures w14:val="standardContextual"/>
            </w:rPr>
          </w:pPr>
          <w:r>
            <w:rPr>
              <w:rStyle w:val="Hyperlink"/>
            </w:rPr>
            <w:fldChar w:fldCharType="begin"/>
            <w:instrText xml:space="preserve"> </w:instrText>
          </w:r>
          <w:r>
            <w:instrText>HYPERLINK \l "_Toc238480051"</w:instrText>
          </w:r>
          <w:r>
            <w:rPr>
              <w:rStyle w:val="Hyperlink"/>
            </w:rPr>
            <w:instrText xml:space="preserve"> </w:instrText>
            <w:fldChar w:fldCharType="separate"/>
            <w:t xml:space="preserve">Hypercare and Support</w:t>
          </w:r>
          <w:r>
            <w:rPr>
              <w:webHidden/>
            </w:rPr>
            <w:tab/>
            <w:fldChar w:fldCharType="begin"/>
            <w:instrText xml:space="preserve"> PAGEREF _Toc238480051 \h </w:instrText>
            <w:fldChar w:fldCharType="separate"/>
            <w:t>62</w:t>
            <w:fldChar w:fldCharType="end"/>
          </w:r>
          <w:r>
            <w:rPr>
              <w:rStyle w:val="Hyperlink"/>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"_Toc238470021"</w:instrText>
          </w:r>
          <w:r>
            <w:rPr>
              <w:rStyle w:val="Hyperlink"/>
              <w:noProof/>
            </w:rPr>
            <w:instrText xml:space="preserve"> </w:instrText>
            <w:fldChar w:fldCharType="separate"/>
            <w:t xml:space="preserve">Deployment Approach</w:t>
          </w:r>
          <w:r>
            <w:rPr>
              <w:noProof/>
              <w:webHidden/>
            </w:rPr>
            <w:tab/>
            <w:fldChar w:fldCharType="begin"/>
            <w:instrText xml:space="preserve"> PAGEREF _Toc238470021 \h </w:instrText>
            <w:fldChar w:fldCharType="separate"/>
            <w:t>63</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"_Toc238480052"</w:instrText>
          </w:r>
          <w:r>
            <w:rPr>
              <w:rStyle w:val="Hyperlink"/>
              <w:noProof/>
            </w:rPr>
            <w:instrText xml:space="preserve"> </w:instrText>
            <w:fldChar w:fldCharType="separate"/>
            <w:t xml:space="preserve">1. Identity &amp; Access Foundation</w:t>
          </w:r>
          <w:r>
            <w:rPr>
              <w:noProof/>
              <w:webHidden/>
            </w:rPr>
            <w:tab/>
            <w:fldChar w:fldCharType="begin"/>
            <w:instrText xml:space="preserve"> PAGEREF _Toc238480052 \h </w:instrText>
            <w:fldChar w:fldCharType="separate"/>
            <w:t>63</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"_Toc238480053"</w:instrText>
          </w:r>
          <w:r>
            <w:rPr>
              <w:rStyle w:val="Hyperlink"/>
              <w:noProof/>
            </w:rPr>
            <w:instrText xml:space="preserve"> </w:instrText>
            <w:fldChar w:fldCharType="separate"/>
            <w:t xml:space="preserve">2. Microsoft 365 Configuration</w:t>
          </w:r>
          <w:r>
            <w:rPr>
              <w:noProof/>
              <w:webHidden/>
            </w:rPr>
            <w:tab/>
            <w:fldChar w:fldCharType="begin"/>
            <w:instrText xml:space="preserve"> PAGEREF _Toc238480053 \h </w:instrText>
            <w:fldChar w:fldCharType="separate"/>
            <w:t>63</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"_Toc238480054"</w:instrText>
          </w:r>
          <w:r>
            <w:rPr>
              <w:rStyle w:val="Hyperlink"/>
              <w:noProof/>
            </w:rPr>
            <w:instrText xml:space="preserve"> </w:instrText>
            <w:fldChar w:fldCharType="separate"/>
            <w:t xml:space="preserve">3. Endpoint Management</w:t>
          </w:r>
          <w:r>
            <w:rPr>
              <w:noProof/>
              <w:webHidden/>
            </w:rPr>
            <w:tab/>
            <w:fldChar w:fldCharType="begin"/>
            <w:instrText xml:space="preserve"> PAGEREF _Toc238480054 \h </w:instrText>
            <w:fldChar w:fldCharType="separate"/>
            <w:t>64</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"_Toc238480055"</w:instrText>
          </w:r>
          <w:r>
            <w:rPr>
              <w:rStyle w:val="Hyperlink"/>
              <w:noProof/>
            </w:rPr>
            <w:instrText xml:space="preserve"> </w:instrText>
            <w:fldChar w:fldCharType="separate"/>
            <w:t xml:space="preserve">4. User &amp; Data Migration</w:t>
          </w:r>
          <w:r>
            <w:rPr>
              <w:noProof/>
              <w:webHidden/>
            </w:rPr>
            <w:tab/>
            <w:fldChar w:fldCharType="begin"/>
            <w:instrText xml:space="preserve"> PAGEREF _Toc238480055 \h </w:instrText>
            <w:fldChar w:fldCharType="separate"/>
            <w:t>65</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"_Toc238480056"</w:instrText>
          </w:r>
          <w:r>
            <w:rPr>
              <w:rStyle w:val="Hyperlink"/>
              <w:noProof/>
            </w:rPr>
            <w:instrText xml:space="preserve"> </w:instrText>
            <w:fldChar w:fldCharType="separate"/>
            <w:t xml:space="preserve">5. Device Migration</w:t>
          </w:r>
          <w:r>
            <w:rPr>
              <w:noProof/>
              <w:webHidden/>
            </w:rPr>
            <w:tab/>
            <w:fldChar w:fldCharType="begin"/>
            <w:instrText xml:space="preserve"> PAGEREF _Toc238480056 \h </w:instrText>
            <w:fldChar w:fldCharType="separate"/>
            <w:t>65</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"_Toc238480057"</w:instrText>
          </w:r>
          <w:r>
            <w:rPr>
              <w:rStyle w:val="Hyperlink"/>
              <w:noProof/>
            </w:rPr>
            <w:instrText xml:space="preserve"> </w:instrText>
            <w:fldChar w:fldCharType="separate"/>
            <w:t xml:space="preserve">6. CallTower Integration</w:t>
          </w:r>
          <w:r>
            <w:rPr>
              <w:noProof/>
              <w:webHidden/>
            </w:rPr>
            <w:tab/>
            <w:fldChar w:fldCharType="begin"/>
            <w:instrText xml:space="preserve"> PAGEREF _Toc238480057 \h </w:instrText>
            <w:fldChar w:fldCharType="separate"/>
            <w:t>66</w:t>
            <w:fldChar w:fldCharType="end"/>
          </w:r>
          <w:r>
            <w:rPr>
              <w:rStyle w:val="Hyperlink"/>
              <w:noProof/>
            </w:rPr>
            <w:fldChar w:fldCharType="end"/>
          </w:r>
        </w:p>
        <w:p>
          <w:pPr>
            <w:pStyle w:val="TOC2"/>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"_Toc238480058"</w:instrText>
          </w:r>
          <w:r>
            <w:rPr>
              <w:rStyle w:val="Hyperlink"/>
              <w:noProof/>
            </w:rPr>
            <w:instrText xml:space="preserve"> </w:instrText>
            <w:fldChar w:fldCharType="separate"/>
            <w:t xml:space="preserve">7. Exchange Decommission</w:t>
          </w:r>
          <w:r>
            <w:rPr>
              <w:noProof/>
              <w:webHidden/>
            </w:rPr>
            <w:tab/>
            <w:fldChar w:fldCharType="begin"/>
            <w:instrText xml:space="preserve"> PAGEREF _Toc238480058 \h </w:instrText>
            <w:fldChar w:fldCharType="separate"/>
            <w:t>66</w:t>
            <w:fldChar w:fldCharType="end"/>
          </w:r>
          <w:r>
            <w:rPr>
              <w:rStyle w:val="Hyperlink"/>
              <w:noProof/>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"_Toc238470026"</w:instrText>
          </w:r>
          <w:r>
            <w:rPr>
              <w:rStyle w:val="Hyperlink"/>
              <w:noProof/>
            </w:rPr>
            <w:instrText xml:space="preserve"> </w:instrText>
            <w:fldChar w:fldCharType="separate"/>
            <w:t xml:space="preserve">Appendix A – Password Policy Matrix</w:t>
          </w:r>
          <w:r>
            <w:rPr>
              <w:noProof/>
              <w:webHidden/>
            </w:rPr>
            <w:tab/>
            <w:fldChar w:fldCharType="begin"/>
            <w:instrText xml:space="preserve"> PAGEREF _Toc238470026 \h </w:instrText>
            <w:fldChar w:fldCharType="separate"/>
            <w:t>68</w:t>
            <w:fldChar w:fldCharType="end"/>
          </w:r>
          <w:r>
            <w:rPr>
              <w:rStyle w:val="Hyperlink"/>
              <w:noProof/>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"_Toc238470027"</w:instrText>
          </w:r>
          <w:r>
            <w:rPr>
              <w:rStyle w:val="Hyperlink"/>
              <w:noProof/>
            </w:rPr>
            <w:instrText xml:space="preserve"> </w:instrText>
            <w:fldChar w:fldCharType="separate"/>
            <w:t xml:space="preserve">Appendix B - Terms of Use &amp; CUI Warning</w:t>
          </w:r>
          <w:r>
            <w:rPr>
              <w:noProof/>
              <w:webHidden/>
            </w:rPr>
            <w:tab/>
            <w:fldChar w:fldCharType="begin"/>
            <w:instrText xml:space="preserve"> PAGEREF _Toc238470027 \h </w:instrText>
            <w:fldChar w:fldCharType="separate"/>
            <w:t>70</w:t>
            <w:fldChar w:fldCharType="end"/>
          </w:r>
          <w:r>
            <w:rPr>
              <w:rStyle w:val="Hyperlink"/>
              <w:noProof/>
            </w:rPr>
            <w:fldChar w:fldCharType="end"/>
          </w:r>
        </w:p>
        <w:p>
          <w:pPr>
            <w:pStyle w:val="TOC1"/>
            <w:tabs>
              <w:tab w:val="right" w:leader="dot" w:pos="10070"/>
            </w:tabs>
            <w:rPr>
              <w:rFonts w:eastAsiaTheme="minorEastAsia"/>
              <w:noProof/>
              <w:color w:val="auto"/>
              <w:kern w:val="2"/>
              <w:sz w:val="24"/>
              <w:szCs w:val="24"/>
              <w14:ligatures w14:val="standardContextual"/>
            </w:rPr>
          </w:pPr>
          <w:r>
            <w:rPr>
              <w:rStyle w:val="Hyperlink"/>
              <w:noProof/>
            </w:rPr>
            <w:fldChar w:fldCharType="begin"/>
            <w:instrText xml:space="preserve"> </w:instrText>
          </w:r>
          <w:r>
            <w:rPr>
              <w:noProof/>
            </w:rPr>
            <w:instrText>HYPERLINK \l "_Toc238470028"</w:instrText>
          </w:r>
          <w:r>
            <w:rPr>
              <w:rStyle w:val="Hyperlink"/>
              <w:noProof/>
            </w:rPr>
            <w:instrText xml:space="preserve"> </w:instrText>
            <w:fldChar w:fldCharType="separate"/>
            <w:t xml:space="preserve">Change Log</w:t>
          </w:r>
          <w:r>
            <w:rPr>
              <w:noProof/>
              <w:webHidden/>
            </w:rPr>
            <w:tab/>
            <w:fldChar w:fldCharType="begin"/>
            <w:instrText xml:space="preserve"> PAGEREF _Toc238470028 \h </w:instrText>
            <w:fldChar w:fldCharType="separate"/>
            <w:t>71</w:t>
            <w:fldChar w:fldCharType="end"/>
          </w:r>
          <w:r>
            <w:rPr>
              <w:rStyle w:val="Hyperlink"/>
              <w:noProof/>
            </w:rPr>
            <w:fldChar w:fldCharType="end"/>
          </w:r>
        </w:p>
        <w:p>
          <w:r>
            <w:rPr>
              <w:b/>
              <w:bCs/>
              <w:noProof/>
            </w:rPr>
            <w:fldChar w:fldCharType="end"/>
          </w:r>
        </w:p>
      </w:sdtContent>
    </w:sdt>
    <w:p w14:paraId="30946C48" w14:textId="77777777" w:rsidR="007A6DAD" w:rsidRDefault="007A6DAD">
      <w:r>
        <w:br w:type="page"/>
      </w:r>
    </w:p>
    <w:p w14:paraId="490AC46C" w14:textId="77777777" w:rsidR="009D700C" w:rsidRPr="00391322" w:rsidRDefault="009D700C" w:rsidP="00C766B0">
      <w:pPr>
        <w:pStyle w:val="Heading1"/>
      </w:pPr>
      <w:bookmarkStart w:id="593" w:name="_Toc238469942"/>
      <w:r>
        <w:lastRenderedPageBreak/>
        <w:t>Overview</w:t>
      </w:r>
      <w:bookmarkEnd w:id="593"/>
    </w:p>
    <w:p>
      <w:pPr>
        <w:pStyle w:val="BodyText"/>
      </w:pPr>
      <w:r>
        <w:t xml:space="preserve">Wisconsin Metal Parts (WMP) is migrating from Microsoft 365 Commercial to Microsoft 365 GCC High in support of CMMC 2.0 Level 2 compliance. This document defines the design for that migration and for the services that will operate in the new environment:</w:t>
      </w:r>
    </w:p>
    <w:p>
      <w:pPr>
        <w:pStyle w:val="ListTA"/>
      </w:pPr>
      <w:r>
        <w:t xml:space="preserve">Microsoft 365 GCC High tenant initialization, licensing, baseline security, and workload configuration (Exchange Online, SharePoint Online, OneDrive, Teams).</w:t>
      </w:r>
    </w:p>
    <w:p>
      <w:pPr>
        <w:pStyle w:val="ListTA"/>
      </w:pPr>
      <w:r>
        <w:t xml:space="preserve">Hybrid identity, with Entra ID Connect re-pointed to the GCC High tenant and on-premises Active Directory retained.</w:t>
      </w:r>
    </w:p>
    <w:p>
      <w:pPr>
        <w:pStyle w:val="ListTA"/>
      </w:pPr>
      <w:r>
        <w:t xml:space="preserve">Information protection for Controlled Unclassified Information (CUI): sensitivity labeling and data loss prevention.</w:t>
      </w:r>
    </w:p>
    <w:p>
      <w:pPr>
        <w:pStyle w:val="ListTA"/>
      </w:pPr>
      <w:r>
        <w:t xml:space="preserve">Teams Phone service delivered through CallTower Direct Routing.</w:t>
      </w:r>
    </w:p>
    <w:p>
      <w:pPr>
        <w:pStyle w:val="ListTA"/>
      </w:pPr>
      <w:r>
        <w:t xml:space="preserve">Endpoint management with Microsoft Intune: Windows endpoints under joint Group Policy and Intune management, and corporate-owned iOS and Android devices.</w:t>
      </w:r>
    </w:p>
    <w:p>
      <w:pPr>
        <w:pStyle w:val="ListTA"/>
      </w:pPr>
      <w:r>
        <w:t xml:space="preserve">Migration of mail, files, and collaboration data from the commercial tenant using AvePoint Fly, and conversion of Windows devices to the new tenant.</w:t>
      </w:r>
    </w:p>
    <w:p>
      <w:pPr>
        <w:pStyle w:val="ListTA"/>
      </w:pPr>
      <w:r>
        <w:t xml:space="preserve">Decommission of the residual on-premises Exchange hybrid configuration and the Exchange 2016 management server.</w:t>
      </w:r>
    </w:p>
    <w:p>
      <w:pPr>
        <w:pStyle w:val="ListTA"/>
      </w:pPr>
      <w:r>
        <w:t xml:space="preserve">The phased deployment approach for executing the work.</w:t>
      </w:r>
    </w:p>
    <w:p w14:paraId="661D29AB" w14:textId="77777777" w:rsidR="00AA0703" w:rsidRPr="00AA0703" w:rsidRDefault="00AA0703" w:rsidP="00DB13F8">
      <w:pPr>
        <w:pStyle w:val="Heading1"/>
      </w:pPr>
      <w:bookmarkStart w:id="610" w:name="_Toc222995590"/>
      <w:bookmarkStart w:id="611" w:name="_Toc238469943"/>
      <w:r>
        <w:t>Purpose</w:t>
      </w:r>
      <w:bookmarkEnd w:id="610"/>
      <w:bookmarkEnd w:id="611"/>
    </w:p>
    <w:p w14:paraId="07D4736B" w14:textId="5648CA3D" w:rsidR="00AA0703" w:rsidRPr="00C87038" w:rsidRDefault="00AA0703" w:rsidP="00644A8A">
      <w:pPr>
        <w:pStyle w:val="BodyText"/>
      </w:pPr>
      <w:r>
        <w:t xml:space="preserve">This is the baseline design for the new solutions. Decisions and approaches here are based on requirements and input provided by </w:t>
      </w:r>
      <w:sdt>
        <w:sdtPr>
          <w:alias w:val="Client Abbreviation"/>
          <w:tag w:val=""/>
          <w:id w:val="977940787"/>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and may be adjusted in the future. </w:t>
      </w:r>
    </w:p>
    <w:p w14:paraId="7C5C91BB" w14:textId="77777777" w:rsidR="00AA0703" w:rsidRDefault="00AA0703" w:rsidP="00DB13F8">
      <w:pPr>
        <w:pStyle w:val="Heading1"/>
      </w:pPr>
      <w:bookmarkStart w:id="619" w:name="_Toc222995591"/>
      <w:bookmarkStart w:id="620" w:name="_Toc238469944"/>
      <w:r>
        <w:t>Scope</w:t>
      </w:r>
      <w:bookmarkEnd w:id="619"/>
      <w:bookmarkEnd w:id="620"/>
    </w:p>
    <w:p>
      <w:pPr>
        <w:pStyle w:val="BodyText"/>
      </w:pPr>
      <w:r>
        <w:t xml:space="preserve">This design covers the Microsoft 365 GCC High tenant and the workstreams required to stand it up, migrate WMP into it, and hand it over. Anything not listed as in scope below is outside this engagement and remains WMP’s responsibility.</w:t>
      </w:r>
    </w:p>
    <w:p>
      <w:pPr>
        <w:pStyle w:val="BodyText"/>
      </w:pPr>
      <w:r>
        <w:rPr>
          <w:b/>
          <w:bCs/>
        </w:rPr>
        <w:t xml:space="preserve">In Scope</w:t>
      </w:r>
    </w:p>
    <w:p>
      <w:pPr>
        <w:pStyle w:val="ListTA"/>
      </w:pPr>
      <w:r>
        <w:t xml:space="preserve">Microsoft 365 GCC High tenant creation, initialization, and license assignment.</w:t>
      </w:r>
    </w:p>
    <w:p>
      <w:pPr>
        <w:pStyle w:val="ListTA"/>
      </w:pPr>
      <w:r>
        <w:t xml:space="preserve">Baseline security configuration: authentication methods, Conditional Access, Privileged Identity Management, named locations, and Terms of Use.</w:t>
      </w:r>
    </w:p>
    <w:p>
      <w:pPr>
        <w:pStyle w:val="ListTA"/>
      </w:pPr>
      <w:r>
        <w:t xml:space="preserve">Hybrid identity: re-pointing Entra ID Connect from the commercial tenant to GCC High, password hash synchronization, and hybrid device join.</w:t>
      </w:r>
    </w:p>
    <w:p>
      <w:pPr>
        <w:pStyle w:val="ListTA"/>
      </w:pPr>
      <w:r>
        <w:t xml:space="preserve">Workload configuration: Exchange Online, SharePoint Online, OneDrive, and Microsoft Teams.</w:t>
      </w:r>
    </w:p>
    <w:p>
      <w:pPr>
        <w:pStyle w:val="ListTA"/>
      </w:pPr>
      <w:r>
        <w:t xml:space="preserve">Information protection for CUI: a single CUI sensitivity label, data loss prevention across Exchange, Teams, SharePoint, and OneDrive, and Endpoint DLP.</w:t>
      </w:r>
    </w:p>
    <w:p>
      <w:pPr>
        <w:pStyle w:val="ListTA"/>
      </w:pPr>
      <w:r>
        <w:t xml:space="preserve">Teams Phone through CallTower Direct Routing, including tenant-side voice configuration and validation.</w:t>
      </w:r>
    </w:p>
    <w:p>
      <w:pPr>
        <w:pStyle w:val="ListTA"/>
      </w:pPr>
      <w:r>
        <w:t xml:space="preserve">Endpoint management with Microsoft Intune: Windows security baselines, encryption, compliance, application control, and local administrator control; corporate-owned iOS and Android device management.</w:t>
      </w:r>
    </w:p>
    <w:p>
      <w:pPr>
        <w:pStyle w:val="ListTA"/>
      </w:pPr>
      <w:r>
        <w:t xml:space="preserve">Migration of mail, OneDrive, SharePoint, and Teams content from the Microsoft 365 Commercial tenant using AvePoint Fly, including ingestion of existing PST archives.</w:t>
      </w:r>
    </w:p>
    <w:p>
      <w:pPr>
        <w:pStyle w:val="ListTA"/>
      </w:pPr>
      <w:r>
        <w:t xml:space="preserve">Conversion of Windows devices to the GCC High tenant using ForensIT User Profile Wizard.</w:t>
      </w:r>
    </w:p>
    <w:p>
      <w:pPr>
        <w:pStyle w:val="ListTA"/>
      </w:pPr>
      <w:r>
        <w:t xml:space="preserve">Decommission of the residual on-premises Exchange hybrid configuration and the Exchange 2016 management server.</w:t>
      </w:r>
    </w:p>
    <w:p>
      <w:pPr>
        <w:pStyle w:val="ListTA"/>
      </w:pPr>
      <w:r>
        <w:t xml:space="preserve">Documentation: this Solution Design Document and the Configuration Document delivered at handoff.</w:t>
      </w:r>
    </w:p>
    <w:p>
      <w:pPr>
        <w:pStyle w:val="BodyText"/>
      </w:pPr>
      <w:r>
        <w:rPr>
          <w:b/>
          <w:bCs/>
        </w:rPr>
        <w:t xml:space="preserve">Out of Scope</w:t>
      </w:r>
    </w:p>
    <w:p>
      <w:pPr>
        <w:pStyle w:val="ListTA"/>
      </w:pPr>
      <w:commentRangeStart w:id="2095"/>
      <w:r>
        <w:rPr>
          <w:b/>
          <w:bCs/>
        </w:rPr>
        <w:t xml:space="preserve">Azure infrastructure.</w:t>
      </w:r>
      <w:r>
        <w:t xml:space="preserve"> No Azure design, build, or management work is performed. WMP holds an Azure subscription, and the Epicor ERP environment in Azure Government is owned and managed by Epicor; neither is administered under this engagement.</w:t>
      </w:r>
      <w:commentRangeEnd w:id="2095"/>
      <w:r>
        <w:rPr>
          <w:rStyle w:val="CommentReference"/>
        </w:rPr>
        <w:commentReference w:id="2095"/>
      </w:r>
    </w:p>
    <w:p>
      <w:pPr>
        <w:pStyle w:val="ListTA"/>
      </w:pPr>
      <w:r>
        <w:rPr>
          <w:b/>
          <w:bCs/>
        </w:rPr>
        <w:t xml:space="preserve">On-premises file server migration.</w:t>
      </w:r>
      <w:r>
        <w:t xml:space="preserve"> WMP’s three file servers (reducing to two, approximately 7 TB across standard UNC paths) remain on premises and are not migrated to Microsoft 365.</w:t>
      </w:r>
    </w:p>
    <w:p>
      <w:pPr>
        <w:pStyle w:val="ListTA"/>
      </w:pPr>
      <w:r>
        <w:rPr>
          <w:b/>
          <w:bCs/>
        </w:rPr>
        <w:t xml:space="preserve">Microsoft 365 backup.</w:t>
      </w:r>
      <w:r>
        <w:t xml:space="preserve"> Native retention, versioning, and recycle bins are accepted as the recovery position. WMP’s evaluation of a replacement for ArcServe, which does not support GCC High, is run by WMP.</w:t>
      </w:r>
    </w:p>
    <w:p>
      <w:pPr>
        <w:pStyle w:val="ListTA"/>
      </w:pPr>
      <w:r>
        <w:rPr>
          <w:b/>
          <w:bCs/>
        </w:rPr>
        <w:t xml:space="preserve">Organization-wide retention and disposition design.</w:t>
      </w:r>
      <w:r>
        <w:t xml:space="preserve"> The per-workload settings recorded in this document stand; no records-management program is designed.</w:t>
      </w:r>
    </w:p>
    <w:p>
      <w:pPr>
        <w:pStyle w:val="ListTA"/>
      </w:pPr>
      <w:r>
        <w:rPr>
          <w:b/>
          <w:bCs/>
        </w:rPr>
        <w:t xml:space="preserve">CMMC boundary definition, control mapping, and evidence.</w:t>
      </w:r>
      <w:r>
        <w:t xml:space="preserve"> Essendis configures the applicable Microsoft 365 settings using its own approach and judgment. Assessment boundary definition, traceability to NIST SP 800-171 practices, and the evidence package are owned by WMP’s Registered Provider Organization (Bound Planet).</w:t>
      </w:r>
    </w:p>
    <w:p>
      <w:pPr>
        <w:pStyle w:val="ListTA"/>
      </w:pPr>
      <w:r>
        <w:rPr>
          <w:b/>
          <w:bCs/>
        </w:rPr>
        <w:t xml:space="preserve">DFARS 252.204-7012 incident response operations</w:t>
      </w:r>
      <w:r>
        <w:t xml:space="preserve">, including incident reporting obligations and the associated procedures.</w:t>
      </w:r>
    </w:p>
    <w:p>
      <w:pPr>
        <w:pStyle w:val="ListTA"/>
      </w:pPr>
      <w:r>
        <w:rPr>
          <w:b/>
          <w:bCs/>
        </w:rPr>
        <w:t xml:space="preserve">Vendor shared responsibility matrices</w:t>
      </w:r>
      <w:r>
        <w:t xml:space="preserve"> other than CallTower’s. AvePoint does not handle CUI; no flow-down collection is performed.</w:t>
      </w:r>
    </w:p>
    <w:p>
      <w:pPr>
        <w:pStyle w:val="ListTA"/>
      </w:pPr>
      <w:r>
        <w:rPr>
          <w:b/>
          <w:bCs/>
        </w:rPr>
        <w:t xml:space="preserve">Monitoring, alerting, log review, operations, and support design.</w:t>
      </w:r>
      <w:r>
        <w:t xml:space="preserve"> These are WMP-owned. WMP’s SIEM platform, Arctic Wolf, will require visibility into the GCC High environment; that integration is planned and delivered by WMP.</w:t>
      </w:r>
    </w:p>
    <w:p>
      <w:pPr>
        <w:pStyle w:val="ListTA"/>
      </w:pPr>
      <w:r>
        <w:rPr>
          <w:b/>
          <w:bCs/>
        </w:rPr>
        <w:t xml:space="preserve">End-user training</w:t>
      </w:r>
      <w:r>
        <w:t xml:space="preserve">, including CUI labeling training, which is WMP’s responsibility.</w:t>
      </w:r>
    </w:p>
    <w:p>
      <w:pPr>
        <w:pStyle w:val="ListTA"/>
      </w:pPr>
      <w:r>
        <w:rPr>
          <w:b/>
          <w:bCs/>
        </w:rPr>
        <w:t xml:space="preserve">Diagrams.</w:t>
      </w:r>
      <w:r>
        <w:t xml:space="preserve"> No architecture or process diagrams are produced as part of this design.</w:t>
      </w:r>
    </w:p>
    <w:p>
      <w:pPr>
        <w:pStyle w:val="ListTA"/>
      </w:pPr>
      <w:r>
        <w:rPr>
          <w:b/>
          <w:bCs/>
        </w:rPr>
        <w:t xml:space="preserve">Device refresh and retirement.</w:t>
      </w:r>
      <w:r>
        <w:t xml:space="preserve"> Hardware lifecycle planning and device disposal are not part of this engagement.</w:t>
      </w:r>
    </w:p>
    <w:p>
      <w:pPr>
        <w:pStyle w:val="ListTA"/>
      </w:pPr>
      <w:r>
        <w:rPr>
          <w:b/>
          <w:bCs/>
        </w:rPr>
        <w:t xml:space="preserve">Servers.</w:t>
      </w:r>
      <w:r>
        <w:t xml:space="preserve"> Windows servers are excluded from Intune management and from Microsoft Defender for Endpoint onboarding.</w:t>
      </w:r>
    </w:p>
    <w:p>
      <w:pPr>
        <w:pStyle w:val="ListTA"/>
      </w:pPr>
      <w:r>
        <w:rPr>
          <w:b/>
          <w:bCs/>
        </w:rPr>
        <w:t xml:space="preserve">Active Directory retirement.</w:t>
      </w:r>
      <w:r>
        <w:t xml:space="preserve"> On-premises Active Directory is retained (see Hybrid Identity and Device Join); no retirement plan is produced.</w:t>
      </w:r>
    </w:p>
    <w:p>
      <w:pPr>
        <w:pStyle w:val="ListTA"/>
      </w:pPr>
      <w:r>
        <w:rPr>
          <w:b/>
          <w:bCs/>
        </w:rPr>
        <w:t xml:space="preserve">Commercial tenant decommission.</w:t>
      </w:r>
      <w:r>
        <w:t xml:space="preserve"> Entra ID Connect is disabled against the commercial tenant at cutover; full decommission of that tenant is performed by WMP afterwards.</w:t>
      </w:r>
    </w:p>
    <w:p>
      <w:pPr>
        <w:pStyle w:val="ListTA"/>
      </w:pPr>
      <w:r>
        <w:rPr>
          <w:b/>
          <w:bCs/>
        </w:rPr>
        <w:t xml:space="preserve">Tenant operations after handoff</w:t>
      </w:r>
      <w:r>
        <w:t xml:space="preserve">, including change control, recurring reviews and renewals, and user-facing support beyond the hypercare window.</w:t>
      </w:r>
    </w:p>
    <w:p>
      <w:pPr>
        <w:pStyle w:val="ListTA"/>
      </w:pPr>
      <w:r>
        <w:rPr>
          <w:b/>
          <w:bCs/>
        </w:rPr>
        <w:t xml:space="preserve">Commercial terms</w:t>
      </w:r>
      <w:r>
        <w:t xml:space="preserve">, including CallTower pricing and contract negotiation.</w:t>
      </w:r>
    </w:p>
    <w:p w14:paraId="72363B02" w14:textId="77777777" w:rsidR="009D700C" w:rsidRDefault="009D700C" w:rsidP="009D700C">
      <w:pPr>
        <w:rPr>
          <w:b/>
          <w:bCs/>
        </w:rPr>
      </w:pPr>
    </w:p>
    <w:p w14:paraId="2582B3FD" w14:textId="77777777" w:rsidR="00AA0703" w:rsidRDefault="00AA0703">
      <w:pPr>
        <w:rPr>
          <w:rFonts w:asciiTheme="majorHAnsi" w:hAnsiTheme="majorHAnsi" w:cstheme="majorHAnsi"/>
          <w:color w:val="494949" w:themeColor="text2" w:themeTint="BF"/>
          <w:sz w:val="40"/>
          <w:szCs w:val="48"/>
        </w:rPr>
      </w:pPr>
      <w:r>
        <w:br w:type="page"/>
      </w:r>
    </w:p>
    <w:p w14:paraId="4FA73187" w14:textId="77777777" w:rsidR="00625CA5" w:rsidRDefault="00625CA5" w:rsidP="00A6057E">
      <w:pPr>
        <w:pStyle w:val="Heading1"/>
      </w:pPr>
      <w:bookmarkStart w:id="1859" w:name="_Toc222995592"/>
      <w:bookmarkStart w:id="1861" w:name="_Toc238469945"/>
      <w:r>
        <w:t>Microsoft 365 Design</w:t>
      </w:r>
      <w:bookmarkEnd w:id="1861"/>
    </w:p>
    <w:p w14:paraId="5C23F177" w14:textId="77777777" w:rsidR="00392F37" w:rsidRPr="00392F37" w:rsidRDefault="00392F37" w:rsidP="00644A8A">
      <w:pPr>
        <w:pStyle w:val="BodyText"/>
        <w:rPr>
          <w:rFonts w:eastAsiaTheme="majorEastAsia"/>
        </w:rPr>
      </w:pPr>
      <w:r>
        <w:rPr>
          <w:rFonts w:eastAsiaTheme="majorEastAsia"/>
        </w:rPr>
        <w:t>The Microsoft 365 solution design establishes the identity, collaboration, security, and governance framework supporting the organization’s cloud-based user and data workloads.</w:t>
      </w:r>
    </w:p>
    <w:p w14:paraId="69F351DF" w14:textId="77777777" w:rsidR="0004046D" w:rsidRPr="00A6057E" w:rsidRDefault="0004046D" w:rsidP="00392F37">
      <w:pPr>
        <w:pStyle w:val="Heading2"/>
      </w:pPr>
      <w:bookmarkStart w:id="1862" w:name="_Toc238469946"/>
      <w:r>
        <w:t>Tenant Initialization</w:t>
      </w:r>
      <w:bookmarkEnd w:id="1859"/>
      <w:bookmarkEnd w:id="1862"/>
    </w:p>
    <w:p w14:paraId="3698CA94" w14:textId="77777777" w:rsidR="00625CA5" w:rsidRDefault="00625CA5" w:rsidP="006E3D31">
      <w:pPr>
        <w:pStyle w:val="Heading3"/>
      </w:pPr>
      <w:bookmarkStart w:id="1863" w:name="_Toc238469947"/>
      <w:r>
        <w:t xml:space="preserve">Tenant </w:t>
      </w:r>
      <w:r>
        <w:rPr>
          <w:rStyle w:val="Heading2Char"/>
          <w:color w:val="0B1829" w:themeColor="accent1" w:themeShade="40"/>
          <w:sz w:val="32"/>
          <w:szCs w:val="32"/>
        </w:rPr>
        <w:t>Global</w:t>
      </w:r>
      <w:r>
        <w:t xml:space="preserve"> Admin Account</w:t>
      </w:r>
      <w:bookmarkEnd w:id="1863"/>
    </w:p>
    <w:p w14:paraId="1EA05F31" w14:textId="77777777" w:rsidR="00625CA5" w:rsidRPr="002D4895" w:rsidRDefault="00625CA5" w:rsidP="00644A8A">
      <w:pPr>
        <w:pStyle w:val="BodyText"/>
        <w:rPr>
          <w:rStyle w:val="normaltextrun"/>
          <w:rFonts w:eastAsiaTheme="majorEastAsia"/>
        </w:rPr>
      </w:pPr>
      <w:r>
        <w:rPr>
          <w:rStyle w:val="normaltextrun"/>
          <w:rFonts w:eastAsiaTheme="majorEastAsia"/>
        </w:rPr>
        <w:t>Immediately upon tenant creation, establish a dedicated global administrator account that is not tied to a specific individuals’ day-to-day user account. This first admin account will be used to configure the tenant.  </w:t>
      </w:r>
    </w:p>
    <w:p>
      <w:pPr>
        <w:pStyle w:val="BodyText"/>
      </w:pPr>
      <w:r>
        <w:t xml:space="preserve">This account is used to bootstrap the tenant. Once the administrative role model and Privileged Identity Management are in place, it is retained as an emergency credential and is not used for day-to-day administration; routine administrative work is performed from the individually assigned cadm- accounts described under Privileged Identity Management.</w:t>
      </w:r>
    </w:p>
    <w:p w14:paraId="0970A2F6" w14:textId="199345C5" w:rsidR="00625CA5" w:rsidRPr="002D4895" w:rsidRDefault="00625CA5" w:rsidP="00FE518C">
      <w:pPr>
        <w:pStyle w:val="ListTA"/>
        <w:rPr>
          <w:rStyle w:val="normaltextrun"/>
        </w:rPr>
      </w:pPr>
      <w:commentRangeStart w:id="2099"/>
      <w:r>
        <w:rPr>
          <w:rStyle w:val="normaltextrun"/>
        </w:rPr>
        <w:t xml:space="preserve">Username: </w:t>
      </w:r>
      <w:sdt>
        <w:sdtPr>
          <w:rPr>
            <w:rStyle w:val="normaltextrun"/>
          </w:rPr>
          <w:alias w:val="Client Abbreviation"/>
          <w:tag w:val=""/>
          <w:id w:val="682617160"/>
          <w:placeholder>
            <w:docPart w:val="2B1D09EF8BBC4C77BE8E17590BB1F050"/>
          </w:placeholder>
          <w:dataBinding w:prefixMappings="xmlns:ec='urn:essendis:engagement-profile' " w:xpath="/ec:engagement[1]/ec:ClientAbbr[1]" w:storeItemID="{E55E11D8-6A7D-4C25-9E68-2A3B8F0C4D91}"/>
          <w:text/>
        </w:sdtPr>
        <w:sdtEndPr>
          <w:rPr>
            <w:rStyle w:val="normaltextrun"/>
          </w:rPr>
        </w:sdtEndPr>
        <w:sdtContent>
          <w:r>
            <w:rPr>
              <w:rStyle w:val="normaltextrun"/>
            </w:rPr>
            <w:t>WMP</w:t>
          </w:r>
        </w:sdtContent>
      </w:sdt>
      <w:r>
        <w:rPr>
          <w:rStyle w:val="normaltextrun"/>
        </w:rPr>
        <w:t>ADMIN@</w:t>
      </w:r>
      <w:sdt>
        <w:sdtPr>
          <w:rPr>
            <w:rStyle w:val="normaltextrun"/>
          </w:rPr>
          <w:alias w:val="Client Primary Domain"/>
          <w:tag w:val=""/>
          <w:id w:val="1431739161"/>
          <w:placeholder>
            <w:docPart w:val="2B1D09EF8BBC4C77BE8E17590BB1F050"/>
          </w:placeholder>
          <w:dataBinding w:prefixMappings="xmlns:ec='urn:essendis:engagement-profile' " w:xpath="/ec:engagement[1]/ec:ClientDomain[1]" w:storeItemID="{E55E11D8-6A7D-4C25-9E68-2A3B8F0C4D91}"/>
          <w:text/>
        </w:sdtPr>
        <w:sdtEndPr>
          <w:rPr>
            <w:rStyle w:val="normaltextrun"/>
          </w:rPr>
        </w:sdtEndPr>
        <w:sdtContent>
          <w:r>
            <w:rPr>
              <w:rStyle w:val="normaltextrun"/>
            </w:rPr>
            <w:t>wisconsinmetalparts.com</w:t>
          </w:r>
        </w:sdtContent>
      </w:sdt>
      <w:r>
        <w:rPr>
          <w:rStyle w:val="normaltextrun"/>
        </w:rPr>
        <w:t>  </w:t>
      </w:r>
      <w:commentRangeEnd w:id="2099"/>
      <w:r>
        <w:rPr>
          <w:rStyle w:val="CommentReference"/>
        </w:rPr>
        <w:commentReference w:id="2099"/>
      </w:r>
    </w:p>
    <w:p w14:paraId="412867C5" w14:textId="77777777" w:rsidR="00625CA5" w:rsidRPr="002D4895" w:rsidRDefault="00625CA5" w:rsidP="00FE518C">
      <w:pPr>
        <w:pStyle w:val="ListTA"/>
        <w:rPr>
          <w:rStyle w:val="normaltextrun"/>
        </w:rPr>
      </w:pPr>
      <w:r>
        <w:rPr>
          <w:rStyle w:val="normaltextrun"/>
        </w:rPr>
        <w:t>Password: The initial password is randomly generated and will be provided securely to the relevant personnel. This account is separate from any personal user account to ensure administrative actions are performed only with privileged credentials designated for that purpose. </w:t>
      </w:r>
    </w:p>
    <w:p w14:paraId="4621D771" w14:textId="77777777" w:rsidR="00625CA5" w:rsidRDefault="00625CA5" w:rsidP="006E3D31">
      <w:pPr>
        <w:pStyle w:val="Heading3"/>
      </w:pPr>
      <w:bookmarkStart w:id="1868" w:name="_Toc238469948"/>
      <w:r>
        <w:t>Domain Verification</w:t>
      </w:r>
      <w:bookmarkEnd w:id="1868"/>
    </w:p>
    <w:p>
      <w:pPr>
        <w:pStyle w:val="BodyText"/>
      </w:pPr>
      <w:r>
        <w:t xml:space="preserve">WMP’s production email domain is </w:t>
      </w:r>
      <w:r>
        <w:rPr>
          <w:b/>
          <w:bCs/>
        </w:rPr>
        <w:t xml:space="preserve">wisconsinmetalparts.com</w:t>
      </w:r>
      <w:r>
        <w:t xml:space="preserve">, and it will be the primary SMTP and vanity domain in the Microsoft 365 (GCC High) tenant. The domain will be added and verified by creating the required DNS TXT record (and any necessary CNAME records) in the AWS-hosted DNS zone for wisconsinmetalparts.com. Only after DNS propagation and verification can the domain be used for user identities and services in the tenant.</w:t>
      </w:r>
    </w:p>
    <w:p>
      <w:pPr>
        <w:pStyle w:val="BodyText"/>
      </w:pPr>
      <w:r>
        <w:t xml:space="preserve">The default .onmicrosoft.us initial domain created with the tenant is accepted and is retained for service endpoints and for the emergency accounts described under Emergency Accounts. The exact initial domain name is fixed at tenant creation.</w:t>
      </w:r>
    </w:p>
    <w:p>
      <w:pPr>
        <w:pStyle w:val="BodyText"/>
      </w:pPr>
      <w:r>
        <w:t xml:space="preserve">The domain cannot be verified in the GCC High tenant until it is released from the Microsoft 365 Commercial tenant. That release-and-verify sequence, its effect on mail flow, and the DNS TTL preparation are covered in the Schedule section.</w:t>
      </w:r>
    </w:p>
    <w:p>
      <w:pPr>
        <w:pStyle w:val="BodyText"/>
      </w:pPr>
      <w:r>
        <w:t xml:space="preserve">The tenant is created when the GCC High licenses are delivered; Essendis is the licensing partner and the order is in progress (see Licensing).</w:t>
      </w:r>
    </w:p>
    <w:p w14:paraId="583F3981" w14:textId="77777777" w:rsidR="00625CA5" w:rsidRDefault="00625CA5" w:rsidP="006E3D31">
      <w:pPr>
        <w:pStyle w:val="Heading3"/>
      </w:pPr>
      <w:bookmarkStart w:id="1873" w:name="_Toc238469949"/>
      <w:r>
        <w:t>Tenant Branding</w:t>
      </w:r>
      <w:bookmarkEnd w:id="1873"/>
    </w:p>
    <w:p w14:paraId="0C8DF2EB" w14:textId="6938DB0A" w:rsidR="00625CA5" w:rsidRDefault="00625CA5" w:rsidP="00644A8A">
      <w:pPr>
        <w:pStyle w:val="BodyText"/>
      </w:pPr>
      <w:r>
        <w:t xml:space="preserve">Configure the tenant’s sign-in and theme with </w:t>
      </w:r>
      <w:sdt>
        <w:sdtPr>
          <w:alias w:val="Client Abbreviation"/>
          <w:tag w:val=""/>
          <w:id w:val="209457955"/>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corporate branding. This includes uploading the </w:t>
      </w:r>
      <w:sdt>
        <w:sdtPr>
          <w:alias w:val="Client Abbreviation"/>
          <w:tag w:val=""/>
          <w:id w:val="971370789"/>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logo and color schemes in Entra ID Company Branding.  </w:t>
      </w:r>
    </w:p>
    <w:p w14:paraId="3CACC7CF" w14:textId="77777777" w:rsidR="00F152AB" w:rsidRPr="00A732C1" w:rsidRDefault="00F152AB" w:rsidP="006E3D31">
      <w:pPr>
        <w:pStyle w:val="Heading3"/>
      </w:pPr>
      <w:bookmarkStart w:id="1878" w:name="_Toc238469950"/>
      <w:r>
        <w:t>Naming conventions</w:t>
      </w:r>
      <w:bookmarkEnd w:id="1878"/>
    </w:p>
    <w:p w14:paraId="4B7A3102" w14:textId="77777777" w:rsidR="00BB551A" w:rsidRDefault="00F152AB" w:rsidP="00644A8A">
      <w:pPr>
        <w:pStyle w:val="BodyText"/>
        <w:rPr>
          <w:rStyle w:val="normaltextrun"/>
          <w:rFonts w:eastAsiaTheme="majorEastAsia"/>
        </w:rPr>
      </w:pPr>
      <w:r>
        <w:rPr>
          <w:rStyle w:val="normaltextrun"/>
          <w:rFonts w:eastAsiaTheme="majorEastAsia"/>
        </w:rPr>
        <w:t xml:space="preserve">Existing users will be migrated using Entra ID and keep the existing naming conventions. </w:t>
        <w:br/>
        <w:t>For any new items the following conventions will be used:</w:t>
      </w:r>
    </w:p>
    <w:p w14:paraId="29B6E747" w14:textId="77777777" w:rsidR="00191D0B" w:rsidRDefault="00F152AB" w:rsidP="00BB551A">
      <w:pPr>
        <w:pStyle w:val="Heading4"/>
        <w:rPr>
          <w:rStyle w:val="normaltextrun"/>
          <w:rFonts w:eastAsiaTheme="majorEastAsia"/>
        </w:rPr>
      </w:pPr>
      <w:r>
        <w:rPr>
          <w:rStyle w:val="normaltextrun"/>
          <w:rFonts w:eastAsiaTheme="majorEastAsia"/>
        </w:rPr>
        <w:lastRenderedPageBreak/>
        <w:br/>
        <w:t>User Accounts</w:t>
      </w:r>
    </w:p>
    <w:p w14:paraId="68D3688E" w14:textId="32A88FE7" w:rsidR="00BB551A" w:rsidRDefault="00B34CA2" w:rsidP="00BB551A">
      <w:pPr>
        <w:pStyle w:val="BodyText"/>
        <w:rPr>
          <w:rStyle w:val="normaltextrun"/>
          <w:rFonts w:eastAsiaTheme="majorEastAsia"/>
        </w:rPr>
      </w:pPr>
      <w:sdt>
        <w:sdtPr>
          <w:rPr>
            <w:rStyle w:val="normaltextrun"/>
            <w:rFonts w:eastAsiaTheme="majorEastAsia"/>
          </w:rPr>
          <w:alias w:val="Client Abbreviation"/>
          <w:tag w:val=""/>
          <w:id w:val="1614705091"/>
          <w:placeholder>
            <w:docPart w:val="2B1D09EF8BBC4C77BE8E17590BB1F050"/>
          </w:placeholder>
          <w:dataBinding w:prefixMappings="xmlns:ec='urn:essendis:engagement-profile' " w:xpath="/ec:engagement[1]/ec:ClientAbbr[1]" w:storeItemID="{E55E11D8-6A7D-4C25-9E68-2A3B8F0C4D91}"/>
          <w:text/>
        </w:sdtPr>
        <w:sdtEndPr>
          <w:rPr>
            <w:rStyle w:val="normaltextrun"/>
          </w:rPr>
        </w:sdtEndPr>
        <w:sdtContent>
          <w:r>
            <w:rPr>
              <w:rStyle w:val="normaltextrun"/>
              <w:rFonts w:eastAsiaTheme="majorEastAsia"/>
            </w:rPr>
            <w:t>WMP</w:t>
          </w:r>
        </w:sdtContent>
      </w:sdt>
      <w:r>
        <w:rPr>
          <w:rStyle w:val="normaltextrun"/>
          <w:rFonts w:eastAsiaTheme="majorEastAsia"/>
        </w:rPr>
        <w:t xml:space="preserve"> will use the format &lt;first initial&gt;.&lt;last name&gt;@</w:t>
      </w:r>
      <w:sdt>
        <w:sdtPr>
          <w:rPr>
            <w:rStyle w:val="normaltextrun"/>
          </w:rPr>
          <w:alias w:val="Client Primary Domain"/>
          <w:tag w:val=""/>
          <w:id w:val="1782939136"/>
          <w:placeholder>
            <w:docPart w:val="2B1D09EF8BBC4C77BE8E17590BB1F050"/>
          </w:placeholder>
          <w:dataBinding w:prefixMappings="xmlns:ec='urn:essendis:engagement-profile' " w:xpath="/ec:engagement[1]/ec:ClientDomain[1]" w:storeItemID="{E55E11D8-6A7D-4C25-9E68-2A3B8F0C4D91}"/>
          <w:text/>
        </w:sdtPr>
        <w:sdtEndPr>
          <w:rPr>
            <w:rStyle w:val="normaltextrun"/>
          </w:rPr>
        </w:sdtEndPr>
        <w:sdtContent>
          <w:r>
            <w:rPr>
              <w:rStyle w:val="normaltextrun"/>
            </w:rPr>
            <w:t>wisconsinmetalparts.com</w:t>
          </w:r>
        </w:sdtContent>
      </w:sdt>
      <w:r>
        <w:rPr>
          <w:rStyle w:val="normaltextrun"/>
          <w:rFonts w:eastAsiaTheme="majorEastAsia"/>
        </w:rPr>
        <w:t xml:space="preserve"> for user principal names (e.g., Jane Doe becomes jane.doe@</w:t>
      </w:r>
      <w:sdt>
        <w:sdtPr>
          <w:rPr>
            <w:rStyle w:val="normaltextrun"/>
          </w:rPr>
          <w:alias w:val="Client Primary Domain"/>
          <w:tag w:val=""/>
          <w:id w:val="1038625195"/>
          <w:placeholder>
            <w:docPart w:val="2B1D09EF8BBC4C77BE8E17590BB1F050"/>
          </w:placeholder>
          <w:dataBinding w:prefixMappings="xmlns:ec='urn:essendis:engagement-profile' " w:xpath="/ec:engagement[1]/ec:ClientDomain[1]" w:storeItemID="{E55E11D8-6A7D-4C25-9E68-2A3B8F0C4D91}"/>
          <w:text/>
        </w:sdtPr>
        <w:sdtEndPr>
          <w:rPr>
            <w:rStyle w:val="normaltextrun"/>
          </w:rPr>
        </w:sdtEndPr>
        <w:sdtContent>
          <w:r>
            <w:rPr>
              <w:rStyle w:val="normaltextrun"/>
            </w:rPr>
            <w:t>wisconsinmetalparts.com</w:t>
          </w:r>
        </w:sdtContent>
      </w:sdt>
      <w:r>
        <w:rPr>
          <w:rStyle w:val="normaltextrun"/>
          <w:rFonts w:eastAsiaTheme="majorEastAsia"/>
        </w:rPr>
        <w:t>). This aligns with the naming scheme used previously in the organization.</w:t>
      </w:r>
    </w:p>
    <w:p w14:paraId="115F00A8" w14:textId="77777777" w:rsidR="00191D0B" w:rsidRPr="00BB551A" w:rsidRDefault="00F152AB" w:rsidP="00BB551A">
      <w:pPr>
        <w:pStyle w:val="Heading4"/>
        <w:rPr>
          <w:rStyle w:val="normaltextrun"/>
        </w:rPr>
      </w:pPr>
      <w:r>
        <w:rPr>
          <w:rStyle w:val="normaltextrun"/>
        </w:rPr>
        <w:t>Groups and Roles</w:t>
      </w:r>
    </w:p>
    <w:p w14:paraId="04A8E42F" w14:textId="77777777" w:rsidR="00F152AB" w:rsidRPr="0081259A" w:rsidRDefault="00F152AB" w:rsidP="00644A8A">
      <w:pPr>
        <w:pStyle w:val="BodyText"/>
      </w:pPr>
      <w:r>
        <w:rPr>
          <w:rStyle w:val="normaltextrun"/>
        </w:rPr>
        <w:t>Apply similar naming conventions for Microsoft 365 groups, distribution lists, and security groups. Group names should clearly reflect their purpose or membership.</w:t>
      </w:r>
    </w:p>
    <w:p>
      <w:pPr>
        <w:pStyle w:val="Heading3"/>
      </w:pPr>
      <w:bookmarkStart w:id="2401" w:name="_Toc238480001"/>
      <w:r>
        <w:t xml:space="preserve">Audit Logging</w:t>
      </w:r>
      <w:bookmarkEnd w:id="2401"/>
    </w:p>
    <w:p>
      <w:pPr>
        <w:pStyle w:val="BodyText"/>
      </w:pPr>
      <w:r>
        <w:t xml:space="preserve">Unified audit logging will be enabled tenant-wide at initialization, with mailbox auditing enabled for all mailboxes. Audit retention will be configured to meet the CMMC 90-day minimum. No extended audit export or external archive is configured; log review, alerting, and SIEM ingestion are WMP-owned (see Scope).</w:t>
      </w:r>
    </w:p>
    <w:p>
      <w:pPr>
        <w:pStyle w:val="Heading2"/>
      </w:pPr>
      <w:bookmarkStart w:id="2402" w:name="_Toc238480002"/>
      <w:r>
        <w:t xml:space="preserve">Licensing</w:t>
      </w:r>
      <w:bookmarkEnd w:id="2402"/>
    </w:p>
    <w:p>
      <w:pPr>
        <w:pStyle w:val="BodyText"/>
      </w:pPr>
      <w:r>
        <w:t xml:space="preserve">Microsoft 365 GCC High licensing has been quoted and adopted as follows. Essendis is the licensing partner; the order is in progress and the tenant will be created when the licenses are delivered.</w:t>
      </w:r>
    </w:p>
    <w:tbl>
      <w:tblPr>
        <w:tblStyle w:val="TableGrid"/>
        <w:tblW w:w="0" w:type="auto"/>
        <w:tblLook w:val="04A0" w:firstRow="1" w:lastRow="0" w:firstColumn="1" w:lastColumn="0" w:noHBand="0" w:noVBand="1"/>
      </w:tblPr>
      <w:tblGrid>
        <w:gridCol w:w="5200"/>
        <w:gridCol w:w="3070"/>
        <w:gridCol w:w="1800"/>
      </w:tblGrid>
      <w:tr>
        <w:tc>
          <w:tcPr>
            <w:tcW w:w="5200" w:type="dxa"/>
          </w:tcPr>
          <w:p>
            <w:pPr>
              <w:spacing w:line="360" w:lineRule="auto"/>
              <w:rPr>
                <w:b/>
                <w:bCs/>
                <w:sz w:val="21"/>
                <w:szCs w:val="21"/>
              </w:rPr>
            </w:pPr>
            <w:r>
              <w:rPr>
                <w:b/>
                <w:bCs/>
                <w:sz w:val="21"/>
                <w:szCs w:val="21"/>
              </w:rPr>
              <w:t xml:space="preserve">Subscription</w:t>
            </w:r>
          </w:p>
        </w:tc>
        <w:tc>
          <w:tcPr>
            <w:tcW w:w="3070" w:type="dxa"/>
          </w:tcPr>
          <w:p>
            <w:pPr>
              <w:spacing w:line="360" w:lineRule="auto"/>
              <w:rPr>
                <w:b/>
                <w:bCs/>
                <w:sz w:val="21"/>
                <w:szCs w:val="21"/>
              </w:rPr>
            </w:pPr>
            <w:r>
              <w:rPr>
                <w:b/>
                <w:bCs/>
                <w:sz w:val="21"/>
                <w:szCs w:val="21"/>
              </w:rPr>
              <w:t xml:space="preserve">SKU</w:t>
            </w:r>
          </w:p>
        </w:tc>
        <w:tc>
          <w:tcPr>
            <w:tcW w:w="1800" w:type="dxa"/>
          </w:tcPr>
          <w:p>
            <w:pPr>
              <w:spacing w:line="360" w:lineRule="auto"/>
              <w:rPr>
                <w:b/>
                <w:bCs/>
                <w:sz w:val="21"/>
                <w:szCs w:val="21"/>
              </w:rPr>
            </w:pPr>
            <w:r>
              <w:rPr>
                <w:b/>
                <w:bCs/>
                <w:sz w:val="21"/>
                <w:szCs w:val="21"/>
              </w:rPr>
              <w:t xml:space="preserve">Quantity</w:t>
            </w:r>
          </w:p>
        </w:tc>
      </w:tr>
      <w:tr>
        <w:tc>
          <w:tcPr>
            <w:tcW w:w="5200" w:type="dxa"/>
          </w:tcPr>
          <w:p>
            <w:pPr>
              <w:spacing w:line="360" w:lineRule="auto"/>
              <w:rPr>
                <w:sz w:val="21"/>
                <w:szCs w:val="21"/>
              </w:rPr>
            </w:pPr>
            <w:r>
              <w:rPr>
                <w:sz w:val="21"/>
                <w:szCs w:val="21"/>
              </w:rPr>
              <w:t xml:space="preserve">Microsoft 365 G5 FUSL GCC High</w:t>
            </w:r>
          </w:p>
        </w:tc>
        <w:tc>
          <w:tcPr>
            <w:tcW w:w="3070" w:type="dxa"/>
          </w:tcPr>
          <w:p>
            <w:pPr>
              <w:spacing w:line="360" w:lineRule="auto"/>
              <w:rPr>
                <w:sz w:val="21"/>
                <w:szCs w:val="21"/>
              </w:rPr>
            </w:pPr>
            <w:r>
              <w:rPr>
                <w:sz w:val="21"/>
                <w:szCs w:val="21"/>
              </w:rPr>
              <w:t xml:space="preserve">ADD-99035-COMM</w:t>
            </w:r>
          </w:p>
        </w:tc>
        <w:tc>
          <w:tcPr>
            <w:tcW w:w="1800" w:type="dxa"/>
          </w:tcPr>
          <w:p>
            <w:pPr>
              <w:spacing w:line="360" w:lineRule="auto"/>
              <w:rPr>
                <w:sz w:val="21"/>
                <w:szCs w:val="21"/>
              </w:rPr>
            </w:pPr>
            <w:r>
              <w:rPr>
                <w:sz w:val="21"/>
                <w:szCs w:val="21"/>
              </w:rPr>
              <w:t xml:space="preserve">15</w:t>
            </w:r>
          </w:p>
        </w:tc>
      </w:tr>
      <w:tr>
        <w:tc>
          <w:tcPr>
            <w:tcW w:w="5200" w:type="dxa"/>
          </w:tcPr>
          <w:p>
            <w:pPr>
              <w:spacing w:line="360" w:lineRule="auto"/>
              <w:rPr>
                <w:sz w:val="21"/>
                <w:szCs w:val="21"/>
              </w:rPr>
            </w:pPr>
            <w:r>
              <w:rPr>
                <w:sz w:val="21"/>
                <w:szCs w:val="21"/>
              </w:rPr>
              <w:t xml:space="preserve">Microsoft 365 Business Premium</w:t>
            </w:r>
          </w:p>
        </w:tc>
        <w:tc>
          <w:tcPr>
            <w:tcW w:w="3070" w:type="dxa"/>
          </w:tcPr>
          <w:p>
            <w:pPr>
              <w:spacing w:line="360" w:lineRule="auto"/>
              <w:rPr>
                <w:sz w:val="21"/>
                <w:szCs w:val="21"/>
              </w:rPr>
            </w:pPr>
            <w:r>
              <w:rPr>
                <w:sz w:val="21"/>
                <w:szCs w:val="21"/>
              </w:rPr>
              <w:t xml:space="preserve">AAD-59343-COMM-2</w:t>
            </w:r>
          </w:p>
        </w:tc>
        <w:tc>
          <w:tcPr>
            <w:tcW w:w="1800" w:type="dxa"/>
          </w:tcPr>
          <w:p>
            <w:pPr>
              <w:spacing w:line="360" w:lineRule="auto"/>
              <w:rPr>
                <w:sz w:val="21"/>
                <w:szCs w:val="21"/>
              </w:rPr>
            </w:pPr>
            <w:r>
              <w:rPr>
                <w:sz w:val="21"/>
                <w:szCs w:val="21"/>
              </w:rPr>
              <w:t xml:space="preserve">55</w:t>
            </w:r>
          </w:p>
        </w:tc>
      </w:tr>
      <w:tr>
        <w:tc>
          <w:tcPr>
            <w:tcW w:w="5200" w:type="dxa"/>
          </w:tcPr>
          <w:p>
            <w:pPr>
              <w:spacing w:line="360" w:lineRule="auto"/>
              <w:rPr>
                <w:sz w:val="21"/>
                <w:szCs w:val="21"/>
              </w:rPr>
            </w:pPr>
            <w:r>
              <w:rPr>
                <w:sz w:val="21"/>
                <w:szCs w:val="21"/>
              </w:rPr>
              <w:t xml:space="preserve">Business Premium Defender and Purview Suite GCC High</w:t>
            </w:r>
          </w:p>
        </w:tc>
        <w:tc>
          <w:tcPr>
            <w:tcW w:w="3070" w:type="dxa"/>
          </w:tcPr>
          <w:p>
            <w:pPr>
              <w:spacing w:line="360" w:lineRule="auto"/>
              <w:rPr>
                <w:sz w:val="21"/>
                <w:szCs w:val="21"/>
              </w:rPr>
            </w:pPr>
            <w:r>
              <w:rPr>
                <w:sz w:val="21"/>
                <w:szCs w:val="21"/>
              </w:rPr>
              <w:t xml:space="preserve">AAV-01856-COMM-2</w:t>
            </w:r>
          </w:p>
        </w:tc>
        <w:tc>
          <w:tcPr>
            <w:tcW w:w="1800" w:type="dxa"/>
          </w:tcPr>
          <w:p>
            <w:pPr>
              <w:spacing w:line="360" w:lineRule="auto"/>
              <w:rPr>
                <w:sz w:val="21"/>
                <w:szCs w:val="21"/>
              </w:rPr>
            </w:pPr>
            <w:r>
              <w:rPr>
                <w:sz w:val="21"/>
                <w:szCs w:val="21"/>
              </w:rPr>
              <w:t xml:space="preserve">55</w:t>
            </w:r>
          </w:p>
        </w:tc>
      </w:tr>
      <w:tr>
        <w:tc>
          <w:tcPr>
            <w:tcW w:w="5200" w:type="dxa"/>
          </w:tcPr>
          <w:p>
            <w:pPr>
              <w:spacing w:line="360" w:lineRule="auto"/>
              <w:rPr>
                <w:sz w:val="21"/>
                <w:szCs w:val="21"/>
              </w:rPr>
            </w:pPr>
            <w:r>
              <w:rPr>
                <w:sz w:val="21"/>
                <w:szCs w:val="21"/>
              </w:rPr>
              <w:t xml:space="preserve">Teams Phone Standard GCC High</w:t>
            </w:r>
          </w:p>
        </w:tc>
        <w:tc>
          <w:tcPr>
            <w:tcW w:w="3070" w:type="dxa"/>
          </w:tcPr>
          <w:p>
            <w:pPr>
              <w:spacing w:line="360" w:lineRule="auto"/>
              <w:rPr>
                <w:sz w:val="21"/>
                <w:szCs w:val="21"/>
              </w:rPr>
            </w:pPr>
            <w:r>
              <w:rPr>
                <w:sz w:val="21"/>
                <w:szCs w:val="21"/>
              </w:rPr>
              <w:t xml:space="preserve">RFT-00001-COMM</w:t>
            </w:r>
          </w:p>
        </w:tc>
        <w:tc>
          <w:tcPr>
            <w:tcW w:w="1800" w:type="dxa"/>
          </w:tcPr>
          <w:p>
            <w:pPr>
              <w:spacing w:line="360" w:lineRule="auto"/>
              <w:rPr>
                <w:sz w:val="21"/>
                <w:szCs w:val="21"/>
              </w:rPr>
            </w:pPr>
            <w:r>
              <w:rPr>
                <w:sz w:val="21"/>
                <w:szCs w:val="21"/>
              </w:rPr>
              <w:t xml:space="preserve">55</w:t>
            </w:r>
          </w:p>
        </w:tc>
      </w:tr>
      <w:tr>
        <w:tc>
          <w:tcPr>
            <w:tcW w:w="5200" w:type="dxa"/>
          </w:tcPr>
          <w:p>
            <w:pPr>
              <w:spacing w:line="360" w:lineRule="auto"/>
              <w:rPr>
                <w:sz w:val="21"/>
                <w:szCs w:val="21"/>
              </w:rPr>
            </w:pPr>
            <w:r>
              <w:rPr>
                <w:sz w:val="21"/>
                <w:szCs w:val="21"/>
              </w:rPr>
              <w:t xml:space="preserve">Microsoft 365 F3 GCC High</w:t>
            </w:r>
          </w:p>
        </w:tc>
        <w:tc>
          <w:tcPr>
            <w:tcW w:w="3070" w:type="dxa"/>
          </w:tcPr>
          <w:p>
            <w:pPr>
              <w:spacing w:line="360" w:lineRule="auto"/>
              <w:rPr>
                <w:sz w:val="21"/>
                <w:szCs w:val="21"/>
              </w:rPr>
            </w:pPr>
            <w:r>
              <w:rPr>
                <w:sz w:val="21"/>
                <w:szCs w:val="21"/>
              </w:rPr>
              <w:t xml:space="preserve">AAA-99952-COMM</w:t>
            </w:r>
          </w:p>
        </w:tc>
        <w:tc>
          <w:tcPr>
            <w:tcW w:w="1800" w:type="dxa"/>
          </w:tcPr>
          <w:p>
            <w:pPr>
              <w:spacing w:line="360" w:lineRule="auto"/>
              <w:rPr>
                <w:sz w:val="21"/>
                <w:szCs w:val="21"/>
              </w:rPr>
            </w:pPr>
            <w:r>
              <w:rPr>
                <w:sz w:val="21"/>
                <w:szCs w:val="21"/>
              </w:rPr>
              <w:t xml:space="preserve">80</w:t>
            </w:r>
          </w:p>
        </w:tc>
      </w:tr>
      <w:tr>
        <w:tc>
          <w:tcPr>
            <w:tcW w:w="5200" w:type="dxa"/>
          </w:tcPr>
          <w:p>
            <w:pPr>
              <w:spacing w:line="360" w:lineRule="auto"/>
              <w:rPr>
                <w:sz w:val="21"/>
                <w:szCs w:val="21"/>
              </w:rPr>
            </w:pPr>
            <w:r>
              <w:rPr>
                <w:sz w:val="21"/>
                <w:szCs w:val="21"/>
              </w:rPr>
              <w:t xml:space="preserve">Microsoft 365 F5 Security + Compliance GCC High Add-on</w:t>
            </w:r>
          </w:p>
        </w:tc>
        <w:tc>
          <w:tcPr>
            <w:tcW w:w="3070" w:type="dxa"/>
          </w:tcPr>
          <w:p>
            <w:pPr>
              <w:spacing w:line="360" w:lineRule="auto"/>
              <w:rPr>
                <w:sz w:val="21"/>
                <w:szCs w:val="21"/>
              </w:rPr>
            </w:pPr>
            <w:r>
              <w:rPr>
                <w:sz w:val="21"/>
                <w:szCs w:val="21"/>
              </w:rPr>
              <w:t xml:space="preserve">91Q-00003-COMM</w:t>
            </w:r>
          </w:p>
        </w:tc>
        <w:tc>
          <w:tcPr>
            <w:tcW w:w="1800" w:type="dxa"/>
          </w:tcPr>
          <w:p>
            <w:pPr>
              <w:spacing w:line="360" w:lineRule="auto"/>
              <w:rPr>
                <w:sz w:val="21"/>
                <w:szCs w:val="21"/>
              </w:rPr>
            </w:pPr>
            <w:r>
              <w:rPr>
                <w:sz w:val="21"/>
                <w:szCs w:val="21"/>
              </w:rPr>
              <w:t xml:space="preserve">80</w:t>
            </w:r>
          </w:p>
        </w:tc>
      </w:tr>
    </w:tbl>
    <w:p>
      <w:pPr>
        <w:pStyle w:val="BodyText"/>
      </w:pPr>
      <w:r>
        <w:t xml:space="preserve">The plan licenses 150 users across three tiers:</w:t>
      </w:r>
    </w:p>
    <w:p>
      <w:pPr>
        <w:pStyle w:val="ListTA"/>
      </w:pPr>
      <w:r>
        <w:rPr>
          <w:b/>
          <w:bCs/>
        </w:rPr>
        <w:t xml:space="preserve">15 users on Microsoft 365 G5</w:t>
      </w:r>
      <w:r>
        <w:t xml:space="preserve">, the most privileged and senior population, including administrative accounts.</w:t>
      </w:r>
    </w:p>
    <w:p>
      <w:pPr>
        <w:pStyle w:val="ListTA"/>
      </w:pPr>
      <w:r>
        <w:rPr>
          <w:b/>
          <w:bCs/>
        </w:rPr>
        <w:t xml:space="preserve">55 users on Microsoft 365 Business Premium</w:t>
      </w:r>
      <w:r>
        <w:t xml:space="preserve"> with the Defender and Purview Suite GCC High add-on — the information-worker population.</w:t>
      </w:r>
    </w:p>
    <w:p>
      <w:pPr>
        <w:pStyle w:val="ListTA"/>
      </w:pPr>
      <w:r>
        <w:rPr>
          <w:b/>
          <w:bCs/>
        </w:rPr>
        <w:t xml:space="preserve">80 frontline users on Microsoft 365 F3</w:t>
      </w:r>
      <w:r>
        <w:t xml:space="preserve"> with the F5 Security + Compliance add-on, covering the shop floor, including the approximately 40 shop-floor devices that require Microsoft 365 access.</w:t>
      </w:r>
    </w:p>
    <w:p>
      <w:pPr>
        <w:pStyle w:val="BodyText"/>
      </w:pPr>
      <w:r>
        <w:t xml:space="preserve">Entitlements relevant to this design are covered across all three tiers:</w:t>
      </w:r>
    </w:p>
    <w:p>
      <w:pPr>
        <w:pStyle w:val="ListTA"/>
      </w:pPr>
      <w:r>
        <w:rPr>
          <w:b/>
          <w:bCs/>
        </w:rPr>
        <w:t xml:space="preserve">Microsoft Entra ID P2</w:t>
      </w:r>
      <w:r>
        <w:t xml:space="preserve"> is licensed for all 150 users, through G5 (15), the Defender and Purview Suite add-on (55), and the F5 Security + Compliance add-on (80). Risk-based Conditional Access policies 7 and 8 are therefore licensed tenant-wide.</w:t>
      </w:r>
    </w:p>
    <w:p>
      <w:pPr>
        <w:pStyle w:val="ListTA"/>
      </w:pPr>
      <w:r>
        <w:rPr>
          <w:b/>
          <w:bCs/>
        </w:rPr>
        <w:t xml:space="preserve">Microsoft Defender for Endpoint P2</w:t>
      </w:r>
      <w:r>
        <w:t xml:space="preserve"> is covered for all managed Windows endpoints.</w:t>
      </w:r>
    </w:p>
    <w:p>
      <w:pPr>
        <w:pStyle w:val="ListTA"/>
      </w:pPr>
      <w:r>
        <w:rPr>
          <w:b/>
          <w:bCs/>
        </w:rPr>
        <w:t xml:space="preserve">Microsoft Purview information protection</w:t>
      </w:r>
      <w:r>
        <w:t xml:space="preserve">, including sensitivity labeling, unified DLP, and Endpoint DLP, is covered for all users.</w:t>
      </w:r>
    </w:p>
    <w:p>
      <w:pPr>
        <w:pStyle w:val="ListTA"/>
      </w:pPr>
      <w:r>
        <w:rPr>
          <w:b/>
          <w:bCs/>
        </w:rPr>
        <w:t xml:space="preserve">Teams Phone</w:t>
      </w:r>
      <w:r>
        <w:t xml:space="preserve"> is licensed for 70 users: the 55 Teams Phone Standard licenses plus the 15 G5 users, whose license includes Teams Phone. The 80 frontline users receive no phone service.</w:t>
      </w:r>
    </w:p>
    <w:p>
      <w:pPr>
        <w:pStyle w:val="BodyText"/>
      </w:pPr>
      <w:r>
        <w:t xml:space="preserve">Licenses will be assigned by </w:t>
      </w:r>
      <w:r>
        <w:rPr>
          <w:b/>
          <w:bCs/>
        </w:rPr>
        <w:t xml:space="preserve">group-based licensing</w:t>
      </w:r>
      <w:r>
        <w:t xml:space="preserve">. The license groups are security groups created in on-premises Active Directory and synchronized to Entra ID, so that license assignment follows the account lifecycle: accounts are created in Active Directory, added to the appropriate license group, and synchronized. Joiner, mover, and leaver processes are WMP-owned; Essendis documents the license groups in the Configuration Document.</w:t>
      </w:r>
    </w:p>
    <w:p>
      <w:pPr>
        <w:pStyle w:val="BodyText"/>
      </w:pPr>
      <w:r>
        <w:t xml:space="preserve">Third-party licensing — AvePoint Fly, ForensIT, and the CallTower service — and the wind-down of the overlapping Microsoft 365 Commercial subscriptions are handled in procurement and are not part of this design.</w:t>
      </w:r>
    </w:p>
    <w:p w14:paraId="5E46868F" w14:textId="77777777" w:rsidR="0004046D" w:rsidRDefault="0004046D" w:rsidP="00381651">
      <w:pPr>
        <w:pStyle w:val="Heading2"/>
      </w:pPr>
      <w:bookmarkStart w:id="1885" w:name="_Toc222995597"/>
      <w:bookmarkStart w:id="1886" w:name="_Toc238469951"/>
      <w:r>
        <w:t>Baseline Security</w:t>
      </w:r>
      <w:bookmarkEnd w:id="1885"/>
      <w:bookmarkEnd w:id="1886"/>
    </w:p>
    <w:p w14:paraId="52A51196" w14:textId="77777777" w:rsidR="00381651" w:rsidRDefault="00381651" w:rsidP="00644A8A">
      <w:pPr>
        <w:pStyle w:val="BodyText"/>
      </w:pPr>
      <w:r>
        <w:t>The following baseline security settings will be configured</w:t>
      </w:r>
    </w:p>
    <w:p w14:paraId="21A08814" w14:textId="77777777" w:rsidR="00381651" w:rsidRPr="00F276D3" w:rsidRDefault="00381651" w:rsidP="006E3D31">
      <w:pPr>
        <w:pStyle w:val="Heading3"/>
      </w:pPr>
      <w:bookmarkStart w:id="1887" w:name="_Toc238469952"/>
      <w:r>
        <w:t>User Sign In</w:t>
      </w:r>
      <w:bookmarkEnd w:id="1887"/>
    </w:p>
    <w:p w14:paraId="26911FEA" w14:textId="77777777" w:rsidR="00381651" w:rsidRPr="00F276D3" w:rsidRDefault="00381651" w:rsidP="00644A8A">
      <w:pPr>
        <w:pStyle w:val="BodyText"/>
        <w:rPr>
          <w:rFonts w:eastAsiaTheme="minorEastAsia"/>
          <w:lang w:eastAsia="ja-JP"/>
        </w:rPr>
      </w:pPr>
      <w:r>
        <w:rPr>
          <w:rFonts w:eastAsiaTheme="minorEastAsia"/>
          <w:i/>
          <w:iCs/>
          <w:lang w:eastAsia="ja-JP"/>
        </w:rPr>
        <w:t>Password hash synchronization</w:t>
      </w:r>
      <w:r>
        <w:rPr>
          <w:rFonts w:eastAsiaTheme="minorEastAsia"/>
          <w:lang w:eastAsia="ja-JP"/>
        </w:rPr>
        <w:t xml:space="preserve"> - User passwords are synchronized to Microsoft Entra ID as a password hash. Authentication occurs in the cloud.</w:t>
      </w:r>
    </w:p>
    <w:p w14:paraId="288213C6" w14:textId="77777777" w:rsidR="00381651" w:rsidRPr="0019694F" w:rsidRDefault="00381651" w:rsidP="006E3D31">
      <w:pPr>
        <w:pStyle w:val="Heading3"/>
      </w:pPr>
      <w:bookmarkStart w:id="1888" w:name="_Toc222995599"/>
      <w:bookmarkStart w:id="1889" w:name="_Toc238469953"/>
      <w:r>
        <w:t>Multi-Factor Authentication (MFA)</w:t>
      </w:r>
      <w:bookmarkEnd w:id="1888"/>
      <w:bookmarkEnd w:id="1889"/>
    </w:p>
    <w:p w14:paraId="213D5C83" w14:textId="77777777" w:rsidR="00381651" w:rsidRPr="00F276D3" w:rsidRDefault="00381651" w:rsidP="00644A8A">
      <w:pPr>
        <w:pStyle w:val="BodyText"/>
        <w:rPr>
          <w:rFonts w:eastAsiaTheme="minorEastAsia"/>
          <w:lang w:eastAsia="ja-JP"/>
        </w:rPr>
      </w:pPr>
      <w:r>
        <w:rPr>
          <w:rFonts w:eastAsiaTheme="minorEastAsia"/>
          <w:lang w:eastAsia="ja-JP"/>
        </w:rPr>
        <w:t>This solution will use Conditional Access policies to enforce Multi-Factor Authentication (MFA) based on group membership. This will allow more control than the default "on or off" blanket configuration.  </w:t>
      </w:r>
    </w:p>
    <w:p>
      <w:pPr>
        <w:pStyle w:val="BodyText"/>
      </w:pPr>
      <w:r>
        <w:t xml:space="preserve">Authentication methods are defined as follows:</w:t>
      </w:r>
    </w:p>
    <w:p>
      <w:pPr>
        <w:pStyle w:val="ListTA"/>
      </w:pPr>
      <w:r>
        <w:rPr>
          <w:b/>
          <w:bCs/>
        </w:rPr>
        <w:t xml:space="preserve">All users, including shop floor:</w:t>
      </w:r>
      <w:r>
        <w:t xml:space="preserve"> the Microsoft Authenticator app is the primary method.</w:t>
      </w:r>
    </w:p>
    <w:p>
      <w:pPr>
        <w:pStyle w:val="ListTA"/>
      </w:pPr>
      <w:r>
        <w:rPr>
          <w:b/>
          <w:bCs/>
        </w:rPr>
        <w:t xml:space="preserve">Fallback:</w:t>
      </w:r>
      <w:r>
        <w:t xml:space="preserve"> a YubiKey (FIDO2 security key) is issued as the fallback method where the Authenticator app is not workable for a user. The YubiKey quantity is sized from the fallback-user list produced at implementation.</w:t>
      </w:r>
      <w:commentRangeStart w:id="2089"/>
      <w:r>
        <w:rPr>
          <w:highlight w:val="yellow"/>
        </w:rPr>
        <w:t xml:space="preserve"> [TBD: fallback-user count and YubiKey procurement owner]</w:t>
      </w:r>
      <w:commentRangeEnd w:id="2089"/>
      <w:r>
        <w:rPr>
          <w:rStyle w:val="CommentReference"/>
        </w:rPr>
        <w:commentReference w:id="2089"/>
      </w:r>
    </w:p>
    <w:p>
      <w:pPr>
        <w:pStyle w:val="ListTA"/>
      </w:pPr>
      <w:r>
        <w:rPr>
          <w:b/>
          <w:bCs/>
        </w:rPr>
        <w:t xml:space="preserve">Administrators:</w:t>
      </w:r>
      <w:r>
        <w:t xml:space="preserve"> phishing-resistant authentication is required — either a passkey held in Microsoft Authenticator or a YubiKey. This matches the authentication strength required by Conditional Access policies 2 and 4.</w:t>
      </w:r>
    </w:p>
    <w:p>
      <w:pPr>
        <w:pStyle w:val="ListTA"/>
      </w:pPr>
      <w:r>
        <w:rPr>
          <w:b/>
          <w:bCs/>
        </w:rPr>
        <w:t xml:space="preserve">Disabled methods:</w:t>
      </w:r>
      <w:r>
        <w:t xml:space="preserve"> SMS and voice call are disabled as authentication methods for all users.</w:t>
      </w:r>
    </w:p>
    <w:p>
      <w:pPr>
        <w:pStyle w:val="BodyText"/>
      </w:pPr>
      <w:r>
        <w:t xml:space="preserve">Registration is completed before cutover, using Temporary Access Passes or on-site registration sessions; the registration campaign is part of the communications plan.</w:t>
      </w:r>
    </w:p>
    <w:p>
      <w:pPr>
        <w:pStyle w:val="BodyText"/>
      </w:pPr>
      <w:r>
        <w:t xml:space="preserve">RSA remains in place for multifactor authentication to on-premises Windows desktops and is not replaced by this design. The RSA Authenticator application is deployed to managed mobile devices (see Mobile Device Management).</w:t>
      </w:r>
    </w:p>
    <w:p w14:paraId="4EA7A246" w14:textId="77777777" w:rsidR="00381651" w:rsidRPr="00F276D3" w:rsidRDefault="00381651" w:rsidP="006E3D31">
      <w:pPr>
        <w:pStyle w:val="Heading3"/>
      </w:pPr>
      <w:bookmarkStart w:id="1890" w:name="_Toc238469954"/>
      <w:r>
        <w:t>Legacy Authentication</w:t>
      </w:r>
      <w:bookmarkEnd w:id="1890"/>
    </w:p>
    <w:p w14:paraId="10094773" w14:textId="77777777" w:rsidR="00381651" w:rsidRPr="00F276D3" w:rsidRDefault="00381651" w:rsidP="00644A8A">
      <w:pPr>
        <w:pStyle w:val="BodyText"/>
        <w:rPr>
          <w:rFonts w:eastAsiaTheme="minorEastAsia"/>
          <w:lang w:eastAsia="ja-JP"/>
        </w:rPr>
      </w:pPr>
      <w:r>
        <w:rPr>
          <w:rFonts w:eastAsiaTheme="minorEastAsia"/>
          <w:lang w:eastAsia="ja-JP"/>
        </w:rPr>
        <w:t>Legacy Authentication will be disabled</w:t>
      </w:r>
    </w:p>
    <w:p w14:paraId="4F06CF75" w14:textId="77777777" w:rsidR="00381651" w:rsidRDefault="00381651" w:rsidP="006E3D31">
      <w:pPr>
        <w:pStyle w:val="Heading3"/>
      </w:pPr>
      <w:bookmarkStart w:id="1891" w:name="_Toc238469955"/>
      <w:r>
        <w:t>Single Sign-On</w:t>
      </w:r>
      <w:bookmarkEnd w:id="1891"/>
    </w:p>
    <w:p w14:paraId="53519CAF" w14:textId="77777777" w:rsidR="00381651" w:rsidRDefault="00381651" w:rsidP="00644A8A">
      <w:pPr>
        <w:pStyle w:val="BodyText"/>
      </w:pPr>
      <w:r>
        <w:t xml:space="preserve">Microsoft Entra ID Connect Seamless Single Sign-on (SSO) is a feature that allows users to automatically sign in to Microsoft Entra ID and other associated applications when they're on their corporate network or </w:t>
        <w:lastRenderedPageBreak/>
        <w:t>devices. This eliminates the need for users to manually enter their credentials, streamlining the sign-in process. Conditional access policies and MFA will still be required.</w:t>
      </w:r>
    </w:p>
    <w:p w14:paraId="2E309A44" w14:textId="77777777" w:rsidR="00381651" w:rsidRDefault="00381651" w:rsidP="006E3D31">
      <w:pPr>
        <w:pStyle w:val="Heading3"/>
      </w:pPr>
      <w:bookmarkStart w:id="1896" w:name="_Toc238469956"/>
      <w:r>
        <w:t>Smart Lockout</w:t>
      </w:r>
      <w:bookmarkEnd w:id="1896"/>
    </w:p>
    <w:p w14:paraId="199AF594" w14:textId="77777777" w:rsidR="00381651" w:rsidRDefault="00381651" w:rsidP="00644A8A">
      <w:pPr>
        <w:pStyle w:val="BodyText"/>
        <w:rPr>
          <w:rFonts w:eastAsiaTheme="minorEastAsia"/>
          <w:lang w:eastAsia="ja-JP"/>
        </w:rPr>
      </w:pPr>
      <w:r>
        <w:rPr>
          <w:rFonts w:eastAsiaTheme="minorEastAsia"/>
          <w:lang w:eastAsia="ja-JP"/>
        </w:rPr>
        <w:t>Smart lockout helps lock out bad actors that try to guess your users' passwords or use brute-force methods to get in. Smart lockout can recognize sign-ins that come from valid users and treat them differently than ones of attackers and other unknown sources.</w:t>
      </w:r>
    </w:p>
    <w:p w14:paraId="68CBDE31" w14:textId="77777777" w:rsidR="00381651" w:rsidRDefault="00381651" w:rsidP="006E3D31">
      <w:pPr>
        <w:pStyle w:val="Heading3"/>
      </w:pPr>
      <w:bookmarkStart w:id="1897" w:name="_Toc238469957"/>
      <w:r>
        <w:t>Self Service Password Reset</w:t>
      </w:r>
      <w:bookmarkEnd w:id="1897"/>
    </w:p>
    <w:p w14:paraId="7017FD2D" w14:textId="77777777" w:rsidR="00381651" w:rsidRDefault="00381651" w:rsidP="00644A8A">
      <w:pPr>
        <w:pStyle w:val="BodyText"/>
        <w:rPr>
          <w:rFonts w:eastAsiaTheme="minorEastAsia"/>
          <w:lang w:eastAsia="ja-JP"/>
        </w:rPr>
      </w:pPr>
      <w:r>
        <w:rPr>
          <w:rFonts w:eastAsiaTheme="minorEastAsia"/>
          <w:lang w:eastAsia="ja-JP"/>
        </w:rPr>
        <w:t xml:space="preserve">Self Service Password Reset will be enabled for this tenant. By default, administrator accounts are enabled for self-service password reset, and a strong default two-gate password reset policy is enforced instead of the normal user policy.  </w:t>
      </w:r>
    </w:p>
    <w:p>
      <w:pPr>
        <w:pStyle w:val="BodyText"/>
      </w:pPr>
      <w:commentRangeStart w:id="2093"/>
      <w:r>
        <w:t xml:space="preserve">The final self-service password reset tooling is still under evaluation: Microsoft 365 SSPR, Netwrix, and ManageEngine are being compared by WMP. This design assumes Microsoft 365 SSPR; if WMP selects a third-party tool, the writeback and enablement configuration is revisited.</w:t>
      </w:r>
      <w:commentRangeEnd w:id="2093"/>
      <w:r>
        <w:rPr>
          <w:rStyle w:val="CommentReference"/>
        </w:rPr>
        <w:commentReference w:id="2093"/>
      </w:r>
    </w:p>
    <w:p w14:paraId="491A3D59" w14:textId="77777777" w:rsidR="00381651" w:rsidRDefault="00381651" w:rsidP="006E3D31">
      <w:pPr>
        <w:pStyle w:val="Heading3"/>
      </w:pPr>
      <w:bookmarkStart w:id="1904" w:name="_Toc238469958"/>
      <w:r>
        <w:t>Password Settings</w:t>
      </w:r>
      <w:bookmarkEnd w:id="1904"/>
    </w:p>
    <w:p w14:paraId="0EB0482A" w14:textId="77777777" w:rsidR="00381651" w:rsidRPr="003C4492" w:rsidRDefault="00381651" w:rsidP="00644A8A">
      <w:pPr>
        <w:pStyle w:val="BodyText"/>
        <w:rPr>
          <w:rFonts w:eastAsiaTheme="minorEastAsia"/>
          <w:lang w:eastAsia="ja-JP"/>
        </w:rPr>
      </w:pPr>
      <w:r>
        <w:rPr>
          <w:rFonts w:eastAsiaTheme="minorEastAsia"/>
          <w:lang w:eastAsia="ja-JP"/>
        </w:rPr>
        <w:t xml:space="preserve">By default, an account is locked out after 3 unsuccessful sign-in attempts with the wrong password. The user is locked out for one minute. Further incorrect sign-in attempts lock out the user for increasing durations of time. Smart lockout tracks the last three bad password hashes to avoid incrementing the lockout counter for the same password. If someone enters the same bad password multiple times, this behavior will not cause the account to lock out. You can define the smart lockout threshold and duration. </w:t>
      </w:r>
    </w:p>
    <w:p w14:paraId="1BCD3C04" w14:textId="77777777" w:rsidR="00381651" w:rsidRDefault="00381651" w:rsidP="00644A8A">
      <w:pPr>
        <w:pStyle w:val="BodyText"/>
        <w:rPr>
          <w:rFonts w:eastAsiaTheme="minorEastAsia"/>
          <w:lang w:eastAsia="ja-JP"/>
        </w:rPr>
      </w:pPr>
      <w:r>
        <w:rPr>
          <w:rFonts w:eastAsiaTheme="minorEastAsia"/>
          <w:lang w:eastAsia="ja-JP"/>
        </w:rPr>
        <w:t>See the Entra password policy options as defined*. Unless noted, you can't change these settings</w:t>
      </w:r>
    </w:p>
    <w:p>
      <w:pPr>
        <w:pStyle w:val="BodyText"/>
      </w:pPr>
      <w:r>
        <w:t xml:space="preserve">Note: passwords for synchronized users are governed by the on-premises Active Directory password policy, which continues to apply because identities are mastered in Active Directory and synchronized with password hash synchronization. The Entra ID password policy above applies to cloud-only accounts, including the emergency accounts.</w:t>
      </w:r>
    </w:p>
    <w:p w14:paraId="07E23B6F" w14:textId="77777777" w:rsidR="008178F9" w:rsidRDefault="008178F9" w:rsidP="006E3D31">
      <w:pPr>
        <w:pStyle w:val="Heading3"/>
      </w:pPr>
      <w:bookmarkStart w:id="1905" w:name="_Toc238469959"/>
      <w:r>
        <w:t>Emergency Accounts</w:t>
      </w:r>
      <w:bookmarkEnd w:id="1905"/>
    </w:p>
    <w:p w14:paraId="0D0ED6DC" w14:textId="77777777" w:rsidR="008178F9" w:rsidRDefault="008178F9" w:rsidP="00644A8A">
      <w:pPr>
        <w:pStyle w:val="BodyText"/>
        <w:rPr>
          <w:rFonts w:eastAsiaTheme="minorEastAsia"/>
          <w:lang w:eastAsia="ja-JP"/>
        </w:rPr>
      </w:pPr>
      <w:r>
        <w:rPr>
          <w:rFonts w:eastAsiaTheme="minorEastAsia"/>
          <w:lang w:eastAsia="ja-JP"/>
        </w:rPr>
        <w:t xml:space="preserve">Solution will require at least two cloud-only permanent global administrator accounts created for use if there is an emergency. These accounts are not used daily and should have long and complex passwords. These "Break Glass” accounts ensure you can access the service in an emergency. </w:t>
      </w:r>
    </w:p>
    <w:p w14:paraId="0D557EFB" w14:textId="4667350B" w:rsidR="001E4357" w:rsidRDefault="003D53F5" w:rsidP="001E4357">
      <w:pPr>
        <w:pStyle w:val="ListTA"/>
        <w:rPr>
          <w:lang w:eastAsia="ja-JP"/>
        </w:rPr>
      </w:pPr>
      <w:r>
        <w:rPr>
          <w:lang w:eastAsia="ja-JP"/>
        </w:rPr>
        <w:t>BreakGlass1@</w:t>
      </w:r>
      <w:sdt>
        <w:sdtPr>
          <w:rPr>
            <w:lang w:eastAsia="ja-JP"/>
          </w:rPr>
          <w:alias w:val="Client Tenant Subdomain"/>
          <w:tag w:val=""/>
          <w:id w:val="61908211"/>
          <w:placeholder>
            <w:docPart w:val="2B1D09EF8BBC4C77BE8E17590BB1F050"/>
          </w:placeholder>
          <w:dataBinding w:prefixMappings="xmlns:ec='urn:essendis:engagement-profile' " w:xpath="/ec:engagement[1]/ec:ClientTenant[1]" w:storeItemID="{E55E11D8-6A7D-4C25-9E68-2A3B8F0C4D91}"/>
          <w:text/>
        </w:sdtPr>
        <w:sdtEndPr/>
        <w:sdtContent>
          <w:r>
            <w:rPr>
              <w:lang w:eastAsia="ja-JP"/>
            </w:rPr>
            <w:t>wisconsinmetalparts</w:t>
          </w:r>
        </w:sdtContent>
      </w:sdt>
      <w:r>
        <w:rPr>
          <w:lang w:eastAsia="ja-JP"/>
        </w:rPr>
        <w:t>.onmicrosoft.us</w:t>
      </w:r>
    </w:p>
    <w:p w14:paraId="23F51A7C" w14:textId="506309AE" w:rsidR="001E4357" w:rsidRPr="001E4357" w:rsidRDefault="001E4357" w:rsidP="00360470">
      <w:pPr>
        <w:pStyle w:val="ListTA"/>
        <w:rPr>
          <w:rFonts w:eastAsiaTheme="minorEastAsia"/>
          <w:i/>
          <w:iCs/>
          <w:lang w:eastAsia="ja-JP"/>
        </w:rPr>
      </w:pPr>
      <w:r>
        <w:rPr>
          <w:rStyle w:val="Hyperlink"/>
          <w:rFonts w:eastAsiaTheme="minorEastAsia"/>
          <w:lang w:eastAsia="ja-JP"/>
        </w:rPr>
        <w:t>BreakGlass2@</w:t>
      </w:r>
      <w:sdt>
        <w:sdtPr>
          <w:rPr>
            <w:rStyle w:val="Hyperlink"/>
            <w:rFonts w:eastAsiaTheme="minorEastAsia"/>
            <w:lang w:eastAsia="ja-JP"/>
          </w:rPr>
          <w:alias w:val="Client Tenant Subdomain"/>
          <w:tag w:val=""/>
          <w:id w:val="1234629445"/>
          <w:placeholder>
            <w:docPart w:val="2B1D09EF8BBC4C77BE8E17590BB1F050"/>
          </w:placeholder>
          <w:dataBinding w:prefixMappings="xmlns:ec='urn:essendis:engagement-profile' " w:xpath="/ec:engagement[1]/ec:ClientTenant[1]" w:storeItemID="{E55E11D8-6A7D-4C25-9E68-2A3B8F0C4D91}"/>
          <w:text/>
        </w:sdtPr>
        <w:sdtEndPr>
          <w:rPr>
            <w:rStyle w:val="Hyperlink"/>
          </w:rPr>
        </w:sdtEndPr>
        <w:sdtContent>
          <w:r>
            <w:rPr>
              <w:rStyle w:val="Hyperlink"/>
              <w:rFonts w:eastAsiaTheme="minorEastAsia"/>
              <w:lang w:eastAsia="ja-JP"/>
            </w:rPr>
            <w:t>wisconsinmetalparts</w:t>
          </w:r>
        </w:sdtContent>
      </w:sdt>
      <w:r>
        <w:rPr>
          <w:rStyle w:val="Hyperlink"/>
          <w:rFonts w:eastAsiaTheme="minorEastAsia"/>
          <w:lang w:eastAsia="ja-JP"/>
        </w:rPr>
        <w:t>.onmicrosoft.us</w:t>
      </w:r>
    </w:p>
    <w:p>
      <w:pPr>
        <w:pStyle w:val="BodyText"/>
      </w:pPr>
      <w:commentRangeStart w:id="2098"/>
      <w:r>
        <w:t xml:space="preserve">Sign-in activity for the emergency accounts will be alerted on. Monitoring and alerting tooling is WMP-owned and outside the scope of this design (see Scope), so the alert is implemented with a Microsoft 365 native mechanism selected by WMP — for example a Microsoft Entra ID sign-in alert or a Microsoft 365 alert policy. WMP holds an Azure subscription and may elect to use Log Analytics instead. Whichever mechanism is chosen, the alert must be in place and tested before the accounts are excluded from Conditional Access.</w:t>
      </w:r>
      <w:commentRangeEnd w:id="2098"/>
      <w:r>
        <w:rPr>
          <w:rStyle w:val="CommentReference"/>
        </w:rPr>
        <w:commentReference w:id="2098"/>
      </w:r>
    </w:p>
    <w:p w14:paraId="301C34FE" w14:textId="77777777" w:rsidR="008178F9" w:rsidRDefault="008178F9" w:rsidP="006E3D31">
      <w:pPr>
        <w:pStyle w:val="Heading3"/>
      </w:pPr>
      <w:bookmarkStart w:id="1910" w:name="_Toc238469960"/>
      <w:r>
        <w:lastRenderedPageBreak/>
        <w:t>Privileged Identity Management</w:t>
      </w:r>
      <w:bookmarkEnd w:id="1910"/>
    </w:p>
    <w:p w14:paraId="4529AF3E" w14:textId="77777777" w:rsidR="008178F9" w:rsidRPr="00F83D36" w:rsidRDefault="008178F9" w:rsidP="00644A8A">
      <w:pPr>
        <w:pStyle w:val="BodyText"/>
        <w:rPr>
          <w:rFonts w:eastAsiaTheme="minorEastAsia"/>
          <w:lang w:eastAsia="ja-JP"/>
        </w:rPr>
      </w:pPr>
      <w:r>
        <w:rPr>
          <w:rFonts w:eastAsiaTheme="minorEastAsia"/>
          <w:lang w:eastAsia="ja-JP"/>
        </w:rPr>
        <w:t>Solution will use Privileged Identity Management (PIM) to: </w:t>
      </w:r>
    </w:p>
    <w:p w14:paraId="6B34B57D" w14:textId="77777777" w:rsidR="008178F9" w:rsidRDefault="008178F9" w:rsidP="00FE518C">
      <w:pPr>
        <w:pStyle w:val="ListTA"/>
        <w:rPr>
          <w:lang w:eastAsia="ja-JP"/>
        </w:rPr>
      </w:pPr>
      <w:r>
        <w:t xml:space="preserve">Provide just-in-time privileged access to Microsoft Entra ID roles</w:t>
      </w:r>
      <w:r>
        <w:rPr>
          <w:lang w:eastAsia="ja-JP"/>
        </w:rPr>
        <w:t xml:space="preserve"> </w:t>
      </w:r>
    </w:p>
    <w:p w14:paraId="60235FB0" w14:textId="77777777" w:rsidR="008178F9" w:rsidRDefault="008178F9" w:rsidP="00FE518C">
      <w:pPr>
        <w:pStyle w:val="ListTA"/>
        <w:rPr>
          <w:lang w:eastAsia="ja-JP"/>
        </w:rPr>
      </w:pPr>
      <w:r>
        <w:rPr>
          <w:lang w:eastAsia="ja-JP"/>
        </w:rPr>
        <w:t>Assign</w:t>
      </w:r>
      <w:r>
        <w:rPr>
          <w:rFonts w:ascii="Arial" w:hAnsi="Arial" w:cs="Arial"/>
          <w:lang w:eastAsia="ja-JP"/>
        </w:rPr>
        <w:t> </w:t>
      </w:r>
      <w:r>
        <w:rPr>
          <w:lang w:eastAsia="ja-JP"/>
        </w:rPr>
        <w:t>time-bound</w:t>
      </w:r>
      <w:r>
        <w:rPr>
          <w:rFonts w:ascii="Arial" w:hAnsi="Arial" w:cs="Arial"/>
          <w:lang w:eastAsia="ja-JP"/>
        </w:rPr>
        <w:t> </w:t>
      </w:r>
      <w:r>
        <w:rPr>
          <w:lang w:eastAsia="ja-JP"/>
        </w:rPr>
        <w:t>access to resources using start and end dates </w:t>
      </w:r>
    </w:p>
    <w:p w14:paraId="481AD6B4" w14:textId="77777777" w:rsidR="008178F9" w:rsidRDefault="008178F9" w:rsidP="00FE518C">
      <w:pPr>
        <w:pStyle w:val="ListTA"/>
        <w:rPr>
          <w:lang w:eastAsia="ja-JP"/>
        </w:rPr>
      </w:pPr>
      <w:r>
        <w:rPr>
          <w:lang w:eastAsia="ja-JP"/>
        </w:rPr>
        <w:t>Require</w:t>
      </w:r>
      <w:r>
        <w:rPr>
          <w:rFonts w:ascii="Arial" w:hAnsi="Arial" w:cs="Arial"/>
          <w:lang w:eastAsia="ja-JP"/>
        </w:rPr>
        <w:t> </w:t>
      </w:r>
      <w:r>
        <w:rPr>
          <w:lang w:eastAsia="ja-JP"/>
        </w:rPr>
        <w:t>approval</w:t>
      </w:r>
      <w:r>
        <w:rPr>
          <w:rFonts w:ascii="Arial" w:hAnsi="Arial" w:cs="Arial"/>
          <w:lang w:eastAsia="ja-JP"/>
        </w:rPr>
        <w:t> </w:t>
      </w:r>
      <w:r>
        <w:rPr>
          <w:lang w:eastAsia="ja-JP"/>
        </w:rPr>
        <w:t>to activate privileged roles </w:t>
      </w:r>
    </w:p>
    <w:p w14:paraId="48AB8338" w14:textId="77777777" w:rsidR="008178F9" w:rsidRDefault="008178F9" w:rsidP="00FE518C">
      <w:pPr>
        <w:pStyle w:val="ListTA"/>
        <w:rPr>
          <w:lang w:eastAsia="ja-JP"/>
        </w:rPr>
      </w:pPr>
      <w:r>
        <w:rPr>
          <w:lang w:eastAsia="ja-JP"/>
        </w:rPr>
        <w:t>Enforce</w:t>
      </w:r>
      <w:r>
        <w:rPr>
          <w:rFonts w:ascii="Arial" w:hAnsi="Arial" w:cs="Arial"/>
          <w:lang w:eastAsia="ja-JP"/>
        </w:rPr>
        <w:t> </w:t>
      </w:r>
      <w:r>
        <w:rPr>
          <w:lang w:eastAsia="ja-JP"/>
        </w:rPr>
        <w:t>multi-factor authentication</w:t>
      </w:r>
      <w:r>
        <w:rPr>
          <w:rFonts w:ascii="Arial" w:hAnsi="Arial" w:cs="Arial"/>
          <w:lang w:eastAsia="ja-JP"/>
        </w:rPr>
        <w:t> </w:t>
      </w:r>
      <w:r>
        <w:rPr>
          <w:lang w:eastAsia="ja-JP"/>
        </w:rPr>
        <w:t>to activate any role </w:t>
      </w:r>
    </w:p>
    <w:p w14:paraId="76D5CE49" w14:textId="77777777" w:rsidR="008178F9" w:rsidRDefault="008178F9" w:rsidP="00FE518C">
      <w:pPr>
        <w:pStyle w:val="ListTA"/>
        <w:rPr>
          <w:lang w:eastAsia="ja-JP"/>
        </w:rPr>
      </w:pPr>
      <w:r>
        <w:rPr>
          <w:lang w:eastAsia="ja-JP"/>
        </w:rPr>
        <w:t>Use</w:t>
      </w:r>
      <w:r>
        <w:rPr>
          <w:rFonts w:ascii="Arial" w:hAnsi="Arial" w:cs="Arial"/>
          <w:lang w:eastAsia="ja-JP"/>
        </w:rPr>
        <w:t> </w:t>
      </w:r>
      <w:r>
        <w:rPr>
          <w:lang w:eastAsia="ja-JP"/>
        </w:rPr>
        <w:t>justification</w:t>
      </w:r>
      <w:r>
        <w:rPr>
          <w:rFonts w:ascii="Arial" w:hAnsi="Arial" w:cs="Arial"/>
          <w:lang w:eastAsia="ja-JP"/>
        </w:rPr>
        <w:t> </w:t>
      </w:r>
      <w:r>
        <w:rPr>
          <w:lang w:eastAsia="ja-JP"/>
        </w:rPr>
        <w:t>to understand why users activate </w:t>
      </w:r>
    </w:p>
    <w:p w14:paraId="0357C9A6" w14:textId="77777777" w:rsidR="008178F9" w:rsidRDefault="008178F9" w:rsidP="00FE518C">
      <w:pPr>
        <w:pStyle w:val="ListTA"/>
        <w:rPr>
          <w:lang w:eastAsia="ja-JP"/>
        </w:rPr>
      </w:pPr>
      <w:r>
        <w:rPr>
          <w:lang w:eastAsia="ja-JP"/>
        </w:rPr>
        <w:t>Get</w:t>
      </w:r>
      <w:r>
        <w:rPr>
          <w:rFonts w:ascii="Arial" w:hAnsi="Arial" w:cs="Arial"/>
          <w:lang w:eastAsia="ja-JP"/>
        </w:rPr>
        <w:t> </w:t>
      </w:r>
      <w:r>
        <w:rPr>
          <w:lang w:eastAsia="ja-JP"/>
        </w:rPr>
        <w:t>notifications</w:t>
      </w:r>
      <w:r>
        <w:rPr>
          <w:rFonts w:ascii="Arial" w:hAnsi="Arial" w:cs="Arial"/>
          <w:lang w:eastAsia="ja-JP"/>
        </w:rPr>
        <w:t> </w:t>
      </w:r>
      <w:r>
        <w:rPr>
          <w:lang w:eastAsia="ja-JP"/>
        </w:rPr>
        <w:t>when privileged roles are activated </w:t>
      </w:r>
    </w:p>
    <w:p w14:paraId="59DF93FC" w14:textId="77777777" w:rsidR="008178F9" w:rsidRDefault="008178F9" w:rsidP="00FE518C">
      <w:pPr>
        <w:pStyle w:val="ListTA"/>
        <w:rPr>
          <w:lang w:eastAsia="ja-JP"/>
        </w:rPr>
      </w:pPr>
      <w:r>
        <w:rPr>
          <w:lang w:eastAsia="ja-JP"/>
        </w:rPr>
        <w:t>Conduct</w:t>
      </w:r>
      <w:r>
        <w:rPr>
          <w:rFonts w:ascii="Arial" w:hAnsi="Arial" w:cs="Arial"/>
          <w:lang w:eastAsia="ja-JP"/>
        </w:rPr>
        <w:t> </w:t>
      </w:r>
      <w:r>
        <w:rPr>
          <w:lang w:eastAsia="ja-JP"/>
        </w:rPr>
        <w:t>access reviews</w:t>
      </w:r>
      <w:r>
        <w:rPr>
          <w:rFonts w:ascii="Arial" w:hAnsi="Arial" w:cs="Arial"/>
          <w:lang w:eastAsia="ja-JP"/>
        </w:rPr>
        <w:t> </w:t>
      </w:r>
      <w:r>
        <w:rPr>
          <w:lang w:eastAsia="ja-JP"/>
        </w:rPr>
        <w:t>to ensure users still need roles </w:t>
      </w:r>
    </w:p>
    <w:p w14:paraId="713D0A9A" w14:textId="77777777" w:rsidR="008178F9" w:rsidRPr="00C26605" w:rsidRDefault="008178F9" w:rsidP="00FE518C">
      <w:pPr>
        <w:pStyle w:val="ListTA"/>
        <w:rPr>
          <w:lang w:eastAsia="ja-JP"/>
        </w:rPr>
      </w:pPr>
      <w:r>
        <w:rPr>
          <w:lang w:eastAsia="ja-JP"/>
        </w:rPr>
        <w:t>Download</w:t>
      </w:r>
      <w:r>
        <w:rPr>
          <w:rFonts w:ascii="Arial" w:hAnsi="Arial" w:cs="Arial"/>
          <w:lang w:eastAsia="ja-JP"/>
        </w:rPr>
        <w:t> </w:t>
      </w:r>
      <w:r>
        <w:rPr>
          <w:lang w:eastAsia="ja-JP"/>
        </w:rPr>
        <w:t>audit history</w:t>
      </w:r>
      <w:r>
        <w:rPr>
          <w:rFonts w:ascii="Arial" w:hAnsi="Arial" w:cs="Arial"/>
          <w:lang w:eastAsia="ja-JP"/>
        </w:rPr>
        <w:t> </w:t>
      </w:r>
      <w:r>
        <w:rPr>
          <w:lang w:eastAsia="ja-JP"/>
        </w:rPr>
        <w:t>for internal or external audit </w:t>
      </w:r>
    </w:p>
    <w:p w14:paraId="4DCCB0E7" w14:textId="77777777" w:rsidR="008178F9" w:rsidRDefault="008178F9" w:rsidP="006E3D31">
      <w:pPr>
        <w:pStyle w:val="Heading3"/>
      </w:pPr>
      <w:bookmarkStart w:id="1911" w:name="_Toc238469961"/>
      <w:r>
        <w:t>Conditional Access</w:t>
      </w:r>
      <w:bookmarkEnd w:id="1911"/>
      <w:r>
        <w:t xml:space="preserve"> </w:t>
      </w:r>
    </w:p>
    <w:p w14:paraId="40AB6A9B" w14:textId="77777777" w:rsidR="008178F9" w:rsidRDefault="008178F9" w:rsidP="00644A8A">
      <w:pPr>
        <w:pStyle w:val="BodyText"/>
        <w:rPr>
          <w:rFonts w:eastAsiaTheme="minorEastAsia"/>
          <w:lang w:eastAsia="ja-JP"/>
        </w:rPr>
      </w:pPr>
      <w:r>
        <w:rPr>
          <w:rFonts w:eastAsiaTheme="minorEastAsia"/>
          <w:lang w:eastAsia="ja-JP"/>
        </w:rPr>
        <w:t>The solution will use conditional access policies to enforce Multi-factor authentication, device compliance, and minimize risky logins.</w:t>
      </w:r>
    </w:p>
    <w:p w14:paraId="0B258A3D" w14:textId="77777777" w:rsidR="004C33CD" w:rsidRPr="00556268" w:rsidRDefault="004C33CD" w:rsidP="004C33CD">
      <w:pPr>
        <w:pStyle w:val="Heading2"/>
      </w:pPr>
      <w:bookmarkStart w:id="1912" w:name="_Toc238469962"/>
      <w:r>
        <w:t>1. Block Legacy Authentication (Critical)</w:t>
      </w:r>
      <w:bookmarkEnd w:id="1912"/>
    </w:p>
    <w:p w14:paraId="3A34F60A" w14:textId="77777777" w:rsidR="004C33CD" w:rsidRPr="00556268" w:rsidRDefault="004C33CD" w:rsidP="0061545E">
      <w:pPr>
        <w:pStyle w:val="BodyText"/>
      </w:pPr>
      <w:r>
        <w:rPr>
          <w:b/>
          <w:bCs/>
        </w:rPr>
        <w:t>Policy Name:</w:t>
      </w:r>
      <w:r>
        <w:t xml:space="preserve"> CA – Block Legacy Authentication</w:t>
        <w:br/>
      </w:r>
      <w:r>
        <w:rPr>
          <w:b/>
          <w:bCs/>
        </w:rPr>
        <w:t>Assignments:</w:t>
      </w:r>
    </w:p>
    <w:p w14:paraId="1CCFBA19" w14:textId="77777777" w:rsidR="004C33CD" w:rsidRPr="00556268" w:rsidRDefault="004C33CD" w:rsidP="00921BA0">
      <w:pPr>
        <w:numPr>
          <w:ilvl w:val="0"/>
          <w:numId w:val="36"/>
        </w:numPr>
      </w:pPr>
      <w:r>
        <w:t>Users: All users</w:t>
      </w:r>
    </w:p>
    <w:p w14:paraId="68230A1A" w14:textId="77777777" w:rsidR="004C33CD" w:rsidRPr="00556268" w:rsidRDefault="004C33CD" w:rsidP="00921BA0">
      <w:pPr>
        <w:numPr>
          <w:ilvl w:val="0"/>
          <w:numId w:val="36"/>
        </w:numPr>
      </w:pPr>
      <w:r>
        <w:t>Exclude: Break-glass accounts</w:t>
      </w:r>
    </w:p>
    <w:p w14:paraId="23476A0E" w14:textId="77777777" w:rsidR="004C33CD" w:rsidRDefault="004C33CD" w:rsidP="00921BA0">
      <w:pPr>
        <w:numPr>
          <w:ilvl w:val="0"/>
          <w:numId w:val="36"/>
        </w:numPr>
      </w:pPr>
      <w:r>
        <w:t>Cloud apps: All cloud apps</w:t>
      </w:r>
    </w:p>
    <w:p w14:paraId="05BC5010" w14:textId="77777777" w:rsidR="004C33CD" w:rsidRDefault="004C33CD" w:rsidP="0061545E">
      <w:pPr>
        <w:pStyle w:val="BodyText"/>
      </w:pPr>
      <w:r>
        <w:rPr>
          <w:b/>
          <w:bCs/>
        </w:rPr>
        <w:t xml:space="preserve">Conditions: </w:t>
      </w:r>
      <w:r>
        <w:t>Client apps: Other clients (Legacy auth)</w:t>
      </w:r>
    </w:p>
    <w:p w14:paraId="24583966" w14:textId="77777777" w:rsidR="004C33CD" w:rsidRPr="00556268" w:rsidRDefault="004C33CD" w:rsidP="0061545E">
      <w:pPr>
        <w:pStyle w:val="BodyText"/>
      </w:pPr>
      <w:r>
        <w:rPr>
          <w:b/>
          <w:bCs/>
        </w:rPr>
        <w:t xml:space="preserve">Access Control: </w:t>
      </w:r>
      <w:r>
        <w:t>Block access</w:t>
      </w:r>
    </w:p>
    <w:p w14:paraId="679ED1BF" w14:textId="77777777" w:rsidR="004C33CD" w:rsidRPr="00556268" w:rsidRDefault="004C33CD" w:rsidP="0061545E">
      <w:pPr>
        <w:pStyle w:val="BodyText"/>
      </w:pPr>
      <w:r>
        <w:rPr>
          <w:b/>
          <w:bCs/>
        </w:rPr>
        <w:t>Purpose:</w:t>
      </w:r>
      <w:r>
        <w:t xml:space="preserve"> Eliminates basic auth and non-modern protocols, which are a primary compromise vector.</w:t>
      </w:r>
    </w:p>
    <w:p w14:paraId="52E18878" w14:textId="77777777" w:rsidR="004C33CD" w:rsidRPr="00556268" w:rsidRDefault="004C33CD" w:rsidP="004C33CD">
      <w:pPr>
        <w:pStyle w:val="Heading2"/>
      </w:pPr>
      <w:bookmarkStart w:id="1913" w:name="_Toc238469963"/>
      <w:r>
        <w:t>2. Require MFA for All Users</w:t>
      </w:r>
      <w:bookmarkEnd w:id="1913"/>
    </w:p>
    <w:p w14:paraId="313D35A4" w14:textId="77777777" w:rsidR="004C33CD" w:rsidRPr="00556268" w:rsidRDefault="004C33CD" w:rsidP="0061545E">
      <w:pPr>
        <w:pStyle w:val="BodyText"/>
      </w:pPr>
      <w:r>
        <w:rPr>
          <w:b/>
          <w:bCs/>
        </w:rPr>
        <w:t>Policy Name:</w:t>
      </w:r>
      <w:r>
        <w:t xml:space="preserve"> CA – Require MFA – All Users</w:t>
        <w:br/>
      </w:r>
      <w:r>
        <w:rPr>
          <w:b/>
          <w:bCs/>
        </w:rPr>
        <w:t>Assignments:</w:t>
      </w:r>
    </w:p>
    <w:p w14:paraId="143FAA73" w14:textId="77777777" w:rsidR="004C33CD" w:rsidRPr="00556268" w:rsidRDefault="004C33CD" w:rsidP="00921BA0">
      <w:pPr>
        <w:numPr>
          <w:ilvl w:val="0"/>
          <w:numId w:val="37"/>
        </w:numPr>
      </w:pPr>
      <w:r>
        <w:lastRenderedPageBreak/>
        <w:t>Users: All users</w:t>
      </w:r>
    </w:p>
    <w:p w14:paraId="697AB765" w14:textId="77777777" w:rsidR="004C33CD" w:rsidRPr="00556268" w:rsidRDefault="004C33CD" w:rsidP="00921BA0">
      <w:pPr>
        <w:numPr>
          <w:ilvl w:val="0"/>
          <w:numId w:val="37"/>
        </w:numPr>
      </w:pPr>
      <w:r>
        <w:t>Exclude: Break-glass accounts</w:t>
      </w:r>
    </w:p>
    <w:p w14:paraId="23DA91AF" w14:textId="77777777" w:rsidR="004C33CD" w:rsidRDefault="004C33CD" w:rsidP="00921BA0">
      <w:pPr>
        <w:numPr>
          <w:ilvl w:val="0"/>
          <w:numId w:val="37"/>
        </w:numPr>
      </w:pPr>
      <w:r>
        <w:t>Cloud apps: All cloud apps</w:t>
      </w:r>
    </w:p>
    <w:p w14:paraId="1313A0F2" w14:textId="77777777" w:rsidR="004C33CD" w:rsidRPr="00556268" w:rsidRDefault="004C33CD" w:rsidP="0061545E">
      <w:pPr>
        <w:pStyle w:val="BodyText"/>
      </w:pPr>
      <w:r>
        <w:t>Access Control: Require MFA</w:t>
      </w:r>
    </w:p>
    <w:p w14:paraId="73122A7E" w14:textId="77777777" w:rsidR="004C33CD" w:rsidRPr="00556268" w:rsidRDefault="004C33CD" w:rsidP="0061545E">
      <w:pPr>
        <w:pStyle w:val="BodyText"/>
      </w:pPr>
      <w:r>
        <w:t>Purpose: Establishes tenant-wide MFA enforcement.</w:t>
      </w:r>
    </w:p>
    <w:p>
      <w:pPr>
        <w:pStyle w:val="BodyText"/>
      </w:pPr>
      <w:r>
        <w:t xml:space="preserve">Authentication strengths will be used: </w:t>
      </w:r>
      <w:r>
        <w:rPr>
          <w:b/>
          <w:bCs/>
        </w:rPr>
        <w:t xml:space="preserve">phishing-resistant MFA</w:t>
      </w:r>
      <w:r>
        <w:t xml:space="preserve"> for administrative roles (passkey in Microsoft Authenticator or YubiKey) and </w:t>
      </w:r>
      <w:r>
        <w:rPr>
          <w:b/>
          <w:bCs/>
        </w:rPr>
        <w:t xml:space="preserve">standard multifactor authentication</w:t>
      </w:r>
      <w:r>
        <w:t xml:space="preserve"> for all other users (Microsoft Authenticator, with YubiKey as fallback). SMS and voice call are not permitted as satisfying methods.</w:t>
      </w:r>
    </w:p>
    <w:p w14:paraId="4A0D3895" w14:textId="77777777" w:rsidR="004C33CD" w:rsidRPr="00556268" w:rsidRDefault="004C33CD" w:rsidP="004C33CD">
      <w:pPr>
        <w:pStyle w:val="Heading2"/>
      </w:pPr>
      <w:bookmarkStart w:id="1914" w:name="_Toc238469964"/>
      <w:r>
        <w:t>3. Require Compliant or Hybrid-Joined Device</w:t>
      </w:r>
      <w:bookmarkEnd w:id="1914"/>
    </w:p>
    <w:p w14:paraId="78409420" w14:textId="77777777" w:rsidR="004C33CD" w:rsidRPr="00556268" w:rsidRDefault="004C33CD" w:rsidP="0061545E">
      <w:pPr>
        <w:pStyle w:val="BodyText"/>
      </w:pPr>
      <w:r>
        <w:rPr>
          <w:b/>
          <w:bCs/>
        </w:rPr>
        <w:t>Policy Name:</w:t>
      </w:r>
      <w:r>
        <w:t xml:space="preserve"> CA – Require Compliant Device – M365</w:t>
        <w:br/>
      </w:r>
      <w:r>
        <w:rPr>
          <w:b/>
          <w:bCs/>
        </w:rPr>
        <w:t>Assignments:</w:t>
      </w:r>
    </w:p>
    <w:p w14:paraId="607F9452" w14:textId="77777777" w:rsidR="004C33CD" w:rsidRPr="00556268" w:rsidRDefault="004C33CD" w:rsidP="00921BA0">
      <w:pPr>
        <w:numPr>
          <w:ilvl w:val="0"/>
          <w:numId w:val="38"/>
        </w:numPr>
      </w:pPr>
      <w:r>
        <w:t>Users: All users</w:t>
      </w:r>
    </w:p>
    <w:p w14:paraId="196A0201" w14:textId="77777777" w:rsidR="004C33CD" w:rsidRPr="00556268" w:rsidRDefault="004C33CD" w:rsidP="00921BA0">
      <w:pPr>
        <w:numPr>
          <w:ilvl w:val="0"/>
          <w:numId w:val="38"/>
        </w:numPr>
      </w:pPr>
      <w:r>
        <w:t>Cloud apps:</w:t>
      </w:r>
    </w:p>
    <w:p w14:paraId="12DBAFA4" w14:textId="77777777" w:rsidR="004C33CD" w:rsidRPr="00556268" w:rsidRDefault="004C33CD" w:rsidP="00921BA0">
      <w:pPr>
        <w:numPr>
          <w:ilvl w:val="1"/>
          <w:numId w:val="38"/>
        </w:numPr>
      </w:pPr>
      <w:r>
        <w:t>Office 365</w:t>
      </w:r>
    </w:p>
    <w:p w14:paraId="10EDE0CD" w14:textId="77777777" w:rsidR="004C33CD" w:rsidRPr="00556268" w:rsidRDefault="004C33CD" w:rsidP="00921BA0">
      <w:pPr>
        <w:numPr>
          <w:ilvl w:val="1"/>
          <w:numId w:val="38"/>
        </w:numPr>
      </w:pPr>
      <w:r>
        <w:t>SharePoint Online</w:t>
      </w:r>
    </w:p>
    <w:p w14:paraId="10D5D11F" w14:textId="77777777" w:rsidR="004C33CD" w:rsidRPr="00556268" w:rsidRDefault="004C33CD" w:rsidP="00921BA0">
      <w:pPr>
        <w:numPr>
          <w:ilvl w:val="1"/>
          <w:numId w:val="38"/>
        </w:numPr>
      </w:pPr>
      <w:r>
        <w:t>Exchange Online</w:t>
      </w:r>
    </w:p>
    <w:p w14:paraId="75C45206" w14:textId="77777777" w:rsidR="004C33CD" w:rsidRDefault="004C33CD" w:rsidP="00921BA0">
      <w:pPr>
        <w:numPr>
          <w:ilvl w:val="1"/>
          <w:numId w:val="38"/>
        </w:numPr>
      </w:pPr>
      <w:r>
        <w:t>Teams</w:t>
      </w:r>
    </w:p>
    <w:p w14:paraId="078BA020" w14:textId="77777777" w:rsidR="004C33CD" w:rsidRPr="004E42C5" w:rsidRDefault="004C33CD" w:rsidP="0061545E">
      <w:pPr>
        <w:pStyle w:val="BodyText"/>
      </w:pPr>
      <w:r>
        <w:rPr>
          <w:b/>
          <w:bCs/>
        </w:rPr>
        <w:t xml:space="preserve">Conditions: </w:t>
      </w:r>
      <w:r>
        <w:t xml:space="preserve">Device platforms: Windows, iOS, Android</w:t>
      </w:r>
    </w:p>
    <w:p w14:paraId="128AAD7D" w14:textId="77777777" w:rsidR="004C33CD" w:rsidRPr="00556268" w:rsidRDefault="004C33CD" w:rsidP="0061545E">
      <w:pPr>
        <w:pStyle w:val="BodyText"/>
      </w:pPr>
      <w:r>
        <w:rPr>
          <w:b/>
          <w:bCs/>
        </w:rPr>
        <w:t xml:space="preserve">Access Control:</w:t>
      </w:r>
      <w:r>
        <w:t xml:space="preserve"> Require device to be marked compliant or Microsoft Entra hybrid joined</w:t>
      </w:r>
    </w:p>
    <w:p w14:paraId="6D2E6149" w14:textId="77777777" w:rsidR="004C33CD" w:rsidRPr="00556268" w:rsidRDefault="004C33CD" w:rsidP="0061545E">
      <w:pPr>
        <w:pStyle w:val="BodyText"/>
      </w:pPr>
      <w:r>
        <w:rPr>
          <w:b/>
          <w:bCs/>
        </w:rPr>
        <w:t>Purpose:</w:t>
      </w:r>
      <w:r>
        <w:t xml:space="preserve"> Prevents unmanaged/BYOD access to corporate data (unless explicitly allowed).</w:t>
      </w:r>
    </w:p>
    <w:p w14:paraId="2757154C" w14:textId="77777777" w:rsidR="004C33CD" w:rsidRPr="00556268" w:rsidRDefault="004C33CD" w:rsidP="0061545E">
      <w:pPr>
        <w:pStyle w:val="BodyText"/>
      </w:pPr>
      <w:r>
        <w:t>If contractors must access from unmanaged devices, we can create a separate policy using session controls instead.</w:t>
      </w:r>
    </w:p>
    <w:p w14:paraId="52D8CE1D" w14:textId="77777777" w:rsidR="004C33CD" w:rsidRPr="00556268" w:rsidRDefault="004C33CD" w:rsidP="004C33CD">
      <w:pPr>
        <w:pStyle w:val="Heading2"/>
      </w:pPr>
      <w:bookmarkStart w:id="1915" w:name="_Toc238469965"/>
      <w:r>
        <w:t>4. Admin Role Protection (High Impact)</w:t>
      </w:r>
      <w:bookmarkEnd w:id="1915"/>
    </w:p>
    <w:p w14:paraId="62680FA4" w14:textId="77777777" w:rsidR="004C33CD" w:rsidRPr="00556268" w:rsidRDefault="004C33CD" w:rsidP="004C33CD">
      <w:r>
        <w:rPr>
          <w:b/>
          <w:bCs/>
        </w:rPr>
        <w:t>Policy Name:</w:t>
      </w:r>
      <w:r>
        <w:t xml:space="preserve"> CA – Privileged Roles – Strong Controls</w:t>
        <w:br/>
      </w:r>
      <w:r>
        <w:rPr>
          <w:b/>
          <w:bCs/>
        </w:rPr>
        <w:t>Assignments:</w:t>
      </w:r>
    </w:p>
    <w:p w14:paraId="4D2CF000" w14:textId="77777777" w:rsidR="004C33CD" w:rsidRPr="00556268" w:rsidRDefault="004C33CD" w:rsidP="00921BA0">
      <w:pPr>
        <w:numPr>
          <w:ilvl w:val="0"/>
          <w:numId w:val="39"/>
        </w:numPr>
      </w:pPr>
      <w:r>
        <w:t>Users: Directory roles (Global Admin, App Admin, etc.)</w:t>
      </w:r>
    </w:p>
    <w:p w14:paraId="50001FA4" w14:textId="77777777" w:rsidR="004C33CD" w:rsidRPr="004E42C5" w:rsidRDefault="004C33CD" w:rsidP="00921BA0">
      <w:pPr>
        <w:numPr>
          <w:ilvl w:val="0"/>
          <w:numId w:val="39"/>
        </w:numPr>
      </w:pPr>
      <w:r>
        <w:t>Cloud apps: All cloud apps</w:t>
      </w:r>
    </w:p>
    <w:p w14:paraId="2FCAC925" w14:textId="77777777" w:rsidR="004C33CD" w:rsidRPr="00556268" w:rsidRDefault="004C33CD" w:rsidP="004C33CD">
      <w:r>
        <w:rPr>
          <w:b/>
          <w:bCs/>
        </w:rPr>
        <w:lastRenderedPageBreak/>
        <w:t>Access Control:</w:t>
      </w:r>
    </w:p>
    <w:p w14:paraId="11935FDE" w14:textId="77777777" w:rsidR="004C33CD" w:rsidRPr="00556268" w:rsidRDefault="004C33CD" w:rsidP="00921BA0">
      <w:pPr>
        <w:numPr>
          <w:ilvl w:val="0"/>
          <w:numId w:val="39"/>
        </w:numPr>
      </w:pPr>
      <w:r>
        <w:t>Require MFA (Phishing-resistant strength recommended)</w:t>
      </w:r>
    </w:p>
    <w:p w14:paraId="5DD18FCE" w14:textId="77777777" w:rsidR="004C33CD" w:rsidRPr="00556268" w:rsidRDefault="004C33CD" w:rsidP="00921BA0">
      <w:pPr>
        <w:numPr>
          <w:ilvl w:val="0"/>
          <w:numId w:val="39"/>
        </w:numPr>
      </w:pPr>
      <w:r>
        <w:t>Require compliant device</w:t>
      </w:r>
    </w:p>
    <w:p w14:paraId="4B86A89A" w14:textId="77777777" w:rsidR="004C33CD" w:rsidRPr="00556268" w:rsidRDefault="004C33CD" w:rsidP="00921BA0">
      <w:pPr>
        <w:numPr>
          <w:ilvl w:val="0"/>
          <w:numId w:val="39"/>
        </w:numPr>
      </w:pPr>
      <w:r>
        <w:t xml:space="preserve">Require Microsoft Entra hybrid joined device</w:t>
      </w:r>
    </w:p>
    <w:p w14:paraId="07FF02D3" w14:textId="77777777" w:rsidR="004C33CD" w:rsidRPr="00556268" w:rsidRDefault="004C33CD" w:rsidP="004C33CD">
      <w:r>
        <w:rPr>
          <w:b/>
          <w:bCs/>
        </w:rPr>
        <w:t>Purpose:</w:t>
      </w:r>
      <w:r>
        <w:t xml:space="preserve"> Hardens privileged access beyond standard MFA.This should be combined with PIM JIT activation.</w:t>
      </w:r>
    </w:p>
    <w:p>
      <w:pPr>
        <w:pStyle w:val="Heading2"/>
      </w:pPr>
      <w:bookmarkStart w:id="2403" w:name="_Toc238480003"/>
      <w:r>
        <w:t xml:space="preserve">5. Require MFA for Azure Management</w:t>
      </w:r>
      <w:bookmarkEnd w:id="2403"/>
    </w:p>
    <w:p>
      <w:pPr>
        <w:pStyle w:val="BodyText"/>
      </w:pPr>
      <w:r>
        <w:rPr>
          <w:b/>
          <w:bCs/>
        </w:rPr>
        <w:t xml:space="preserve">Policy Name:</w:t>
      </w:r>
      <w:r>
        <w:t xml:space="preserve"> CA – Azure Management</w:t>
        <w:br/>
      </w:r>
      <w:r>
        <w:rPr>
          <w:b/>
          <w:bCs/>
        </w:rPr>
        <w:t xml:space="preserve">Assignments:</w:t>
      </w:r>
    </w:p>
    <w:p>
      <w:pPr>
        <w:numPr>
          <w:ilvl w:val="0"/>
          <w:numId w:val="40"/>
        </w:numPr>
      </w:pPr>
      <w:r>
        <w:t xml:space="preserve">Users: All users</w:t>
      </w:r>
    </w:p>
    <w:p>
      <w:pPr>
        <w:numPr>
          <w:ilvl w:val="0"/>
          <w:numId w:val="40"/>
        </w:numPr>
      </w:pPr>
      <w:r>
        <w:t xml:space="preserve">Exclude: Break-glass accounts</w:t>
      </w:r>
    </w:p>
    <w:p>
      <w:pPr>
        <w:numPr>
          <w:ilvl w:val="0"/>
          <w:numId w:val="40"/>
        </w:numPr>
      </w:pPr>
      <w:r>
        <w:t xml:space="preserve">Cloud apps:</w:t>
      </w:r>
    </w:p>
    <w:p>
      <w:pPr>
        <w:numPr>
          <w:ilvl w:val="1"/>
          <w:numId w:val="40"/>
        </w:numPr>
      </w:pPr>
      <w:r>
        <w:t xml:space="preserve">Microsoft Azure Management</w:t>
      </w:r>
    </w:p>
    <w:p>
      <w:pPr>
        <w:numPr>
          <w:ilvl w:val="1"/>
          <w:numId w:val="40"/>
        </w:numPr>
      </w:pPr>
      <w:r>
        <w:t xml:space="preserve">Azure Portal</w:t>
      </w:r>
    </w:p>
    <w:p>
      <w:pPr>
        <w:pStyle w:val="BodyText"/>
      </w:pPr>
      <w:r>
        <w:rPr>
          <w:b/>
          <w:bCs/>
        </w:rPr>
        <w:t xml:space="preserve">Access Control:</w:t>
      </w:r>
      <w:r>
        <w:t xml:space="preserve"> Require MFA</w:t>
      </w:r>
    </w:p>
    <w:p>
      <w:pPr>
        <w:pStyle w:val="BodyText"/>
      </w:pPr>
      <w:r>
        <w:rPr>
          <w:b/>
          <w:bCs/>
        </w:rPr>
        <w:t xml:space="preserve">Purpose:</w:t>
      </w:r>
      <w:r>
        <w:t xml:space="preserve"> Azure infrastructure is out of scope for this engagement (see Scope), but WMP holds an Azure subscription and the Epicor ERP environment is hosted in Azure Government. This policy ensures that any access to Azure management endpoints made with a GCC High identity always requires multifactor authentication. No Azure role assignments or Azure resource design are performed under this engagement.</w:t>
      </w:r>
    </w:p>
    <w:p w14:paraId="04F481EA" w14:textId="77777777" w:rsidR="004C33CD" w:rsidRPr="00556268" w:rsidRDefault="004C33CD" w:rsidP="004C33CD">
      <w:pPr>
        <w:pStyle w:val="Heading2"/>
      </w:pPr>
      <w:bookmarkStart w:id="1917" w:name="_Toc238469967"/>
      <w:r>
        <w:t>6. Session Controls for Web Access (Optional but Recommended)</w:t>
      </w:r>
      <w:bookmarkEnd w:id="1917"/>
    </w:p>
    <w:p w14:paraId="3328A754" w14:textId="77777777" w:rsidR="004C33CD" w:rsidRPr="00556268" w:rsidRDefault="004C33CD" w:rsidP="0061545E">
      <w:pPr>
        <w:pStyle w:val="BodyText"/>
      </w:pPr>
      <w:r>
        <w:t>If allowing web-only contractor access:</w:t>
      </w:r>
    </w:p>
    <w:p w14:paraId="39A819A2" w14:textId="77777777" w:rsidR="004C33CD" w:rsidRPr="00556268" w:rsidRDefault="004C33CD" w:rsidP="0061545E">
      <w:pPr>
        <w:pStyle w:val="BodyText"/>
      </w:pPr>
      <w:r>
        <w:rPr>
          <w:b/>
          <w:bCs/>
        </w:rPr>
        <w:t>Policy Name:</w:t>
      </w:r>
      <w:r>
        <w:t xml:space="preserve"> CA – Web Only – Limited Session</w:t>
        <w:br/>
      </w:r>
      <w:r>
        <w:rPr>
          <w:b/>
          <w:bCs/>
        </w:rPr>
        <w:t>Assignments:</w:t>
      </w:r>
    </w:p>
    <w:p w14:paraId="00EC26B6" w14:textId="77777777" w:rsidR="004C33CD" w:rsidRPr="00556268" w:rsidRDefault="004C33CD" w:rsidP="00921BA0">
      <w:pPr>
        <w:numPr>
          <w:ilvl w:val="0"/>
          <w:numId w:val="41"/>
        </w:numPr>
      </w:pPr>
      <w:r>
        <w:t>Users: Contractors</w:t>
      </w:r>
    </w:p>
    <w:p w14:paraId="7E95B2D6" w14:textId="77777777" w:rsidR="004C33CD" w:rsidRDefault="004C33CD" w:rsidP="00921BA0">
      <w:pPr>
        <w:numPr>
          <w:ilvl w:val="0"/>
          <w:numId w:val="41"/>
        </w:numPr>
      </w:pPr>
      <w:r>
        <w:t>Cloud apps: Office 365</w:t>
      </w:r>
    </w:p>
    <w:p w14:paraId="4FFAA7B7" w14:textId="77777777" w:rsidR="004C33CD" w:rsidRPr="00556268" w:rsidRDefault="004C33CD" w:rsidP="004C33CD">
      <w:r>
        <w:rPr>
          <w:b/>
          <w:bCs/>
        </w:rPr>
        <w:t>Access Control:</w:t>
      </w:r>
    </w:p>
    <w:p w14:paraId="5E00F31E" w14:textId="77777777" w:rsidR="004C33CD" w:rsidRPr="00556268" w:rsidRDefault="004C33CD" w:rsidP="00921BA0">
      <w:pPr>
        <w:numPr>
          <w:ilvl w:val="0"/>
          <w:numId w:val="41"/>
        </w:numPr>
      </w:pPr>
      <w:r>
        <w:t>Require MFA</w:t>
      </w:r>
    </w:p>
    <w:p w14:paraId="657BA55B" w14:textId="77777777" w:rsidR="004C33CD" w:rsidRPr="00556268" w:rsidRDefault="004C33CD" w:rsidP="00921BA0">
      <w:pPr>
        <w:numPr>
          <w:ilvl w:val="0"/>
          <w:numId w:val="41"/>
        </w:numPr>
      </w:pPr>
      <w:r>
        <w:t>Use Conditional Access App Control (Defender for Cloud Apps)</w:t>
      </w:r>
    </w:p>
    <w:p w14:paraId="53837DA2" w14:textId="77777777" w:rsidR="004C33CD" w:rsidRPr="00556268" w:rsidRDefault="004C33CD" w:rsidP="00921BA0">
      <w:pPr>
        <w:numPr>
          <w:ilvl w:val="0"/>
          <w:numId w:val="41"/>
        </w:numPr>
      </w:pPr>
      <w:r>
        <w:t>Block download</w:t>
      </w:r>
    </w:p>
    <w:p w14:paraId="76778711" w14:textId="77777777" w:rsidR="004C33CD" w:rsidRPr="00556268" w:rsidRDefault="004C33CD" w:rsidP="0061545E">
      <w:pPr>
        <w:pStyle w:val="BodyText"/>
      </w:pPr>
      <w:r>
        <w:rPr>
          <w:b/>
          <w:bCs/>
        </w:rPr>
        <w:lastRenderedPageBreak/>
        <w:t>Purpose:</w:t>
      </w:r>
      <w:r>
        <w:t xml:space="preserve"> Allows browser access while preventing data exfiltration.</w:t>
      </w:r>
    </w:p>
    <w:p w14:paraId="6285817F" w14:textId="77777777" w:rsidR="004C33CD" w:rsidRPr="00556268" w:rsidRDefault="004C33CD" w:rsidP="004C33CD">
      <w:pPr>
        <w:pStyle w:val="Heading2"/>
      </w:pPr>
      <w:bookmarkStart w:id="1918" w:name="_Toc238469968"/>
      <w:r>
        <w:t>7. Block High-Risk Sign-Ins</w:t>
      </w:r>
      <w:bookmarkEnd w:id="1918"/>
    </w:p>
    <w:p w14:paraId="36C5DBC0" w14:textId="77777777" w:rsidR="004C33CD" w:rsidRPr="00556268" w:rsidRDefault="004C33CD" w:rsidP="0061545E">
      <w:pPr>
        <w:pStyle w:val="BodyText"/>
      </w:pPr>
      <w:r>
        <w:t>Requires Entra ID P2.</w:t>
      </w:r>
    </w:p>
    <w:p w14:paraId="5F8C1CD4" w14:textId="77777777" w:rsidR="004C33CD" w:rsidRDefault="004C33CD" w:rsidP="0061545E">
      <w:pPr>
        <w:pStyle w:val="BodyText"/>
      </w:pPr>
      <w:r>
        <w:rPr>
          <w:b/>
          <w:bCs/>
        </w:rPr>
        <w:t>Policy Name:</w:t>
      </w:r>
      <w:r>
        <w:t xml:space="preserve"> CA – Block High Risk</w:t>
      </w:r>
    </w:p>
    <w:p w14:paraId="1D3AE72E" w14:textId="77777777" w:rsidR="004C33CD" w:rsidRPr="00556268" w:rsidRDefault="004C33CD" w:rsidP="0061545E">
      <w:pPr>
        <w:pStyle w:val="BodyText"/>
      </w:pPr>
      <w:r>
        <w:rPr>
          <w:b/>
          <w:bCs/>
        </w:rPr>
        <w:t xml:space="preserve">Assignments: </w:t>
      </w:r>
      <w:r>
        <w:t>Users: All users</w:t>
      </w:r>
    </w:p>
    <w:p w14:paraId="77C39458" w14:textId="77777777" w:rsidR="004C33CD" w:rsidRPr="00931878" w:rsidRDefault="004C33CD" w:rsidP="0061545E">
      <w:pPr>
        <w:pStyle w:val="BodyText"/>
      </w:pPr>
      <w:r>
        <w:rPr>
          <w:b/>
          <w:bCs/>
        </w:rPr>
        <w:t>Conditions</w:t>
      </w:r>
      <w:r>
        <w:t>: Sign-in risk: High</w:t>
      </w:r>
    </w:p>
    <w:p w14:paraId="251EDC7F" w14:textId="77777777" w:rsidR="004C33CD" w:rsidRPr="00556268" w:rsidRDefault="004C33CD" w:rsidP="0061545E">
      <w:pPr>
        <w:pStyle w:val="BodyText"/>
      </w:pPr>
      <w:r>
        <w:rPr>
          <w:b/>
          <w:bCs/>
        </w:rPr>
        <w:t xml:space="preserve">Access Control: </w:t>
      </w:r>
      <w:r>
        <w:t>Block access</w:t>
      </w:r>
    </w:p>
    <w:p w14:paraId="2BFDB69A" w14:textId="77777777" w:rsidR="004C33CD" w:rsidRPr="00556268" w:rsidRDefault="004C33CD" w:rsidP="0061545E">
      <w:pPr>
        <w:pStyle w:val="BodyText"/>
      </w:pPr>
      <w:r>
        <w:rPr>
          <w:b/>
          <w:bCs/>
        </w:rPr>
        <w:t>Purpose:</w:t>
      </w:r>
      <w:r>
        <w:t xml:space="preserve"> Stops known compromised credentials.</w:t>
      </w:r>
    </w:p>
    <w:p w14:paraId="3F52E9D8" w14:textId="77777777" w:rsidR="004C33CD" w:rsidRPr="00556268" w:rsidRDefault="004C33CD" w:rsidP="004C33CD">
      <w:pPr>
        <w:pStyle w:val="Heading2"/>
      </w:pPr>
      <w:bookmarkStart w:id="1919" w:name="_Toc238469969"/>
      <w:r>
        <w:t>8. Require Password Reset for High User Risk (If P2)</w:t>
      </w:r>
      <w:bookmarkEnd w:id="1919"/>
    </w:p>
    <w:p w14:paraId="6AE1CA46" w14:textId="77777777" w:rsidR="004C33CD" w:rsidRDefault="004C33CD" w:rsidP="004C33CD">
      <w:pPr>
        <w:pStyle w:val="BodyText"/>
      </w:pPr>
      <w:r>
        <w:rPr>
          <w:b/>
          <w:bCs/>
        </w:rPr>
        <w:t>Policy Name:</w:t>
      </w:r>
      <w:r>
        <w:t xml:space="preserve"> CA – Remediate User Risk</w:t>
      </w:r>
    </w:p>
    <w:p w14:paraId="7319D238" w14:textId="77777777" w:rsidR="004C33CD" w:rsidRPr="00556268" w:rsidRDefault="004C33CD" w:rsidP="004C33CD">
      <w:pPr>
        <w:pStyle w:val="BodyText"/>
      </w:pPr>
      <w:r>
        <w:rPr>
          <w:b/>
          <w:bCs/>
        </w:rPr>
        <w:t xml:space="preserve">Assignments: </w:t>
      </w:r>
      <w:r>
        <w:t>Users: All users</w:t>
      </w:r>
    </w:p>
    <w:p w14:paraId="40A292AC" w14:textId="77777777" w:rsidR="004C33CD" w:rsidRPr="006818F0" w:rsidRDefault="004C33CD" w:rsidP="004C33CD">
      <w:pPr>
        <w:pStyle w:val="BodyText"/>
      </w:pPr>
      <w:r>
        <w:rPr>
          <w:b/>
          <w:bCs/>
        </w:rPr>
        <w:t xml:space="preserve">Conditions: </w:t>
      </w:r>
      <w:r>
        <w:t>User risk: High</w:t>
      </w:r>
    </w:p>
    <w:p w14:paraId="37E1B2B7" w14:textId="77777777" w:rsidR="004C33CD" w:rsidRPr="00556268" w:rsidRDefault="004C33CD" w:rsidP="004C33CD">
      <w:pPr>
        <w:pStyle w:val="BodyText"/>
      </w:pPr>
      <w:r>
        <w:rPr>
          <w:b/>
          <w:bCs/>
        </w:rPr>
        <w:t xml:space="preserve">Access Control: </w:t>
      </w:r>
      <w:r>
        <w:t>Require password change</w:t>
      </w:r>
    </w:p>
    <w:p w14:paraId="6891F556" w14:textId="77777777" w:rsidR="004C33CD" w:rsidRPr="00556268" w:rsidRDefault="004C33CD" w:rsidP="004C33CD">
      <w:pPr>
        <w:pStyle w:val="Heading2"/>
      </w:pPr>
      <w:bookmarkStart w:id="1920" w:name="_Toc238469970"/>
      <w:r>
        <w:t>9. Break-Glass Account Design</w:t>
      </w:r>
      <w:bookmarkEnd w:id="1920"/>
    </w:p>
    <w:p w14:paraId="427DE2CC" w14:textId="77777777" w:rsidR="004C33CD" w:rsidRPr="00556268" w:rsidRDefault="004C33CD" w:rsidP="0061545E">
      <w:pPr>
        <w:pStyle w:val="BodyText"/>
      </w:pPr>
      <w:r>
        <w:t>Do NOT apply standard CA policies to emergency accounts.</w:t>
      </w:r>
    </w:p>
    <w:p w14:paraId="72727DEE" w14:textId="77777777" w:rsidR="004C33CD" w:rsidRPr="00556268" w:rsidRDefault="004C33CD" w:rsidP="0061545E">
      <w:pPr>
        <w:pStyle w:val="BodyText"/>
      </w:pPr>
      <w:r>
        <w:rPr>
          <w:b/>
          <w:bCs/>
        </w:rPr>
        <w:t>Requirements</w:t>
      </w:r>
      <w:r>
        <w:t>:</w:t>
      </w:r>
    </w:p>
    <w:p w14:paraId="2D55FACA" w14:textId="77777777" w:rsidR="004C33CD" w:rsidRPr="00556268" w:rsidRDefault="004C33CD" w:rsidP="0061545E">
      <w:pPr>
        <w:pStyle w:val="ListTA"/>
      </w:pPr>
      <w:r>
        <w:t>Two cloud-only accounts</w:t>
      </w:r>
    </w:p>
    <w:p w14:paraId="5682DD71" w14:textId="77777777" w:rsidR="004C33CD" w:rsidRPr="00556268" w:rsidRDefault="004C33CD" w:rsidP="0061545E">
      <w:pPr>
        <w:pStyle w:val="ListTA"/>
      </w:pPr>
      <w:r>
        <w:t>Long passwords (stored offline)</w:t>
      </w:r>
    </w:p>
    <w:p w14:paraId="75760B85" w14:textId="77777777" w:rsidR="004C33CD" w:rsidRPr="00556268" w:rsidRDefault="004C33CD" w:rsidP="0061545E">
      <w:pPr>
        <w:pStyle w:val="ListTA"/>
      </w:pPr>
      <w:r>
        <w:t>No MFA dependency on production tenant</w:t>
      </w:r>
    </w:p>
    <w:p w14:paraId="4CA4D47E" w14:textId="77777777" w:rsidR="004C33CD" w:rsidRPr="00556268" w:rsidRDefault="004C33CD" w:rsidP="0061545E">
      <w:pPr>
        <w:pStyle w:val="ListTA"/>
      </w:pPr>
      <w:r>
        <w:t>Excluded from CA</w:t>
      </w:r>
    </w:p>
    <w:p w14:paraId="6A78C441" w14:textId="77777777" w:rsidR="004C33CD" w:rsidRPr="00556268" w:rsidRDefault="004C33CD" w:rsidP="0061545E">
      <w:pPr>
        <w:pStyle w:val="ListTA"/>
      </w:pPr>
      <w:r>
        <w:t>Sign-in monitoring alerts enabled</w:t>
      </w:r>
    </w:p>
    <w:p>
      <w:pPr>
        <w:pStyle w:val="Heading2"/>
      </w:pPr>
      <w:bookmarkStart w:id="2404" w:name="_Toc238480004"/>
      <w:r>
        <w:t xml:space="preserve">10. Geo Block (non-US)</w:t>
      </w:r>
      <w:bookmarkEnd w:id="2404"/>
    </w:p>
    <w:p>
      <w:pPr>
        <w:pStyle w:val="BodyText"/>
      </w:pPr>
      <w:r>
        <w:rPr>
          <w:b/>
          <w:bCs/>
        </w:rPr>
        <w:t xml:space="preserve">Policy Name:</w:t>
      </w:r>
      <w:r>
        <w:t xml:space="preserve"> CA – Geo Block (non-US)</w:t>
        <w:br/>
      </w:r>
      <w:r>
        <w:rPr>
          <w:b/>
          <w:bCs/>
        </w:rPr>
        <w:t xml:space="preserve">Assignments:</w:t>
      </w:r>
    </w:p>
    <w:p>
      <w:pPr>
        <w:numPr>
          <w:ilvl w:val="0"/>
          <w:numId w:val="40"/>
        </w:numPr>
      </w:pPr>
      <w:r>
        <w:t xml:space="preserve">Users: All users</w:t>
      </w:r>
    </w:p>
    <w:p>
      <w:pPr>
        <w:numPr>
          <w:ilvl w:val="0"/>
          <w:numId w:val="40"/>
        </w:numPr>
      </w:pPr>
      <w:r>
        <w:t xml:space="preserve">Exclude: Break-glass accounts; </w:t>
      </w:r>
      <w:r>
        <w:rPr>
          <w:b/>
          <w:bCs/>
        </w:rPr>
        <w:t xml:space="preserve">Travelers</w:t>
      </w:r>
      <w:r>
        <w:t xml:space="preserve"> group</w:t>
      </w:r>
    </w:p>
    <w:p>
      <w:pPr>
        <w:numPr>
          <w:ilvl w:val="0"/>
          <w:numId w:val="40"/>
        </w:numPr>
      </w:pPr>
      <w:r>
        <w:t xml:space="preserve">Cloud apps: All cloud apps</w:t>
      </w:r>
    </w:p>
    <w:p>
      <w:pPr>
        <w:pStyle w:val="BodyText"/>
      </w:pPr>
      <w:r>
        <w:rPr>
          <w:b/>
          <w:bCs/>
        </w:rPr>
        <w:t xml:space="preserve">Conditions:</w:t>
      </w:r>
      <w:r>
        <w:t xml:space="preserve"> Locations: include the named location “Blocked Countries” (all countries other than the United States)</w:t>
      </w:r>
    </w:p>
    <w:p>
      <w:pPr>
        <w:pStyle w:val="BodyText"/>
      </w:pPr>
      <w:r>
        <w:rPr>
          <w:b/>
          <w:bCs/>
        </w:rPr>
        <w:t xml:space="preserve">Access Control:</w:t>
      </w:r>
      <w:r>
        <w:t xml:space="preserve"> Block access</w:t>
      </w:r>
    </w:p>
    <w:p>
      <w:pPr>
        <w:pStyle w:val="BodyText"/>
      </w:pPr>
      <w:r>
        <w:rPr>
          <w:b/>
          <w:bCs/>
        </w:rPr>
        <w:t xml:space="preserve">Purpose:</w:t>
      </w:r>
      <w:r>
        <w:t xml:space="preserve"> Prevents sign-in from outside the United States. Membership of the Travelers group is time-boxed: users are added for the duration of approved travel and removed on return. WMP owns the request and approval process for Travelers membership.</w:t>
      </w:r>
    </w:p>
    <w:p>
      <w:pPr>
        <w:pStyle w:val="Heading3"/>
      </w:pPr>
      <w:bookmarkStart w:id="2405" w:name="_Toc238480005"/>
      <w:r>
        <w:t xml:space="preserve">Conditional Access Rollout and Exclusions</w:t>
      </w:r>
      <w:bookmarkEnd w:id="2405"/>
    </w:p>
    <w:p>
      <w:pPr>
        <w:pStyle w:val="BodyText"/>
      </w:pPr>
      <w:r>
        <w:t xml:space="preserve">All Conditional Access policies in this section, including policy 10, follow the same rollout model:</w:t>
      </w:r>
    </w:p>
    <w:p>
      <w:pPr>
        <w:pStyle w:val="ListTA"/>
      </w:pPr>
      <w:r>
        <w:t xml:space="preserve">Each policy is created in </w:t>
      </w:r>
      <w:r>
        <w:rPr>
          <w:b/>
          <w:bCs/>
        </w:rPr>
        <w:t xml:space="preserve">report-only</w:t>
      </w:r>
      <w:r>
        <w:t xml:space="preserve"> mode and left there until its sign-in impact has been verified against the report-only results. Only then is it switched to on. The exit check for report-only is defined in the configuration runbook.</w:t>
      </w:r>
    </w:p>
    <w:p>
      <w:pPr>
        <w:pStyle w:val="ListTA"/>
      </w:pPr>
      <w:r>
        <w:rPr>
          <w:b/>
          <w:bCs/>
        </w:rPr>
        <w:t xml:space="preserve">Exclusions are limited to</w:t>
      </w:r>
      <w:r>
        <w:t xml:space="preserve"> the break-glass account group and the migration service accounts used during the AvePoint Fly migration. No other standing exclusions are created.</w:t>
      </w:r>
    </w:p>
    <w:p>
      <w:pPr>
        <w:pStyle w:val="ListTA"/>
      </w:pPr>
      <w:r>
        <w:rPr>
          <w:b/>
          <w:bCs/>
        </w:rPr>
        <w:t xml:space="preserve">AvePoint Fly authenticates using app registrations</w:t>
      </w:r>
      <w:r>
        <w:t xml:space="preserve">, not user accounts, and those app registrations are excluded from Conditional Access for the duration of the migration.</w:t>
      </w:r>
    </w:p>
    <w:p>
      <w:pPr>
        <w:pStyle w:val="ListTA"/>
      </w:pPr>
      <w:r>
        <w:t xml:space="preserve">A Terms of Use grant is applied to all users as an additional policy, as described under Microsoft Entra ID.</w:t>
      </w:r>
    </w:p>
    <w:p>
      <w:pPr>
        <w:pStyle w:val="ListTA"/>
      </w:pPr>
      <w:r>
        <w:t xml:space="preserve">Migration service accounts and their exclusions are removed once the migration workstream closes.</w:t>
      </w:r>
    </w:p>
    <w:p w14:paraId="360DF3B1" w14:textId="77777777" w:rsidR="008178F9" w:rsidRDefault="008178F9" w:rsidP="008178F9">
      <w:pPr>
        <w:rPr>
          <w:rFonts w:eastAsiaTheme="minorEastAsia"/>
          <w:sz w:val="21"/>
          <w:szCs w:val="21"/>
          <w:lang w:eastAsia="ja-JP"/>
        </w:rPr>
      </w:pPr>
    </w:p>
    <w:p>
      <w:pPr>
        <w:pStyle w:val="Heading3"/>
      </w:pPr>
      <w:bookmarkStart w:id="2406" w:name="_Toc238480006"/>
      <w:r>
        <w:t xml:space="preserve">Locations (Named locations for conditional access)</w:t>
      </w:r>
      <w:bookmarkEnd w:id="2406"/>
    </w:p>
    <w:p>
      <w:pPr>
        <w:pStyle w:val="BodyText"/>
      </w:pPr>
      <w:r>
        <w:t xml:space="preserve">In support of conditional access policies, named locations will be configured in Entra ID. WMP operates three physical sites, and one named location will be created per site, defined by that site’s public egress IP ranges.</w:t>
      </w:r>
    </w:p>
    <w:p>
      <w:pPr>
        <w:pStyle w:val="ListTA"/>
      </w:pPr>
      <w:r>
        <w:t xml:space="preserve">The egress IP ranges for all three sites are collected during implementation and are TBD in this design.</w:t>
      </w:r>
    </w:p>
    <w:p>
      <w:pPr>
        <w:pStyle w:val="ListTA"/>
      </w:pPr>
      <w:r>
        <w:t xml:space="preserve">Two sites currently provide guest wireless only; the corporate network at those sites egresses through the site firewall.</w:t>
      </w:r>
    </w:p>
    <w:p>
      <w:pPr>
        <w:pStyle w:val="ListTA"/>
      </w:pPr>
      <w:r>
        <w:t xml:space="preserve">The third site, under construction and occupied since 1 August, receives corporate Wi-Fi authenticated by RADIUS (NPS or ClearPass, selection pending)</w:t>
      </w:r>
      <w:commentRangeStart w:id="2092"/>
      <w:r>
        <w:rPr>
          <w:highlight w:val="yellow"/>
        </w:rPr>
        <w:t xml:space="preserve"> [TBD: NPS or ClearPass]</w:t>
      </w:r>
      <w:commentRangeEnd w:id="2092"/>
      <w:r>
        <w:rPr>
          <w:rStyle w:val="CommentReference"/>
        </w:rPr>
        <w:commentReference w:id="2092"/>
      </w:r>
      <w:r>
        <w:t xml:space="preserve"> as part of operational readiness, targeted for mid-November. Its named location is entered once that egress is established.</w:t>
      </w:r>
    </w:p>
    <w:p>
      <w:pPr>
        <w:pStyle w:val="ListTA"/>
      </w:pPr>
      <w:r>
        <w:t xml:space="preserve">The sites are linked by site-to-site VPN, and remote users connect through the FortiGate SSL VPN; the egress ranges recorded in the named locations must account for both paths.</w:t>
      </w:r>
    </w:p>
    <w:p>
      <w:pPr>
        <w:pStyle w:val="BodyText"/>
      </w:pPr>
      <w:commentRangeStart w:id="2081"/>
      <w:r>
        <w:t xml:space="preserve">The named location for each site is recorded as follows:</w:t>
      </w:r>
      <w:commentRangeEnd w:id="2081"/>
      <w:r>
        <w:rPr>
          <w:rStyle w:val="CommentReference"/>
        </w:rPr>
        <w:commentReference w:id="2081"/>
      </w:r>
    </w:p>
    <w:tbl>
      <w:tblPr>
        <w:tblStyle w:val="TableGrid"/>
        <w:tblW w:w="0" w:type="auto"/>
        <w:tblLook w:val="04A0" w:firstRow="1" w:lastRow="0" w:firstColumn="1" w:lastColumn="0" w:noHBand="0" w:noVBand="1"/>
      </w:tblPr>
      <w:tblGrid>
        <w:gridCol w:w="2800"/>
        <w:gridCol w:w="3600"/>
        <w:gridCol w:w="3670"/>
      </w:tblGrid>
      <w:tr>
        <w:tc>
          <w:tcPr>
            <w:tcW w:w="2800" w:type="dxa"/>
          </w:tcPr>
          <w:p>
            <w:pPr>
              <w:spacing w:line="360" w:lineRule="auto"/>
              <w:rPr>
                <w:b/>
                <w:bCs/>
                <w:sz w:val="21"/>
                <w:szCs w:val="21"/>
              </w:rPr>
            </w:pPr>
            <w:r>
              <w:rPr>
                <w:b/>
                <w:bCs/>
                <w:sz w:val="21"/>
                <w:szCs w:val="21"/>
              </w:rPr>
              <w:t xml:space="preserve">Site</w:t>
            </w:r>
          </w:p>
        </w:tc>
        <w:tc>
          <w:tcPr>
            <w:tcW w:w="3600" w:type="dxa"/>
          </w:tcPr>
          <w:p>
            <w:pPr>
              <w:spacing w:line="360" w:lineRule="auto"/>
              <w:rPr>
                <w:b/>
                <w:bCs/>
                <w:sz w:val="21"/>
                <w:szCs w:val="21"/>
              </w:rPr>
            </w:pPr>
            <w:r>
              <w:rPr>
                <w:b/>
                <w:bCs/>
                <w:sz w:val="21"/>
                <w:szCs w:val="21"/>
              </w:rPr>
              <w:t xml:space="preserve">Public egress IP range(s)</w:t>
            </w:r>
          </w:p>
        </w:tc>
        <w:tc>
          <w:tcPr>
            <w:tcW w:w="3670" w:type="dxa"/>
          </w:tcPr>
          <w:p>
            <w:pPr>
              <w:spacing w:line="360" w:lineRule="auto"/>
              <w:rPr>
                <w:b/>
                <w:bCs/>
                <w:sz w:val="21"/>
                <w:szCs w:val="21"/>
              </w:rPr>
            </w:pPr>
            <w:r>
              <w:rPr>
                <w:b/>
                <w:bCs/>
                <w:sz w:val="21"/>
                <w:szCs w:val="21"/>
              </w:rPr>
              <w:t xml:space="preserve">Notes</w:t>
            </w:r>
          </w:p>
        </w:tc>
      </w:tr>
      <w:tr>
        <w:tc>
          <w:tcPr>
            <w:tcW w:w="2800" w:type="dxa"/>
          </w:tcPr>
          <w:p>
            <w:pPr>
              <w:spacing w:line="360" w:lineRule="auto"/>
              <w:rPr>
                <w:i/>
                <w:iCs/>
                <w:sz w:val="21"/>
                <w:szCs w:val="21"/>
              </w:rPr>
            </w:pPr>
            <w:r>
              <w:rPr>
                <w:i/>
                <w:iCs/>
                <w:sz w:val="21"/>
                <w:szCs w:val="21"/>
              </w:rPr>
              <w:t xml:space="preserve">e.g., WMP HQ</w:t>
            </w:r>
          </w:p>
        </w:tc>
        <w:tc>
          <w:tcPr>
            <w:tcW w:w="3600" w:type="dxa"/>
          </w:tcPr>
          <w:p>
            <w:pPr>
              <w:spacing w:line="360" w:lineRule="auto"/>
              <w:rPr>
                <w:i/>
                <w:iCs/>
                <w:sz w:val="21"/>
                <w:szCs w:val="21"/>
              </w:rPr>
            </w:pPr>
            <w:r>
              <w:rPr>
                <w:i/>
                <w:iCs/>
                <w:sz w:val="21"/>
                <w:szCs w:val="21"/>
              </w:rPr>
              <w:t xml:space="preserve">203.0.113.0/29</w:t>
            </w:r>
          </w:p>
        </w:tc>
        <w:tc>
          <w:tcPr>
            <w:tcW w:w="3670" w:type="dxa"/>
          </w:tcPr>
          <w:p>
            <w:pPr>
              <w:spacing w:line="360" w:lineRule="auto"/>
              <w:rPr>
                <w:i/>
                <w:iCs/>
                <w:sz w:val="21"/>
                <w:szCs w:val="21"/>
              </w:rPr>
            </w:pPr>
            <w:r>
              <w:rPr>
                <w:i/>
                <w:iCs/>
                <w:sz w:val="21"/>
                <w:szCs w:val="21"/>
              </w:rPr>
              <w:t xml:space="preserve">primary plant</w:t>
            </w:r>
          </w:p>
        </w:tc>
      </w:tr>
      <w:tr>
        <w:tc>
          <w:tcPr>
            <w:tcW w:w="2800" w:type="dxa"/>
          </w:tcPr>
          <w:p>
            <w:pPr>
              <w:spacing w:line="360" w:lineRule="auto"/>
              <w:rPr>
                <w:sz w:val="21"/>
                <w:szCs w:val="21"/>
              </w:rPr>
            </w:pPr>
          </w:p>
        </w:tc>
        <w:tc>
          <w:tcPr>
            <w:tcW w:w="3600" w:type="dxa"/>
          </w:tcPr>
          <w:p>
            <w:pPr>
              <w:spacing w:line="360" w:lineRule="auto"/>
              <w:rPr>
                <w:sz w:val="21"/>
                <w:szCs w:val="21"/>
              </w:rPr>
            </w:pPr>
          </w:p>
        </w:tc>
        <w:tc>
          <w:tcPr>
            <w:tcW w:w="3670" w:type="dxa"/>
          </w:tcPr>
          <w:p>
            <w:pPr>
              <w:spacing w:line="360" w:lineRule="auto"/>
              <w:rPr>
                <w:sz w:val="21"/>
                <w:szCs w:val="21"/>
              </w:rPr>
            </w:pPr>
          </w:p>
        </w:tc>
      </w:tr>
      <w:tr>
        <w:tc>
          <w:tcPr>
            <w:tcW w:w="2800" w:type="dxa"/>
          </w:tcPr>
          <w:p>
            <w:pPr>
              <w:spacing w:line="360" w:lineRule="auto"/>
              <w:rPr>
                <w:sz w:val="21"/>
                <w:szCs w:val="21"/>
              </w:rPr>
            </w:pPr>
          </w:p>
        </w:tc>
        <w:tc>
          <w:tcPr>
            <w:tcW w:w="3600" w:type="dxa"/>
          </w:tcPr>
          <w:p>
            <w:pPr>
              <w:spacing w:line="360" w:lineRule="auto"/>
              <w:rPr>
                <w:sz w:val="21"/>
                <w:szCs w:val="21"/>
              </w:rPr>
            </w:pPr>
          </w:p>
        </w:tc>
        <w:tc>
          <w:tcPr>
            <w:tcW w:w="3670" w:type="dxa"/>
          </w:tcPr>
          <w:p>
            <w:pPr>
              <w:spacing w:line="360" w:lineRule="auto"/>
              <w:rPr>
                <w:sz w:val="21"/>
                <w:szCs w:val="21"/>
              </w:rPr>
            </w:pPr>
          </w:p>
        </w:tc>
      </w:tr>
      <w:tr>
        <w:tc>
          <w:tcPr>
            <w:tcW w:w="2800" w:type="dxa"/>
          </w:tcPr>
          <w:p>
            <w:pPr>
              <w:spacing w:line="360" w:lineRule="auto"/>
              <w:rPr>
                <w:sz w:val="21"/>
                <w:szCs w:val="21"/>
              </w:rPr>
            </w:pPr>
          </w:p>
        </w:tc>
        <w:tc>
          <w:tcPr>
            <w:tcW w:w="3600" w:type="dxa"/>
          </w:tcPr>
          <w:p>
            <w:pPr>
              <w:spacing w:line="360" w:lineRule="auto"/>
              <w:rPr>
                <w:sz w:val="21"/>
                <w:szCs w:val="21"/>
              </w:rPr>
            </w:pPr>
          </w:p>
        </w:tc>
        <w:tc>
          <w:tcPr>
            <w:tcW w:w="3670" w:type="dxa"/>
          </w:tcPr>
          <w:p>
            <w:pPr>
              <w:spacing w:line="360" w:lineRule="auto"/>
              <w:rPr>
                <w:sz w:val="21"/>
                <w:szCs w:val="21"/>
              </w:rPr>
            </w:pPr>
          </w:p>
        </w:tc>
      </w:tr>
    </w:tbl>
    <w:p>
      <w:pPr>
        <w:pStyle w:val="BodyText"/>
      </w:pPr>
      <w:r>
        <w:t xml:space="preserve">Blocked countries: A named location called “Blocked Countries” will include a list of countries from which all sign-in attempts should be blocked. The countries designated as blocked are all countries other than the US. Conditional Access policy 10, </w:t>
      </w:r>
      <w:r>
        <w:rPr>
          <w:i/>
          <w:iCs/>
        </w:rPr>
        <w:t xml:space="preserve">CA – Geo Block (non-US)</w:t>
      </w:r>
      <w:r>
        <w:t xml:space="preserve">, references this location to deny sign-ins from those regions, with the Travelers group excluded.</w:t>
      </w:r>
    </w:p>
    <w:p>
      <w:pPr>
        <w:pStyle w:val="Heading3"/>
      </w:pPr>
      <w:bookmarkStart w:id="2407" w:name="_Toc238480007"/>
      <w:r>
        <w:t xml:space="preserve">Role-Based Access Control (RBAC)</w:t>
      </w:r>
      <w:bookmarkEnd w:id="2407"/>
    </w:p>
    <w:p>
      <w:pPr>
        <w:pStyle w:val="BodyText"/>
      </w:pPr>
      <w:r>
        <w:t xml:space="preserve">Entra ID’s built-in roles (Global Administrator, Exchange Administrator, SharePoint Administrator, Teams Administrator, Intune Administrator, and so on) will be used to assign administrative permissions, scoped to the least-privileged role that meets the need rather than granting Global Administrator. Custom roles are not used.</w:t>
      </w:r>
    </w:p>
    <w:p>
      <w:pPr>
        <w:pStyle w:val="ListTA"/>
      </w:pPr>
      <w:r>
        <w:t xml:space="preserve">Administrative permissions are assigned to separate administrative accounts, prefixed cadm-, never to a user’s day-to-day account.</w:t>
      </w:r>
    </w:p>
    <w:p>
      <w:pPr>
        <w:pStyle w:val="ListTA"/>
      </w:pPr>
      <w:r>
        <w:t xml:space="preserve">All privileged roles are assigned as </w:t>
      </w:r>
      <w:r>
        <w:rPr>
          <w:b/>
          <w:bCs/>
        </w:rPr>
        <w:t xml:space="preserve">eligible</w:t>
      </w:r>
      <w:r>
        <w:t xml:space="preserve"> through Privileged Identity Management; there are no standing Global Administrators.</w:t>
      </w:r>
    </w:p>
    <w:p>
      <w:pPr>
        <w:pStyle w:val="ListTA"/>
      </w:pPr>
      <w:r>
        <w:t xml:space="preserve">The role-to-person assignment list is finalized at implementation.</w:t>
      </w:r>
    </w:p>
    <w:p>
      <w:pPr>
        <w:pStyle w:val="BodyText"/>
      </w:pPr>
      <w:commentRangeStart w:id="2083"/>
      <w:r>
        <w:t xml:space="preserve">Administrative role assignments are recorded as follows:</w:t>
      </w:r>
      <w:commentRangeEnd w:id="2083"/>
      <w:r>
        <w:rPr>
          <w:rStyle w:val="CommentReference"/>
        </w:rPr>
        <w:commentReference w:id="2083"/>
      </w:r>
    </w:p>
    <w:tbl>
      <w:tblPr>
        <w:tblStyle w:val="TableGrid"/>
        <w:tblW w:w="0" w:type="auto"/>
        <w:tblLook w:val="04A0" w:firstRow="1" w:lastRow="0" w:firstColumn="1" w:lastColumn="0" w:noHBand="0" w:noVBand="1"/>
      </w:tblPr>
      <w:tblGrid>
        <w:gridCol w:w="3200"/>
        <w:gridCol w:w="2400"/>
        <w:gridCol w:w="2870"/>
        <w:gridCol w:w="1600"/>
      </w:tblGrid>
      <w:tr>
        <w:tc>
          <w:tcPr>
            <w:tcW w:w="3200" w:type="dxa"/>
          </w:tcPr>
          <w:p>
            <w:pPr>
              <w:spacing w:line="360" w:lineRule="auto"/>
              <w:rPr>
                <w:b/>
                <w:bCs/>
                <w:sz w:val="21"/>
                <w:szCs w:val="21"/>
              </w:rPr>
            </w:pPr>
            <w:r>
              <w:rPr>
                <w:b/>
                <w:bCs/>
                <w:sz w:val="21"/>
                <w:szCs w:val="21"/>
              </w:rPr>
              <w:t xml:space="preserve">Role</w:t>
            </w:r>
          </w:p>
        </w:tc>
        <w:tc>
          <w:tcPr>
            <w:tcW w:w="2400" w:type="dxa"/>
          </w:tcPr>
          <w:p>
            <w:pPr>
              <w:spacing w:line="360" w:lineRule="auto"/>
              <w:rPr>
                <w:b/>
                <w:bCs/>
                <w:sz w:val="21"/>
                <w:szCs w:val="21"/>
              </w:rPr>
            </w:pPr>
            <w:r>
              <w:rPr>
                <w:b/>
                <w:bCs/>
                <w:sz w:val="21"/>
                <w:szCs w:val="21"/>
              </w:rPr>
              <w:t xml:space="preserve">Person</w:t>
            </w:r>
          </w:p>
        </w:tc>
        <w:tc>
          <w:tcPr>
            <w:tcW w:w="2870" w:type="dxa"/>
          </w:tcPr>
          <w:p>
            <w:pPr>
              <w:spacing w:line="360" w:lineRule="auto"/>
              <w:rPr>
                <w:b/>
                <w:bCs/>
                <w:sz w:val="21"/>
                <w:szCs w:val="21"/>
              </w:rPr>
            </w:pPr>
            <w:r>
              <w:rPr>
                <w:b/>
                <w:bCs/>
                <w:sz w:val="21"/>
                <w:szCs w:val="21"/>
              </w:rPr>
              <w:t xml:space="preserve">cadm- account</w:t>
            </w:r>
          </w:p>
        </w:tc>
        <w:tc>
          <w:tcPr>
            <w:tcW w:w="1600" w:type="dxa"/>
          </w:tcPr>
          <w:p>
            <w:pPr>
              <w:spacing w:line="360" w:lineRule="auto"/>
              <w:rPr>
                <w:b/>
                <w:bCs/>
                <w:sz w:val="21"/>
                <w:szCs w:val="21"/>
              </w:rPr>
            </w:pPr>
            <w:r>
              <w:rPr>
                <w:b/>
                <w:bCs/>
                <w:sz w:val="21"/>
                <w:szCs w:val="21"/>
              </w:rPr>
              <w:t xml:space="preserve">PIM eligible</w:t>
            </w:r>
          </w:p>
        </w:tc>
      </w:tr>
      <w:tr>
        <w:tc>
          <w:tcPr>
            <w:tcW w:w="3200" w:type="dxa"/>
          </w:tcPr>
          <w:p>
            <w:pPr>
              <w:spacing w:line="360" w:lineRule="auto"/>
              <w:rPr>
                <w:i/>
                <w:iCs/>
                <w:sz w:val="21"/>
                <w:szCs w:val="21"/>
              </w:rPr>
            </w:pPr>
            <w:r>
              <w:rPr>
                <w:i/>
                <w:iCs/>
                <w:sz w:val="21"/>
                <w:szCs w:val="21"/>
              </w:rPr>
              <w:t xml:space="preserve">e.g., Global Administrator</w:t>
            </w:r>
          </w:p>
        </w:tc>
        <w:tc>
          <w:tcPr>
            <w:tcW w:w="2400" w:type="dxa"/>
          </w:tcPr>
          <w:p>
            <w:pPr>
              <w:spacing w:line="360" w:lineRule="auto"/>
              <w:rPr>
                <w:i/>
                <w:iCs/>
                <w:sz w:val="21"/>
                <w:szCs w:val="21"/>
              </w:rPr>
            </w:pPr>
            <w:r>
              <w:rPr>
                <w:i/>
                <w:iCs/>
                <w:sz w:val="21"/>
                <w:szCs w:val="21"/>
              </w:rPr>
              <w:t xml:space="preserve">(name)</w:t>
            </w:r>
          </w:p>
        </w:tc>
        <w:tc>
          <w:tcPr>
            <w:tcW w:w="2870" w:type="dxa"/>
          </w:tcPr>
          <w:p>
            <w:pPr>
              <w:spacing w:line="360" w:lineRule="auto"/>
              <w:rPr>
                <w:i/>
                <w:iCs/>
                <w:sz w:val="21"/>
                <w:szCs w:val="21"/>
              </w:rPr>
            </w:pPr>
            <w:r>
              <w:rPr>
                <w:i/>
                <w:iCs/>
                <w:sz w:val="21"/>
                <w:szCs w:val="21"/>
              </w:rPr>
              <w:t xml:space="preserve">cadm-jsmith</w:t>
            </w:r>
          </w:p>
        </w:tc>
        <w:tc>
          <w:tcPr>
            <w:tcW w:w="1600" w:type="dxa"/>
          </w:tcPr>
          <w:p>
            <w:pPr>
              <w:spacing w:line="360" w:lineRule="auto"/>
              <w:rPr>
                <w:i/>
                <w:iCs/>
                <w:sz w:val="21"/>
                <w:szCs w:val="21"/>
              </w:rPr>
            </w:pPr>
            <w:r>
              <w:rPr>
                <w:i/>
                <w:iCs/>
                <w:sz w:val="21"/>
                <w:szCs w:val="21"/>
              </w:rPr>
              <w:t xml:space="preserve">Yes</w:t>
            </w:r>
          </w:p>
        </w:tc>
      </w:tr>
      <w:tr>
        <w:tc>
          <w:tcPr>
            <w:tcW w:w="3200" w:type="dxa"/>
          </w:tcPr>
          <w:p>
            <w:pPr>
              <w:spacing w:line="360" w:lineRule="auto"/>
              <w:rPr>
                <w:sz w:val="21"/>
                <w:szCs w:val="21"/>
              </w:rPr>
            </w:pPr>
          </w:p>
        </w:tc>
        <w:tc>
          <w:tcPr>
            <w:tcW w:w="2400" w:type="dxa"/>
          </w:tcPr>
          <w:p>
            <w:pPr>
              <w:spacing w:line="360" w:lineRule="auto"/>
              <w:rPr>
                <w:sz w:val="21"/>
                <w:szCs w:val="21"/>
              </w:rPr>
            </w:pPr>
          </w:p>
        </w:tc>
        <w:tc>
          <w:tcPr>
            <w:tcW w:w="2870" w:type="dxa"/>
          </w:tcPr>
          <w:p>
            <w:pPr>
              <w:spacing w:line="360" w:lineRule="auto"/>
              <w:rPr>
                <w:sz w:val="21"/>
                <w:szCs w:val="21"/>
              </w:rPr>
            </w:pPr>
          </w:p>
        </w:tc>
        <w:tc>
          <w:tcPr>
            <w:tcW w:w="1600" w:type="dxa"/>
          </w:tcPr>
          <w:p>
            <w:pPr>
              <w:spacing w:line="360" w:lineRule="auto"/>
              <w:rPr>
                <w:sz w:val="21"/>
                <w:szCs w:val="21"/>
              </w:rPr>
            </w:pPr>
          </w:p>
        </w:tc>
      </w:tr>
      <w:tr>
        <w:tc>
          <w:tcPr>
            <w:tcW w:w="3200" w:type="dxa"/>
          </w:tcPr>
          <w:p>
            <w:pPr>
              <w:spacing w:line="360" w:lineRule="auto"/>
              <w:rPr>
                <w:sz w:val="21"/>
                <w:szCs w:val="21"/>
              </w:rPr>
            </w:pPr>
          </w:p>
        </w:tc>
        <w:tc>
          <w:tcPr>
            <w:tcW w:w="2400" w:type="dxa"/>
          </w:tcPr>
          <w:p>
            <w:pPr>
              <w:spacing w:line="360" w:lineRule="auto"/>
              <w:rPr>
                <w:sz w:val="21"/>
                <w:szCs w:val="21"/>
              </w:rPr>
            </w:pPr>
          </w:p>
        </w:tc>
        <w:tc>
          <w:tcPr>
            <w:tcW w:w="2870" w:type="dxa"/>
          </w:tcPr>
          <w:p>
            <w:pPr>
              <w:spacing w:line="360" w:lineRule="auto"/>
              <w:rPr>
                <w:sz w:val="21"/>
                <w:szCs w:val="21"/>
              </w:rPr>
            </w:pPr>
          </w:p>
        </w:tc>
        <w:tc>
          <w:tcPr>
            <w:tcW w:w="1600" w:type="dxa"/>
          </w:tcPr>
          <w:p>
            <w:pPr>
              <w:spacing w:line="360" w:lineRule="auto"/>
              <w:rPr>
                <w:sz w:val="21"/>
                <w:szCs w:val="21"/>
              </w:rPr>
            </w:pPr>
          </w:p>
        </w:tc>
      </w:tr>
      <w:tr>
        <w:tc>
          <w:tcPr>
            <w:tcW w:w="3200" w:type="dxa"/>
          </w:tcPr>
          <w:p>
            <w:pPr>
              <w:spacing w:line="360" w:lineRule="auto"/>
              <w:rPr>
                <w:sz w:val="21"/>
                <w:szCs w:val="21"/>
              </w:rPr>
            </w:pPr>
          </w:p>
        </w:tc>
        <w:tc>
          <w:tcPr>
            <w:tcW w:w="2400" w:type="dxa"/>
          </w:tcPr>
          <w:p>
            <w:pPr>
              <w:spacing w:line="360" w:lineRule="auto"/>
              <w:rPr>
                <w:sz w:val="21"/>
                <w:szCs w:val="21"/>
              </w:rPr>
            </w:pPr>
          </w:p>
        </w:tc>
        <w:tc>
          <w:tcPr>
            <w:tcW w:w="2870" w:type="dxa"/>
          </w:tcPr>
          <w:p>
            <w:pPr>
              <w:spacing w:line="360" w:lineRule="auto"/>
              <w:rPr>
                <w:sz w:val="21"/>
                <w:szCs w:val="21"/>
              </w:rPr>
            </w:pPr>
          </w:p>
        </w:tc>
        <w:tc>
          <w:tcPr>
            <w:tcW w:w="1600" w:type="dxa"/>
          </w:tcPr>
          <w:p>
            <w:pPr>
              <w:spacing w:line="360" w:lineRule="auto"/>
              <w:rPr>
                <w:sz w:val="21"/>
                <w:szCs w:val="21"/>
              </w:rPr>
            </w:pPr>
          </w:p>
        </w:tc>
      </w:tr>
    </w:tbl>
    <w:p w14:paraId="7293A1E2" w14:textId="77777777" w:rsidR="00B72AF2" w:rsidRDefault="00B72AF2">
      <w:pPr>
        <w:rPr>
          <w:rFonts w:asciiTheme="majorHAnsi" w:hAnsiTheme="majorHAnsi"/>
          <w:color w:val="2D61A6" w:themeColor="accent1"/>
          <w:sz w:val="36"/>
          <w:szCs w:val="36"/>
        </w:rPr>
      </w:pPr>
      <w:bookmarkStart w:id="1925" w:name="_Toc222995616"/>
      <w:r>
        <w:br w:type="page"/>
      </w:r>
    </w:p>
    <w:p w14:paraId="24B6577C" w14:textId="77777777" w:rsidR="0004046D" w:rsidRDefault="0004046D" w:rsidP="0004046D">
      <w:pPr>
        <w:pStyle w:val="Heading2"/>
      </w:pPr>
      <w:bookmarkStart w:id="1926" w:name="_Toc238469973"/>
      <w:r>
        <w:lastRenderedPageBreak/>
        <w:t>Microsoft Entra ID</w:t>
      </w:r>
      <w:bookmarkEnd w:id="1926"/>
      <w:r>
        <w:t xml:space="preserve"> </w:t>
      </w:r>
      <w:bookmarkEnd w:id="1925"/>
    </w:p>
    <w:p w14:paraId="0246F79C" w14:textId="77777777" w:rsidR="00AD57AB" w:rsidRPr="00797162" w:rsidRDefault="00AD57AB" w:rsidP="006E3D31">
      <w:pPr>
        <w:pStyle w:val="Heading3"/>
      </w:pPr>
      <w:bookmarkStart w:id="1927" w:name="_Toc238469974"/>
      <w:r>
        <w:t>Custom Domain</w:t>
      </w:r>
      <w:bookmarkEnd w:id="1927"/>
    </w:p>
    <w:p>
      <w:pPr>
        <w:pStyle w:val="BodyText"/>
      </w:pPr>
      <w:r>
        <w:t xml:space="preserve">The Microsoft Entra ID tenant will use the default .onmicrosoft.us initial domain assigned at tenant creation, with </w:t>
      </w:r>
      <w:r>
        <w:rPr>
          <w:b/>
          <w:bCs/>
        </w:rPr>
        <w:t xml:space="preserve">wisconsinmetalparts.com</w:t>
      </w:r>
      <w:r>
        <w:t xml:space="preserve"> added and verified as the primary custom domain.</w:t>
      </w:r>
    </w:p>
    <w:p w14:paraId="4627F9C9" w14:textId="2869032A" w:rsidR="00AD57AB" w:rsidRDefault="00B34CA2" w:rsidP="00644A8A">
      <w:pPr>
        <w:pStyle w:val="BodyText"/>
      </w:pPr>
      <w:sdt>
        <w:sdtPr>
          <w:alias w:val="Client Primary Domain"/>
          <w:tag w:val=""/>
          <w:id w:val="927365063"/>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will be configured so traffic flows as needed to applications and services. </w:t>
      </w:r>
    </w:p>
    <w:p w14:paraId="06A66A91" w14:textId="77777777" w:rsidR="00AD57AB" w:rsidRDefault="00AD57AB" w:rsidP="006E3D31">
      <w:pPr>
        <w:pStyle w:val="Heading3"/>
      </w:pPr>
      <w:bookmarkStart w:id="1932" w:name="_Toc222995618"/>
      <w:bookmarkStart w:id="1933" w:name="_Toc238469975"/>
      <w:r>
        <w:t>Terms of Use &amp; CUI Warning</w:t>
      </w:r>
      <w:bookmarkEnd w:id="1932"/>
      <w:bookmarkEnd w:id="1933"/>
    </w:p>
    <w:p>
      <w:pPr>
        <w:pStyle w:val="BodyText"/>
      </w:pPr>
      <w:r>
        <w:t xml:space="preserve">The Terms of Use and CUI warning text in </w:t>
      </w:r>
      <w:r>
        <w:rPr>
          <w:b/>
          <w:bCs/>
        </w:rPr>
        <w:t xml:space="preserve">Appendix B</w:t>
      </w:r>
      <w:r>
        <w:t xml:space="preserve"> will be published as a Microsoft Entra ID Terms of Use document and enforced through a Conditional Access policy that grants access only on acceptance.</w:t>
      </w:r>
    </w:p>
    <w:p>
      <w:pPr>
        <w:pStyle w:val="ListTA"/>
      </w:pPr>
      <w:r>
        <w:t xml:space="preserve">The Terms of Use applies to </w:t>
      </w:r>
      <w:r>
        <w:rPr>
          <w:b/>
          <w:bCs/>
        </w:rPr>
        <w:t xml:space="preserve">all users</w:t>
      </w:r>
      <w:r>
        <w:t xml:space="preserve">; break-glass accounts are excluded, consistent with the rest of the Conditional Access design.</w:t>
      </w:r>
    </w:p>
    <w:p>
      <w:pPr>
        <w:pStyle w:val="ListTA"/>
      </w:pPr>
      <w:r>
        <w:rPr>
          <w:b/>
          <w:bCs/>
        </w:rPr>
        <w:t xml:space="preserve">Re-acceptance is required annually.</w:t>
      </w:r>
    </w:p>
    <w:p>
      <w:pPr>
        <w:pStyle w:val="ListTA"/>
      </w:pPr>
      <w:r>
        <w:t xml:space="preserve">WMP’s legal function reviews and approves the wording before the Terms of Use is published; the text in Appendix B is the draft submitted for that review.</w:t>
      </w:r>
    </w:p>
    <w:p>
      <w:pPr>
        <w:pStyle w:val="ListTA"/>
      </w:pPr>
      <w:r>
        <w:t xml:space="preserve">The Security Operations Center contact address and telephone number in Appendix B remain </w:t>
      </w:r>
      <w:r>
        <w:rPr>
          <w:b/>
          <w:bCs/>
        </w:rPr>
        <w:t xml:space="preserve">[To-Be-Determined]</w:t>
      </w:r>
      <w:r>
        <w:t xml:space="preserve"> and are inserted when WMP establishes them. DFARS 252.204-7012 incident response operations are out of scope for this engagement.</w:t>
      </w:r>
    </w:p>
    <w:p>
      <w:pPr>
        <w:pStyle w:val="Heading3"/>
      </w:pPr>
      <w:bookmarkStart w:id="2408" w:name="_Toc238480008"/>
      <w:r>
        <w:t xml:space="preserve">Privileged Identity Management (PIM)</w:t>
      </w:r>
      <w:bookmarkEnd w:id="2408"/>
    </w:p>
    <w:p>
      <w:pPr>
        <w:pStyle w:val="BodyText"/>
      </w:pPr>
      <w:r>
        <w:t xml:space="preserve">Privileged access to the Microsoft 365 GCC High tenant will be governed using Microsoft Entra Privileged Identity Management (PIM). </w:t>
      </w:r>
      <w:r>
        <w:rPr>
          <w:b/>
          <w:bCs/>
        </w:rPr>
        <w:t xml:space="preserve">There will be no standing Global Administrators.</w:t>
      </w:r>
      <w:r>
        <w:t xml:space="preserve"> Global Administrator, Application Administrator, Exchange Administrator, SharePoint Administrator, Teams Administrator, Intune Administrator, and all other privileged Entra ID roles are assigned as </w:t>
      </w:r>
      <w:r>
        <w:rPr>
          <w:b/>
          <w:bCs/>
        </w:rPr>
        <w:t xml:space="preserve">eligible</w:t>
      </w:r>
      <w:r>
        <w:t xml:space="preserve"> rather than permanent. The emergency accounts described under Emergency Accounts are the only exception.</w:t>
      </w:r>
    </w:p>
    <w:p>
      <w:pPr>
        <w:pStyle w:val="BodyText"/>
      </w:pPr>
      <w:r>
        <w:t xml:space="preserve">Administrators hold a separate administrative account, prefixed cadm-, distinct from their day-to-day user account. Administrative work is performed only from the cadm- account, which is subject to the phishing-resistant authentication requirement in Conditional Access policies 2 and 4. The role-to-person assignment list is finalized at implementation.</w:t>
      </w:r>
    </w:p>
    <w:p>
      <w:pPr>
        <w:pStyle w:val="BodyText"/>
      </w:pPr>
      <w:r>
        <w:t xml:space="preserve">Azure resource roles are not in scope: no Azure RBAC assignments are made or governed under this engagement.</w:t>
      </w:r>
    </w:p>
    <w:p>
      <w:pPr>
        <w:pStyle w:val="BodyText"/>
      </w:pPr>
      <w:r>
        <w:t xml:space="preserve">PIM will enforce just-in-time (JIT) elevation with the following controls:</w:t>
      </w:r>
    </w:p>
    <w:p>
      <w:pPr>
        <w:pStyle w:val="ListTA"/>
      </w:pPr>
      <w:r>
        <w:t xml:space="preserve">Role activation requiring multifactor authentication (MFA)</w:t>
      </w:r>
    </w:p>
    <w:p>
      <w:pPr>
        <w:pStyle w:val="ListTA"/>
      </w:pPr>
      <w:r>
        <w:t xml:space="preserve">Approval workflow for high-privilege roles (e.g., Global Administrator)</w:t>
      </w:r>
    </w:p>
    <w:p>
      <w:pPr>
        <w:pStyle w:val="ListTA"/>
      </w:pPr>
      <w:r>
        <w:t xml:space="preserve">Time-bound activation windows</w:t>
      </w:r>
    </w:p>
    <w:p>
      <w:pPr>
        <w:pStyle w:val="ListTA"/>
      </w:pPr>
      <w:r>
        <w:t xml:space="preserve">Justification required at activation</w:t>
      </w:r>
    </w:p>
    <w:p>
      <w:pPr>
        <w:pStyle w:val="ListTA"/>
      </w:pPr>
      <w:r>
        <w:t xml:space="preserve">Automatic access expiration</w:t>
      </w:r>
    </w:p>
    <w:p>
      <w:pPr>
        <w:pStyle w:val="ListTA"/>
      </w:pPr>
      <w:r>
        <w:t xml:space="preserve">Notification on activation of a privileged role</w:t>
      </w:r>
    </w:p>
    <w:p>
      <w:pPr>
        <w:pStyle w:val="ListTA"/>
      </w:pPr>
      <w:r>
        <w:t xml:space="preserve">Periodic access reviews of eligible assignments</w:t>
      </w:r>
    </w:p>
    <w:p>
      <w:pPr>
        <w:pStyle w:val="BodyText"/>
      </w:pPr>
      <w:r>
        <w:t xml:space="preserve">Essendis administrative accounts (Michael Schraepfer and Jeremy Cornwell) are provisioned as eligible for the duration of the engagement and are </w:t>
      </w:r>
      <w:r>
        <w:rPr>
          <w:b/>
          <w:bCs/>
        </w:rPr>
        <w:t xml:space="preserve">removed at handoff</w:t>
      </w:r>
      <w:r>
        <w:t xml:space="preserve">.</w:t>
      </w:r>
    </w:p>
    <w:p>
      <w:pPr>
        <w:pStyle w:val="BodyText"/>
      </w:pPr>
      <w:r>
        <w:t xml:space="preserve">Audit logs for role activation, assignment changes, and administrative actions are retained under the tenant audit configuration (see Audit Logging). Review of those logs, and any SIEM integration, is WMP-owned. This model reduces standing privilege, limits attack surface, and supports compliance with least-privilege access principles.</w:t>
      </w:r>
    </w:p>
    <w:p w14:paraId="7DB54E2F" w14:textId="77777777" w:rsidR="0004046D" w:rsidRDefault="0004046D" w:rsidP="0004046D">
      <w:pPr>
        <w:rPr>
          <w:rFonts w:asciiTheme="majorHAnsi" w:eastAsiaTheme="majorEastAsia" w:hAnsiTheme="majorHAnsi" w:cstheme="majorBidi"/>
          <w:sz w:val="40"/>
          <w:szCs w:val="40"/>
        </w:rPr>
      </w:pPr>
      <w:r>
        <w:br w:type="page"/>
      </w:r>
    </w:p>
    <w:p>
      <w:pPr>
        <w:pStyle w:val="Heading2"/>
      </w:pPr>
      <w:bookmarkStart w:id="2409" w:name="_Toc238480009"/>
      <w:r>
        <w:t xml:space="preserve">Hybrid Identity and Device Join</w:t>
      </w:r>
      <w:bookmarkEnd w:id="2409"/>
    </w:p>
    <w:p>
      <w:pPr>
        <w:pStyle w:val="BodyText"/>
      </w:pPr>
      <w:r>
        <w:t xml:space="preserve">WMP’s environment remains predominantly on-premises. Identity stays mastered in on-premises Active Directory, and this design synchronizes that directory into the GCC High tenant rather than replacing it.</w:t>
      </w:r>
    </w:p>
    <w:p>
      <w:pPr>
        <w:pStyle w:val="Heading3"/>
      </w:pPr>
      <w:bookmarkStart w:id="2410" w:name="_Toc238480010"/>
      <w:r>
        <w:t xml:space="preserve">Directory Synchronization</w:t>
      </w:r>
      <w:bookmarkEnd w:id="2410"/>
    </w:p>
    <w:p>
      <w:pPr>
        <w:pStyle w:val="ListTA"/>
      </w:pPr>
      <w:r>
        <w:t xml:space="preserve">The existing Microsoft Entra ID Connect installation is </w:t>
      </w:r>
      <w:r>
        <w:rPr>
          <w:b/>
          <w:bCs/>
        </w:rPr>
        <w:t xml:space="preserve">re-pointed from the Microsoft 365 Commercial tenant to the GCC High tenant</w:t>
      </w:r>
      <w:r>
        <w:t xml:space="preserve">. A second directory is not built.</w:t>
      </w:r>
    </w:p>
    <w:p>
      <w:pPr>
        <w:pStyle w:val="ListTA"/>
      </w:pPr>
      <w:r>
        <w:t xml:space="preserve">Sign-in uses </w:t>
      </w:r>
      <w:r>
        <w:rPr>
          <w:b/>
          <w:bCs/>
        </w:rPr>
        <w:t xml:space="preserve">password hash synchronization</w:t>
      </w:r>
      <w:r>
        <w:t xml:space="preserve">. Authentication occurs in the cloud against the synchronized hash, as described under User Sign In.</w:t>
      </w:r>
    </w:p>
    <w:p>
      <w:pPr>
        <w:pStyle w:val="ListTA"/>
      </w:pPr>
      <w:r>
        <w:t xml:space="preserve">User accounts continue to be </w:t>
      </w:r>
      <w:r>
        <w:rPr>
          <w:b/>
          <w:bCs/>
        </w:rPr>
        <w:t xml:space="preserve">created in on-premises Active Directory and synchronized</w:t>
      </w:r>
      <w:r>
        <w:t xml:space="preserve"> to Entra ID. License assignment follows synchronized security group membership (see Licensing). Joiner, mover, and leaver processes are WMP-owned.</w:t>
      </w:r>
    </w:p>
    <w:p>
      <w:pPr>
        <w:pStyle w:val="ListTA"/>
      </w:pPr>
      <w:r>
        <w:t xml:space="preserve">Essendis engineers the re-point sequencing, source-object matching, synchronization scope, and break-fix plan as part of the migration plan; the re-point itself is executed within the cutover sequence.</w:t>
      </w:r>
    </w:p>
    <w:p>
      <w:pPr>
        <w:pStyle w:val="ListTA"/>
      </w:pPr>
      <w:r>
        <w:rPr>
          <w:b/>
          <w:bCs/>
        </w:rPr>
        <w:t xml:space="preserve">Entra ID Connect is disabled against the commercial tenant at cutover.</w:t>
      </w:r>
      <w:r>
        <w:t xml:space="preserve"> Full decommission of the commercial tenant afterwards is performed by WMP.</w:t>
      </w:r>
    </w:p>
    <w:p>
      <w:pPr>
        <w:pStyle w:val="Heading3"/>
      </w:pPr>
      <w:bookmarkStart w:id="2411" w:name="_Toc238480011"/>
      <w:r>
        <w:t xml:space="preserve">Device Join Model</w:t>
      </w:r>
      <w:bookmarkEnd w:id="2411"/>
    </w:p>
    <w:p>
      <w:pPr>
        <w:pStyle w:val="ListTA"/>
      </w:pPr>
      <w:r>
        <w:t xml:space="preserve">Windows devices use </w:t>
      </w:r>
      <w:r>
        <w:rPr>
          <w:b/>
          <w:bCs/>
        </w:rPr>
        <w:t xml:space="preserve">Microsoft Entra hybrid join</w:t>
      </w:r>
      <w:r>
        <w:t xml:space="preserve">: they remain joined to the on-premises Active Directory domain and register with the GCC High tenant.</w:t>
      </w:r>
    </w:p>
    <w:p>
      <w:pPr>
        <w:pStyle w:val="ListTA"/>
      </w:pPr>
      <w:r>
        <w:t xml:space="preserve">Devices are managed jointly by </w:t>
      </w:r>
      <w:r>
        <w:rPr>
          <w:b/>
          <w:bCs/>
        </w:rPr>
        <w:t xml:space="preserve">Active Directory Group Policy and Microsoft Intune</w:t>
      </w:r>
      <w:r>
        <w:t xml:space="preserve">. Intune delivers the security configuration described under Windows Endpoint Management.</w:t>
      </w:r>
    </w:p>
    <w:p>
      <w:pPr>
        <w:pStyle w:val="ListTA"/>
      </w:pPr>
      <w:r>
        <w:rPr>
          <w:b/>
          <w:bCs/>
        </w:rPr>
        <w:t xml:space="preserve">Group Policy is retained</w:t>
      </w:r>
      <w:r>
        <w:t xml:space="preserve"> for drive mappings and printer deployment. A Group Policy export and an Intune equivalence mapping are produced during the Intune workstream; settings that cannot be reproduced in Intune are listed and referred to WMP for decision.</w:t>
      </w:r>
    </w:p>
    <w:p>
      <w:pPr>
        <w:pStyle w:val="ListTA"/>
      </w:pPr>
      <w:r>
        <w:t xml:space="preserve">Conditional Access policy 3 grants access to devices that are compliant or Entra hybrid joined, consistent with this model.</w:t>
      </w:r>
    </w:p>
    <w:p>
      <w:pPr>
        <w:pStyle w:val="Heading3"/>
      </w:pPr>
      <w:bookmarkStart w:id="2412" w:name="_Toc238480012"/>
      <w:r>
        <w:t xml:space="preserve">On-Premises Services Retained</w:t>
      </w:r>
      <w:bookmarkEnd w:id="2412"/>
    </w:p>
    <w:p>
      <w:pPr>
        <w:pStyle w:val="BodyText"/>
      </w:pPr>
      <w:r>
        <w:t xml:space="preserve">On-premises Active Directory is retained and is not retired under this engagement. It continues to serve:</w:t>
      </w:r>
    </w:p>
    <w:p>
      <w:pPr>
        <w:pStyle w:val="ListTA"/>
      </w:pPr>
      <w:r>
        <w:rPr>
          <w:b/>
          <w:bCs/>
        </w:rPr>
        <w:t xml:space="preserve">Legacy application authentication.</w:t>
      </w:r>
      <w:r>
        <w:t xml:space="preserve"> Multiple line-of-business and manufacturing systems authenticate directly against Active Directory. No application authenticates through Microsoft 365 today; adopting Entra ID application authentication is a post-migration roadmap item, not part of this design.</w:t>
      </w:r>
    </w:p>
    <w:p>
      <w:pPr>
        <w:pStyle w:val="ListTA"/>
      </w:pPr>
      <w:r>
        <w:rPr>
          <w:b/>
          <w:bCs/>
        </w:rPr>
        <w:t xml:space="preserve">File and print services.</w:t>
      </w:r>
      <w:r>
        <w:t xml:space="preserve"> Two print servers and three file servers (reducing to two, approximately 7 TB, standard UNC paths, no DFS Namespaces) remain on premises and are reachable over Kerberos from hybrid-joined devices. File-server migration is out of scope.</w:t>
      </w:r>
    </w:p>
    <w:p>
      <w:pPr>
        <w:pStyle w:val="ListTA"/>
      </w:pPr>
      <w:r>
        <w:rPr>
          <w:b/>
          <w:bCs/>
        </w:rPr>
        <w:t xml:space="preserve">Service accounts</w:t>
      </w:r>
      <w:r>
        <w:t xml:space="preserve">, which remain on premises in a dedicated organizational unit.</w:t>
      </w:r>
    </w:p>
    <w:p>
      <w:pPr>
        <w:pStyle w:val="ListTA"/>
      </w:pPr>
      <w:r>
        <w:rPr>
          <w:b/>
          <w:bCs/>
        </w:rPr>
        <w:t xml:space="preserve">Desktop multifactor authentication.</w:t>
      </w:r>
      <w:r>
        <w:t xml:space="preserve"> RSA is retained for on-premises Windows desktop MFA.</w:t>
      </w:r>
    </w:p>
    <w:p>
      <w:pPr>
        <w:pStyle w:val="ListTA"/>
      </w:pPr>
      <w:r>
        <w:rPr>
          <w:b/>
          <w:bCs/>
        </w:rPr>
        <w:t xml:space="preserve">Certificate services.</w:t>
      </w:r>
      <w:r>
        <w:t xml:space="preserve"> The on-premises PKI continues to issue device certificates and support network access control.</w:t>
      </w:r>
    </w:p>
    <w:p>
      <w:pPr>
        <w:pStyle w:val="ListTA"/>
      </w:pPr>
      <w:r>
        <w:rPr>
          <w:b/>
          <w:bCs/>
        </w:rPr>
        <w:t xml:space="preserve">Remote access.</w:t>
      </w:r>
      <w:r>
        <w:t xml:space="preserve"> FortiGate SSL VPN with FortiClient EMS serves approximately 34 remote users, one of whom is fully remote. Integrating FortiGate authentication with Entra ID is a post-migration roadmap item.</w:t>
      </w:r>
    </w:p>
    <w:p w14:paraId="2F8563AD" w14:textId="77777777" w:rsidR="0004046D" w:rsidRDefault="0004046D" w:rsidP="00AD57AB">
      <w:pPr>
        <w:pStyle w:val="Heading2"/>
      </w:pPr>
      <w:bookmarkStart w:id="1935" w:name="_Toc222995619"/>
      <w:bookmarkStart w:id="1936" w:name="_Toc238469977"/>
      <w:r>
        <w:lastRenderedPageBreak/>
        <w:t>Exchange Online</w:t>
      </w:r>
      <w:bookmarkEnd w:id="1935"/>
      <w:bookmarkEnd w:id="1936"/>
    </w:p>
    <w:p w14:paraId="2B4DAE67" w14:textId="77777777" w:rsidR="00AD57AB" w:rsidRPr="000C6359" w:rsidRDefault="00AD57AB" w:rsidP="006E3D31">
      <w:pPr>
        <w:pStyle w:val="Heading3"/>
      </w:pPr>
      <w:bookmarkStart w:id="1937" w:name="_Toc238469978"/>
      <w:r>
        <w:t>Modern authentication only (disable Basic Auth)</w:t>
      </w:r>
      <w:bookmarkEnd w:id="1937"/>
    </w:p>
    <w:p w14:paraId="5E2874FE" w14:textId="77777777" w:rsidR="00AD57AB" w:rsidRPr="002E650B" w:rsidRDefault="00AD57AB" w:rsidP="00644A8A">
      <w:pPr>
        <w:pStyle w:val="BodyText"/>
      </w:pPr>
      <w:r>
        <w:t>Basic authentication in Exchange Online uses a username and a password for client access requests. Blocking Basic authentication can help protect your Exchange Online organization from brute force or password spray attacks. When you disable Basic authentication for users in Exchange Online, their email clients and apps must support modern authentication</w:t>
      </w:r>
    </w:p>
    <w:p w14:paraId="511D0A5E" w14:textId="77777777" w:rsidR="00AD57AB" w:rsidRPr="00F90E71" w:rsidRDefault="00AD57AB" w:rsidP="006E3D31">
      <w:pPr>
        <w:pStyle w:val="Heading3"/>
      </w:pPr>
      <w:bookmarkStart w:id="1938" w:name="_Toc238469979"/>
      <w:r>
        <w:t>Safe Attachments (Dynamic Delivery)</w:t>
      </w:r>
      <w:bookmarkEnd w:id="1938"/>
    </w:p>
    <w:p w14:paraId="622386AC" w14:textId="77777777" w:rsidR="00AD57AB" w:rsidRDefault="00AD57AB" w:rsidP="00644A8A">
      <w:pPr>
        <w:pStyle w:val="BodyText"/>
      </w:pPr>
      <w:r>
        <w:t>Safe Attachments in Microsoft Defender for Office 365 provides an additional layer of protection for email attachments that have already been scanned by anti-malware protection in Exchange Online Protection (EOP). Specifically, Safe Attachments uses a virtual environment to check attachments in email messages before they're delivered to recipients (a process known as detonation).</w:t>
      </w:r>
    </w:p>
    <w:p w14:paraId="07F25C1D" w14:textId="77777777" w:rsidR="00AD57AB" w:rsidRPr="008A1383" w:rsidRDefault="00AD57AB" w:rsidP="00644A8A">
      <w:pPr>
        <w:pStyle w:val="BodyText"/>
      </w:pPr>
      <w:r>
        <w:t>Dynamic Delivery:</w:t>
      </w:r>
    </w:p>
    <w:p w14:paraId="77C48006" w14:textId="77777777" w:rsidR="00AD57AB" w:rsidRPr="008A1383" w:rsidRDefault="00AD57AB" w:rsidP="00644A8A">
      <w:pPr>
        <w:pStyle w:val="BodyText"/>
      </w:pPr>
      <w:r>
        <w:t>Avoid message delays while protecting recipients from malicious files - Delivers messages immediately, but replaces attachments with placeholders until Safe Attachments scanning is complete.</w:t>
      </w:r>
    </w:p>
    <w:p w14:paraId="48706EEC" w14:textId="77777777" w:rsidR="00AD57AB" w:rsidRDefault="00AD57AB" w:rsidP="00644A8A">
      <w:pPr>
        <w:pStyle w:val="BodyText"/>
      </w:pPr>
      <w:r>
        <w:t>Messages that contain malicious attachments are quarantined. By default, only admins (not users) can review, release, or delete the messages.</w:t>
      </w:r>
    </w:p>
    <w:p>
      <w:pPr>
        <w:pStyle w:val="Heading3"/>
      </w:pPr>
      <w:bookmarkStart w:id="2413" w:name="_Toc238480013"/>
      <w:r>
        <w:t xml:space="preserve">Defender for Office 365 Preset Security Policies</w:t>
      </w:r>
      <w:bookmarkEnd w:id="2413"/>
    </w:p>
    <w:p>
      <w:pPr>
        <w:pStyle w:val="BodyText"/>
      </w:pPr>
      <w:r>
        <w:t xml:space="preserve">Microsoft Defender for Office 365 will be configured using the </w:t>
      </w:r>
      <w:r>
        <w:rPr>
          <w:b/>
          <w:bCs/>
        </w:rPr>
        <w:t xml:space="preserve">Strict</w:t>
      </w:r>
      <w:r>
        <w:t xml:space="preserve"> preset security policy, applied to all recipients. The Strict preset governs anti-phishing, anti-spam, anti-malware, Safe Links, and Safe Attachments at Microsoft’s most restrictive published settings. The named policies described in this section record the intended protection outcome; where the Strict preset already delivers the equivalent control, the preset takes precedence and a separate custom policy is not created.</w:t>
      </w:r>
    </w:p>
    <w:p>
      <w:pPr>
        <w:pStyle w:val="Heading3"/>
      </w:pPr>
      <w:bookmarkStart w:id="2414" w:name="_Toc238480014"/>
      <w:r>
        <w:t xml:space="preserve">Safe Links</w:t>
      </w:r>
      <w:bookmarkEnd w:id="2414"/>
    </w:p>
    <w:p>
      <w:pPr>
        <w:pStyle w:val="BodyText"/>
      </w:pPr>
      <w:r>
        <w:t xml:space="preserve">Safe Links will be enabled for </w:t>
      </w:r>
      <w:r>
        <w:rPr>
          <w:b/>
          <w:bCs/>
        </w:rPr>
        <w:t xml:space="preserve">email, Microsoft Teams, and the Office applications</w:t>
      </w:r>
      <w:r>
        <w:t xml:space="preserve">. URLs are rewritten and re-evaluated at time of click, and users cannot click through the warning page to a URL that has been determined to be malicious.</w:t>
      </w:r>
    </w:p>
    <w:p>
      <w:pPr>
        <w:pStyle w:val="Heading3"/>
      </w:pPr>
      <w:bookmarkStart w:id="2415" w:name="_Toc238480015"/>
      <w:r>
        <w:t xml:space="preserve">Safe Attachments for SharePoint, OneDrive, and Teams</w:t>
      </w:r>
      <w:bookmarkEnd w:id="2415"/>
    </w:p>
    <w:p>
      <w:pPr>
        <w:pStyle w:val="BodyText"/>
      </w:pPr>
      <w:r>
        <w:t xml:space="preserve">Safe Attachments protection will be extended beyond email to </w:t>
      </w:r>
      <w:r>
        <w:rPr>
          <w:b/>
          <w:bCs/>
        </w:rPr>
        <w:t xml:space="preserve">SharePoint Online, OneDrive, and Microsoft Teams</w:t>
      </w:r>
      <w:r>
        <w:t xml:space="preserve">. Files identified as malicious are quarantined: they are blocked from download and from sharing, and remain visible only to administrators for review.</w:t>
      </w:r>
    </w:p>
    <w:p>
      <w:pPr>
        <w:pStyle w:val="Heading3"/>
      </w:pPr>
      <w:bookmarkStart w:id="2416" w:name="_Toc238480016"/>
      <w:r>
        <w:t xml:space="preserve">Quarantine Management and Notifications</w:t>
      </w:r>
      <w:bookmarkEnd w:id="2416"/>
    </w:p>
    <w:p>
      <w:pPr>
        <w:pStyle w:val="ListTA"/>
      </w:pPr>
      <w:r>
        <w:rPr>
          <w:b/>
          <w:bCs/>
        </w:rPr>
        <w:t xml:space="preserve">Release from quarantine is administrator-only</w:t>
      </w:r>
      <w:r>
        <w:t xml:space="preserve"> for every quarantine type. Users may submit a release request; an administrator approves or denies it. Users cannot release messages or files themselves.</w:t>
      </w:r>
    </w:p>
    <w:p>
      <w:pPr>
        <w:pStyle w:val="ListTA"/>
      </w:pPr>
      <w:r>
        <w:t xml:space="preserve">Detection and quarantine notifications route to the WMP administrator group by default. The monitored mailbox that will receive them is </w:t>
      </w:r>
      <w:r>
        <w:rPr>
          <w:b/>
          <w:bCs/>
        </w:rPr>
        <w:t xml:space="preserve">TBD</w:t>
      </w:r>
      <w:r>
        <w:rPr>
          <w:highlight w:val="yellow"/>
        </w:rPr>
        <w:t xml:space="preserve"> [TBD: monitored mailbox for quarantine and detection notifications]</w:t>
      </w:r>
      <w:r>
        <w:t xml:space="preserve">, pending WMP nominating one; until then, notifications go to the administrator team.</w:t>
      </w:r>
    </w:p>
    <w:p w14:paraId="1C5C409C" w14:textId="77777777" w:rsidR="00AD57AB" w:rsidRDefault="00AD57AB" w:rsidP="006E3D31">
      <w:pPr>
        <w:pStyle w:val="Heading3"/>
      </w:pPr>
      <w:bookmarkStart w:id="1939" w:name="_Toc222995622"/>
      <w:bookmarkStart w:id="1940" w:name="_Toc238469980"/>
      <w:r>
        <w:t>Email Authentication</w:t>
      </w:r>
      <w:bookmarkEnd w:id="1939"/>
      <w:bookmarkEnd w:id="1940"/>
    </w:p>
    <w:p w14:paraId="1A27513A" w14:textId="77777777" w:rsidR="00AD57AB" w:rsidRPr="003843F5" w:rsidRDefault="00AD57AB" w:rsidP="00921BA0">
      <w:pPr>
        <w:pStyle w:val="BodyText"/>
        <w:numPr>
          <w:ilvl w:val="0"/>
          <w:numId w:val="3"/>
        </w:numPr>
        <w:rPr>
          <w:sz w:val="24"/>
          <w:szCs w:val="24"/>
        </w:rPr>
      </w:pPr>
      <w:r>
        <w:rPr>
          <w:b/>
          <w:bCs/>
        </w:rPr>
        <w:t>Secure Email DNS Configuration:</w:t>
      </w:r>
      <w:r>
        <w:t xml:space="preserve"> Implement email authentication protocols to protect the organization’s email domain from spoofing and to improve deliverability: </w:t>
      </w:r>
    </w:p>
    <w:p w14:paraId="7163EC84" w14:textId="75388EE3" w:rsidR="00AD57AB" w:rsidRPr="006F13A7" w:rsidRDefault="00AD57AB" w:rsidP="00FE518C">
      <w:pPr>
        <w:pStyle w:val="ListTA"/>
      </w:pPr>
      <w:r>
        <w:rPr>
          <w:b/>
          <w:bCs/>
        </w:rPr>
        <w:t>SPF (Sender Policy Framework):</w:t>
      </w:r>
      <w:r>
        <w:t xml:space="preserve"> Publish an SPF record in DNS for </w:t>
      </w:r>
      <w:sdt>
        <w:sdtPr>
          <w:alias w:val="Client Primary Domain"/>
          <w:tag w:val=""/>
          <w:id w:val="979792841"/>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that includes Microsoft 365 as permitted senders. This will be in the format: "v=spf1 include:spf.protection.outlook.com -all*", ensuring that only Microsoft email servers are authorized to send mail on behalf of the domain. </w:t>
      </w:r>
    </w:p>
    <w:p w14:paraId="21758AFA" w14:textId="77777777" w:rsidR="00AD57AB" w:rsidRPr="006F13A7" w:rsidRDefault="00AD57AB" w:rsidP="00FE518C">
      <w:pPr>
        <w:pStyle w:val="ListTA"/>
      </w:pPr>
      <w:r>
        <w:rPr>
          <w:b/>
          <w:bCs/>
        </w:rPr>
        <w:t>DKIM (DomainKeys Identified Mail):</w:t>
      </w:r>
      <w:r>
        <w:t xml:space="preserve"> Enable DKIM signing for the domain. Two CNAME records will be added in DNS as provided by Microsoft 365, to allow Microsoft’s Exchange Online to sign </w:t>
        <w:lastRenderedPageBreak/>
        <w:t xml:space="preserve">outgoing email with DKIM signatures. Once configured, outbound emails will have cryptographic signatures that receiving servers can verify against the domain’s public DKIM keys. </w:t>
      </w:r>
    </w:p>
    <w:p w14:paraId="35615896" w14:textId="766F31FD" w:rsidR="00AD57AB" w:rsidRPr="00B72AF2" w:rsidRDefault="00AD57AB" w:rsidP="00FE518C">
      <w:pPr>
        <w:pStyle w:val="ListTA"/>
      </w:pPr>
      <w:r>
        <w:rPr>
          <w:b/>
          <w:bCs/>
        </w:rPr>
        <w:t>DMARC</w:t>
      </w:r>
      <w:r>
        <w:t xml:space="preserve">: Configure a DMARC record for </w:t>
      </w:r>
      <w:sdt>
        <w:sdtPr>
          <w:alias w:val="Client Primary Domain"/>
          <w:tag w:val=""/>
          <w:id w:val="444074400"/>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to specify how receiving mail servers should handle emails that fail SPF/DKIM checks. The DMARC policy will be set to quarantine suspicious mails and will provide reporting to a designated address. For example, the DMARC record will be: </w:t>
      </w:r>
    </w:p>
    <w:p w14:paraId="72903C12" w14:textId="5CD8D3A5" w:rsidR="00AD57AB" w:rsidRPr="00B72AF2" w:rsidRDefault="00AD57AB" w:rsidP="00B72AF2">
      <w:pPr>
        <w:widowControl w:val="0"/>
        <w:spacing w:line="360" w:lineRule="auto"/>
        <w:ind w:left="720"/>
        <w:rPr>
          <w:i/>
          <w:iCs/>
          <w:sz w:val="21"/>
          <w:szCs w:val="21"/>
        </w:rPr>
      </w:pPr>
      <w:r>
        <w:rPr>
          <w:i/>
          <w:iCs/>
          <w:sz w:val="21"/>
          <w:szCs w:val="21"/>
        </w:rPr>
        <w:tab/>
        <w:t xml:space="preserve">v=DMARC1; p=quarantine; </w:t>
        <w:tab/>
        <w:t>rua=mailto:postmaster@</w:t>
      </w:r>
      <w:sdt>
        <w:sdtPr>
          <w:rPr>
            <w:i/>
            <w:iCs/>
            <w:sz w:val="21"/>
            <w:szCs w:val="21"/>
          </w:rPr>
          <w:alias w:val="Client Primary Domain"/>
          <w:tag w:val=""/>
          <w:id w:val="131743447"/>
          <w:placeholder>
            <w:docPart w:val="2B1D09EF8BBC4C77BE8E17590BB1F050"/>
          </w:placeholder>
          <w:dataBinding w:prefixMappings="xmlns:ec='urn:essendis:engagement-profile' " w:xpath="/ec:engagement[1]/ec:ClientDomain[1]" w:storeItemID="{E55E11D8-6A7D-4C25-9E68-2A3B8F0C4D91}"/>
          <w:text/>
        </w:sdtPr>
        <w:sdtEndPr/>
        <w:sdtContent>
          <w:r>
            <w:rPr>
              <w:i/>
              <w:iCs/>
              <w:sz w:val="21"/>
              <w:szCs w:val="21"/>
            </w:rPr>
            <w:t>wisconsinmetalparts.com</w:t>
          </w:r>
        </w:sdtContent>
      </w:sdt>
      <w:r>
        <w:rPr>
          <w:i/>
          <w:iCs/>
          <w:sz w:val="21"/>
          <w:szCs w:val="21"/>
        </w:rPr>
        <w:t xml:space="preserve">; adkim=s; </w:t>
        <w:tab/>
        <w:t xml:space="preserve">aspf=s; </w:t>
      </w:r>
    </w:p>
    <w:p w14:paraId="225D669E" w14:textId="6B8A2E14" w:rsidR="00AD57AB" w:rsidRDefault="00AD57AB" w:rsidP="00975CC5">
      <w:pPr>
        <w:pStyle w:val="BodyText"/>
        <w:ind w:left="720"/>
      </w:pPr>
      <w:r>
        <w:t>This DMARC policy tells receivers to quarantine emails that fail authentication, send aggregate reports to postmaster@</w:t>
      </w:r>
      <w:sdt>
        <w:sdtPr>
          <w:alias w:val="Client Primary Domain"/>
          <w:tag w:val=""/>
          <w:id w:val="1260672932"/>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and enforce strict alignment on DKIM (adkim=s) and SPF (aspf=s).</w:t>
      </w:r>
    </w:p>
    <w:p w14:paraId="74367A69" w14:textId="1457A533" w:rsidR="00AD57AB" w:rsidRDefault="00AD57AB" w:rsidP="00975CC5">
      <w:pPr>
        <w:pStyle w:val="BodyText"/>
        <w:ind w:left="720"/>
      </w:pPr>
      <w:r>
        <w:t xml:space="preserve">*The exact SPF record will be finalized once </w:t>
      </w:r>
      <w:sdt>
        <w:sdtPr>
          <w:alias w:val="Client Abbreviation"/>
          <w:tag w:val=""/>
          <w:id w:val="677265463"/>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confirms mail senders</w:t>
      </w:r>
    </w:p>
    <w:p w14:paraId="69030521" w14:textId="77777777" w:rsidR="00AD57AB" w:rsidRPr="000E239A" w:rsidRDefault="00AD57AB" w:rsidP="006E3D31">
      <w:pPr>
        <w:pStyle w:val="Heading3"/>
      </w:pPr>
      <w:bookmarkStart w:id="1951" w:name="_Toc238469981"/>
      <w:r>
        <w:t>Anti-Phishing</w:t>
      </w:r>
      <w:bookmarkEnd w:id="1951"/>
    </w:p>
    <w:p w14:paraId="33E8ADE9" w14:textId="5FB926CE" w:rsidR="00AD57AB" w:rsidRPr="00561AEF" w:rsidRDefault="00AD57AB" w:rsidP="00644A8A">
      <w:pPr>
        <w:pStyle w:val="BodyText"/>
      </w:pPr>
      <w:r>
        <w:t xml:space="preserve">Deploy an Exchange Online anti-phishing policy (named “Anti-Phishing Policy”) covering all users with mailboxes on the </w:t>
      </w:r>
      <w:sdt>
        <w:sdtPr>
          <w:alias w:val="Client Primary Domain"/>
          <w:tag w:val=""/>
          <w:id w:val="999847615"/>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domain. Key configurations of this policy include:</w:t>
      </w:r>
    </w:p>
    <w:p w14:paraId="0064A535" w14:textId="18A9F6A9" w:rsidR="00AD57AB" w:rsidRPr="00561AEF" w:rsidRDefault="00AD57AB" w:rsidP="00FE518C">
      <w:pPr>
        <w:pStyle w:val="ListTA"/>
      </w:pPr>
      <w:r>
        <w:rPr>
          <w:b/>
          <w:bCs/>
        </w:rPr>
        <w:t>Scope</w:t>
      </w:r>
      <w:r>
        <w:t xml:space="preserve">: All inbound messages to addresses on </w:t>
      </w:r>
      <w:sdt>
        <w:sdtPr>
          <w:alias w:val="Client Primary Domain"/>
          <w:tag w:val=""/>
          <w:id w:val="1786280125"/>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(which covers the entire organization). This ensures every incoming email is evaluated for phishing risk. </w:t>
      </w:r>
    </w:p>
    <w:p w14:paraId="30228266" w14:textId="73E2E837" w:rsidR="00AD57AB" w:rsidRPr="00561AEF" w:rsidRDefault="00AD57AB" w:rsidP="00FE518C">
      <w:pPr>
        <w:pStyle w:val="ListTA"/>
      </w:pPr>
      <w:r>
        <w:rPr>
          <w:b/>
          <w:bCs/>
        </w:rPr>
        <w:t>Impersonation Protection:</w:t>
      </w:r>
      <w:r>
        <w:t xml:space="preserve"> The policy explicitly protects the organization’s domain and high-profile users from impersonation. Any email that appears to spoof or closely resemble the </w:t>
      </w:r>
      <w:sdt>
        <w:sdtPr>
          <w:alias w:val="Client Abbreviation"/>
          <w:tag w:val=""/>
          <w:id w:val="971510702"/>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domain (or impersonate executives/users) will be flagged. </w:t>
      </w:r>
    </w:p>
    <w:p w14:paraId="36F159F9" w14:textId="77777777" w:rsidR="00AD57AB" w:rsidRPr="00561AEF" w:rsidRDefault="00AD57AB" w:rsidP="00FE518C">
      <w:pPr>
        <w:pStyle w:val="ListTA"/>
      </w:pPr>
      <w:r>
        <w:rPr>
          <w:b/>
          <w:bCs/>
        </w:rPr>
        <w:t>Aggressive Threshold:</w:t>
      </w:r>
      <w:r>
        <w:t xml:space="preserve"> The phishing detection threshold is set to Aggressive so the system will be more sensitive to detecting phish-like characteristics. </w:t>
      </w:r>
    </w:p>
    <w:p w14:paraId="6415824B" w14:textId="77777777" w:rsidR="00AD57AB" w:rsidRPr="00561AEF" w:rsidRDefault="00AD57AB" w:rsidP="00FE518C">
      <w:pPr>
        <w:pStyle w:val="ListTA"/>
      </w:pPr>
      <w:r>
        <w:rPr>
          <w:b/>
          <w:bCs/>
        </w:rPr>
        <w:t>Mailbox Intelligence:</w:t>
      </w:r>
      <w:r>
        <w:t xml:space="preserve"> Enable mailbox intelligence features which use patterns of past communications to help detect anomalies.</w:t>
      </w:r>
    </w:p>
    <w:p w14:paraId="2834531C" w14:textId="77777777" w:rsidR="00AD57AB" w:rsidRDefault="00AD57AB" w:rsidP="00FE518C">
      <w:pPr>
        <w:pStyle w:val="ListTA"/>
      </w:pPr>
      <w:r>
        <w:rPr>
          <w:b/>
          <w:bCs/>
        </w:rPr>
        <w:t>Spoof Intelligence:</w:t>
      </w:r>
      <w:r>
        <w:t xml:space="preserve"> Turn on spoof intelligence. Any inbound message that is determined to be a spoof (sender forging someone’s email address/domain) will be automatically quarantined. Administrators can review and release from quarantine if needed.</w:t>
      </w:r>
    </w:p>
    <w:p w14:paraId="7A65272B" w14:textId="77777777" w:rsidR="00B72AF2" w:rsidRDefault="00AD57AB" w:rsidP="006E3D31">
      <w:pPr>
        <w:pStyle w:val="Heading3"/>
      </w:pPr>
      <w:bookmarkStart w:id="1958" w:name="_Toc238469982"/>
      <w:r>
        <w:lastRenderedPageBreak/>
        <w:t>Anti-Malware</w:t>
      </w:r>
      <w:bookmarkEnd w:id="1958"/>
    </w:p>
    <w:p w14:paraId="159CA033" w14:textId="77777777" w:rsidR="00AD57AB" w:rsidRPr="003843F5" w:rsidRDefault="00AD57AB" w:rsidP="00644A8A">
      <w:pPr>
        <w:pStyle w:val="BodyText"/>
      </w:pPr>
      <w:r>
        <w:t xml:space="preserve">Configure an Exchange Online anti-malware policy (named “Anti-Malware Policy”) to scan and manage all incoming email attachments for threats: </w:t>
      </w:r>
    </w:p>
    <w:p w14:paraId="34BA7681" w14:textId="0703115A" w:rsidR="00AD57AB" w:rsidRPr="003D43B3" w:rsidRDefault="00AD57AB" w:rsidP="00FE518C">
      <w:pPr>
        <w:pStyle w:val="ListTA"/>
      </w:pPr>
      <w:r>
        <w:rPr>
          <w:b/>
          <w:bCs/>
        </w:rPr>
        <w:t>Scope</w:t>
      </w:r>
      <w:r>
        <w:t xml:space="preserve">: All incoming email to any </w:t>
      </w:r>
      <w:sdt>
        <w:sdtPr>
          <w:alias w:val="Client Primary Domain"/>
          <w:tag w:val=""/>
          <w:id w:val="1003713042"/>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address.</w:t>
      </w:r>
    </w:p>
    <w:p w14:paraId="7061129E" w14:textId="77777777" w:rsidR="00AD57AB" w:rsidRPr="003D43B3" w:rsidRDefault="00AD57AB" w:rsidP="00FE518C">
      <w:pPr>
        <w:pStyle w:val="ListTA"/>
      </w:pPr>
      <w:r>
        <w:rPr>
          <w:b/>
          <w:bCs/>
        </w:rPr>
        <w:t>Malware Detection Actions:</w:t>
      </w:r>
      <w:r>
        <w:t xml:space="preserve"> If an email attachment is found to be a type of file commonly used to deliver malware (e.g., executables, scripts, macro-enabled documents) or if it’s identified as malware by Microsoft’s malware engine, the email will be rejected. The sender will receive a Non-Delivery Report (NDR) indicating the message was not delivered due to security policy. This prevents dangerous content from reaching user mailboxes. </w:t>
      </w:r>
    </w:p>
    <w:p w14:paraId="57143CD8" w14:textId="77777777" w:rsidR="00AD57AB" w:rsidRPr="003D43B3" w:rsidRDefault="00AD57AB" w:rsidP="00FE518C">
      <w:pPr>
        <w:pStyle w:val="ListTA"/>
      </w:pPr>
      <w:r>
        <w:rPr>
          <w:b/>
          <w:bCs/>
        </w:rPr>
        <w:t>Zero-Hour Auto Purge (ZAP):</w:t>
      </w:r>
      <w:r>
        <w:t xml:space="preserve"> Enable ZAP for malware. If an email was delivered but later (within a short timeframe) it is discovered to contain malware (e.g., a new virus signature update flags it), Exchange Online will automatically move the email to quarantine retroactively to help catch malware that might slip through initial scanning. </w:t>
      </w:r>
    </w:p>
    <w:p w14:paraId="3E6F17A4" w14:textId="7E331D97" w:rsidR="00AD57AB" w:rsidRPr="003843F5" w:rsidRDefault="00AD57AB" w:rsidP="00FE518C">
      <w:pPr>
        <w:pStyle w:val="ListTA"/>
        <w:rPr>
          <w:sz w:val="24"/>
        </w:rPr>
      </w:pPr>
      <w:r>
        <w:rPr>
          <w:b/>
          <w:bCs/>
        </w:rPr>
        <w:t>Notifications</w:t>
      </w:r>
      <w:r>
        <w:t xml:space="preserve">: Configure notifications for internal senders. If a user inside </w:t>
      </w:r>
      <w:sdt>
        <w:sdtPr>
          <w:alias w:val="Client Abbreviation"/>
          <w:tag w:val=""/>
          <w:id w:val="401315285"/>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accidentally sends out an email that is detected to carry malware, the system will notify the IT administrators. </w:t>
      </w:r>
    </w:p>
    <w:p w14:paraId="46EABB01" w14:textId="77777777" w:rsidR="00AD57AB" w:rsidRDefault="00AD57AB" w:rsidP="00644A8A">
      <w:pPr>
        <w:pStyle w:val="BodyText"/>
      </w:pPr>
      <w:r>
        <w:t>These measures ensure a strong defense against email-borne viruses, ransomware, or other malicious attachments</w:t>
      </w:r>
    </w:p>
    <w:p w14:paraId="3614F9B1" w14:textId="77777777" w:rsidR="00AD57AB" w:rsidRDefault="00AD57AB" w:rsidP="006E3D31">
      <w:pPr>
        <w:pStyle w:val="Heading3"/>
        <w:rPr>
          <w:sz w:val="21"/>
          <w:szCs w:val="21"/>
        </w:rPr>
      </w:pPr>
      <w:bookmarkStart w:id="1963" w:name="_Toc238469983"/>
      <w:r>
        <w:t>Anti-Spam Policy</w:t>
      </w:r>
      <w:bookmarkEnd w:id="1963"/>
    </w:p>
    <w:p w14:paraId="5DBBDD75" w14:textId="77777777" w:rsidR="00AD57AB" w:rsidRPr="00770962" w:rsidRDefault="00AD57AB" w:rsidP="00644A8A">
      <w:pPr>
        <w:pStyle w:val="BodyText"/>
      </w:pPr>
      <w:r>
        <w:t xml:space="preserve">Implement an inbound anti-spam policy (named “Inbound Anti-Spam Policy”) to filter junk email and reduce spam in users’ inboxes: </w:t>
      </w:r>
    </w:p>
    <w:p w14:paraId="0B2BA966" w14:textId="4943C6E1" w:rsidR="00AD57AB" w:rsidRDefault="00AD57AB" w:rsidP="00FE518C">
      <w:pPr>
        <w:pStyle w:val="ListTA"/>
      </w:pPr>
      <w:r>
        <w:rPr>
          <w:b/>
          <w:bCs/>
        </w:rPr>
        <w:t>Scope</w:t>
      </w:r>
      <w:r>
        <w:t xml:space="preserve">: All mailboxes/users in the organization (all email incoming to </w:t>
      </w:r>
      <w:sdt>
        <w:sdtPr>
          <w:alias w:val="Client Primary Domain"/>
          <w:tag w:val=""/>
          <w:id w:val="1190750950"/>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w:t>
      </w:r>
    </w:p>
    <w:p w14:paraId="250E6401" w14:textId="77777777" w:rsidR="00AD57AB" w:rsidRDefault="00AD57AB" w:rsidP="00FE518C">
      <w:pPr>
        <w:pStyle w:val="ListTA"/>
      </w:pPr>
      <w:r>
        <w:rPr>
          <w:b/>
          <w:bCs/>
        </w:rPr>
        <w:t>Bulk Email Threshold:</w:t>
      </w:r>
      <w:r>
        <w:t xml:space="preserve"> Set the bulk mail threshold to 8 (on a scale of 0-9, where 9 is most strict). A level of 8 means the system will aggressively filter out bulk newsletters or marketing emails; only very safe/reputable mass emails may get through. This reduces clutter and potential nuisance emails for users. </w:t>
      </w:r>
    </w:p>
    <w:p w14:paraId="341F4BD0" w14:textId="77777777" w:rsidR="00AD57AB" w:rsidRDefault="00AD57AB" w:rsidP="00FE518C">
      <w:pPr>
        <w:pStyle w:val="ListTA"/>
      </w:pPr>
      <w:r>
        <w:rPr>
          <w:b/>
          <w:bCs/>
        </w:rPr>
        <w:lastRenderedPageBreak/>
        <w:t>Spam Handling:</w:t>
      </w:r>
      <w:r>
        <w:t xml:space="preserve"> Messages that are detected as spam (but not absolutely certain) will be delivered to the user’s Junk Email folder. This allows users to double-check in case of any false positives, but keeps spam out of the Inbox. </w:t>
      </w:r>
    </w:p>
    <w:p w14:paraId="2FAC2F0C" w14:textId="77777777" w:rsidR="00AD57AB" w:rsidRDefault="00AD57AB" w:rsidP="00FE518C">
      <w:pPr>
        <w:pStyle w:val="ListTA"/>
      </w:pPr>
      <w:r>
        <w:rPr>
          <w:b/>
          <w:bCs/>
        </w:rPr>
        <w:t>High-Confidence Spam:</w:t>
      </w:r>
      <w:r>
        <w:t xml:space="preserve"> Messages that Microsoft identifies with high confidence as spam or phishing will be quarantined (not delivered to the mailbox at all). This includes emails that are almost certainly malicious. Users by default won’t see these, though admins can review quarantined items. </w:t>
      </w:r>
    </w:p>
    <w:p w14:paraId="7B95B9F2" w14:textId="77777777" w:rsidR="00AD57AB" w:rsidRPr="00A11AE7" w:rsidRDefault="00AD57AB" w:rsidP="00FE518C">
      <w:pPr>
        <w:pStyle w:val="ListTA"/>
      </w:pPr>
      <w:r>
        <w:rPr>
          <w:b/>
          <w:bCs/>
        </w:rPr>
        <w:t>Quarantine Retention:</w:t>
      </w:r>
      <w:r>
        <w:t xml:space="preserve"> Quarantined spam and phish messages will be retained for 14 days. During this period, administrators (or delegated reviewers) can examine the emails and release any that are legitimate. After 14 days, if no action is taken, the emails are automatically deleted. </w:t>
      </w:r>
    </w:p>
    <w:p w14:paraId="3A0B69E8" w14:textId="77777777" w:rsidR="00AD57AB" w:rsidRDefault="00AD57AB" w:rsidP="00644A8A">
      <w:pPr>
        <w:pStyle w:val="BodyText"/>
      </w:pPr>
      <w:r>
        <w:t>This spam policy aims to minimize the likelihood of junk or dangerous emails bothering end users while still allowing a window for recovery of any legitimate emails that might have been misclassified.</w:t>
      </w:r>
    </w:p>
    <w:p w14:paraId="62EABFD2" w14:textId="77777777" w:rsidR="00AD57AB" w:rsidRPr="002D5940" w:rsidRDefault="00AD57AB" w:rsidP="006E3D31">
      <w:pPr>
        <w:pStyle w:val="Heading3"/>
      </w:pPr>
      <w:bookmarkStart w:id="1966" w:name="_Toc238469984"/>
      <w:r>
        <w:t>Control automatic external email forwarding</w:t>
      </w:r>
      <w:bookmarkEnd w:id="1966"/>
    </w:p>
    <w:p w14:paraId="62CDD39F" w14:textId="77777777" w:rsidR="00AD57AB" w:rsidRPr="003043CC" w:rsidRDefault="00AD57AB" w:rsidP="00644A8A">
      <w:pPr>
        <w:pStyle w:val="BodyText"/>
        <w:rPr>
          <w:rFonts w:eastAsiaTheme="minorEastAsia"/>
        </w:rPr>
      </w:pPr>
      <w:r>
        <w:t>E</w:t>
      </w:r>
      <w:r>
        <w:rPr>
          <w:rFonts w:eastAsiaTheme="minorEastAsia"/>
        </w:rPr>
        <w:t xml:space="preserve">mail forwarding can be </w:t>
      </w:r>
      <w:r>
        <w:t>useful but</w:t>
      </w:r>
      <w:r>
        <w:rPr>
          <w:rFonts w:eastAsiaTheme="minorEastAsia"/>
        </w:rPr>
        <w:t xml:space="preserve"> can also pose a security risk due to the potential disclosure of information. Attackers might use this information to attack your organization or partners.</w:t>
      </w:r>
    </w:p>
    <w:p w14:paraId="0D3C7007" w14:textId="77777777" w:rsidR="00AD57AB" w:rsidRPr="003043CC" w:rsidRDefault="00AD57AB" w:rsidP="00644A8A">
      <w:pPr>
        <w:pStyle w:val="BodyText"/>
        <w:rPr>
          <w:rFonts w:eastAsiaTheme="minorEastAsia"/>
        </w:rPr>
      </w:pPr>
      <w:r>
        <w:rPr>
          <w:rFonts w:eastAsiaTheme="minorEastAsia"/>
        </w:rPr>
        <w:t>The following types of automatic forwarding are available in Microsoft 365:</w:t>
      </w:r>
    </w:p>
    <w:p w14:paraId="62A27A48" w14:textId="77777777" w:rsidR="00AD57AB" w:rsidRDefault="00AD57AB" w:rsidP="00FE518C">
      <w:pPr>
        <w:pStyle w:val="ListTA"/>
        <w:rPr>
          <w:i/>
          <w:iCs/>
        </w:rPr>
      </w:pPr>
      <w:r>
        <w:t>Users can configure Inbox rules to automatically forward messages to external senders (deliberately or because of a compromised account).</w:t>
      </w:r>
    </w:p>
    <w:p w14:paraId="0E3A0FC6" w14:textId="77777777" w:rsidR="00AD57AB" w:rsidRPr="00C26398" w:rsidRDefault="00AD57AB" w:rsidP="00FE518C">
      <w:pPr>
        <w:pStyle w:val="ListTA"/>
        <w:rPr>
          <w:i/>
          <w:iCs/>
        </w:rPr>
      </w:pPr>
      <w:r>
        <w:t>Admins can configure mailbox forwarding (also known as SMTP forwarding) to automatically forward messages to external recipients. The admin can choose whether to forward messages or keep copies of forwarded messages in the mailbox.</w:t>
      </w:r>
    </w:p>
    <w:p w14:paraId="647BDCD2" w14:textId="77777777" w:rsidR="00AD57AB" w:rsidRPr="00F720A4" w:rsidRDefault="00AD57AB" w:rsidP="006E3D31">
      <w:pPr>
        <w:pStyle w:val="Heading3"/>
        <w:rPr>
          <w:i/>
          <w:iCs/>
        </w:rPr>
      </w:pPr>
      <w:bookmarkStart w:id="1967" w:name="_Toc238469985"/>
      <w:r>
        <w:t>Outbound Spam Filtering Policy</w:t>
      </w:r>
      <w:bookmarkEnd w:id="1967"/>
    </w:p>
    <w:p w14:paraId="7ED33F79" w14:textId="77777777" w:rsidR="00AD57AB" w:rsidRPr="00A11AE7" w:rsidRDefault="00AD57AB" w:rsidP="00644A8A">
      <w:pPr>
        <w:pStyle w:val="BodyText"/>
        <w:rPr>
          <w:rFonts w:eastAsiaTheme="minorEastAsia"/>
        </w:rPr>
      </w:pPr>
      <w:r>
        <w:rPr>
          <w:rFonts w:eastAsiaTheme="minorEastAsia"/>
          <w:b/>
          <w:bCs/>
        </w:rPr>
        <w:t>Off</w:t>
      </w:r>
      <w:r>
        <w:rPr>
          <w:rFonts w:eastAsiaTheme="minorEastAsia"/>
        </w:rPr>
        <w:t xml:space="preserve"> - Forwarding is disabled: Automatic external forwarding is disabled and results in a non-delivery report (also known as an NDR or bounce message) to the sender.</w:t>
      </w:r>
    </w:p>
    <w:p w14:paraId="09370756" w14:textId="77777777" w:rsidR="00AD57AB" w:rsidRPr="00834F9A" w:rsidRDefault="00AD57AB" w:rsidP="006E3D31">
      <w:pPr>
        <w:pStyle w:val="Heading3"/>
      </w:pPr>
      <w:bookmarkStart w:id="1968" w:name="_Toc238469986"/>
      <w:r>
        <w:t>Mail-flow (Transport) Rules</w:t>
      </w:r>
      <w:bookmarkEnd w:id="1968"/>
    </w:p>
    <w:p w14:paraId="1F2123D1" w14:textId="77777777" w:rsidR="00AD57AB" w:rsidRPr="00C26398" w:rsidRDefault="00AD57AB" w:rsidP="00644A8A">
      <w:pPr>
        <w:pStyle w:val="BodyText"/>
        <w:rPr>
          <w:rFonts w:eastAsiaTheme="minorEastAsia"/>
          <w:i/>
          <w:iCs/>
        </w:rPr>
      </w:pPr>
      <w:r>
        <w:rPr>
          <w:rFonts w:eastAsiaTheme="minorEastAsia"/>
        </w:rPr>
        <w:t xml:space="preserve">Mail flow rules are similar to the Inbox rules that are available in Outlook and Outlook on the web </w:t>
        <w:lastRenderedPageBreak/>
        <w:t>(formerly known as Outlook Web App). The main difference is that the mail flow rules take action on messages while they're in transit, and not after the message is delivered to the mailbox.</w:t>
      </w:r>
    </w:p>
    <w:p w14:paraId="5567DDE5" w14:textId="77777777" w:rsidR="00AD57AB" w:rsidRPr="006443CD" w:rsidRDefault="00AD57AB" w:rsidP="00644A8A">
      <w:pPr>
        <w:pStyle w:val="BodyText"/>
      </w:pPr>
      <w:r>
        <w:t>The following Mail-flow rules will be implemented:</w:t>
      </w:r>
    </w:p>
    <w:p w14:paraId="0CB87349" w14:textId="77777777" w:rsidR="00AD57AB" w:rsidRPr="00AD57AB" w:rsidRDefault="00AD57AB" w:rsidP="00FE518C">
      <w:pPr>
        <w:pStyle w:val="ListTA"/>
      </w:pPr>
      <w:r>
        <w:t>“</w:t>
      </w:r>
      <w:r>
        <w:rPr>
          <w:b/>
          <w:bCs/>
        </w:rPr>
        <w:t>External” banner</w:t>
      </w:r>
      <w:r>
        <w:t xml:space="preserve"> – gives a clear visual cue that mail originated outside the tenant, making impersonation attempts easier to spot. This will be configured to add the banner when the sender is outside the organization and not on an allow list.</w:t>
      </w:r>
    </w:p>
    <w:p w14:paraId="1B2B69E0" w14:textId="77777777" w:rsidR="00AD57AB" w:rsidRPr="002A1C84" w:rsidRDefault="00AD57AB" w:rsidP="00FE518C">
      <w:pPr>
        <w:pStyle w:val="ListTA"/>
        <w:rPr>
          <w:sz w:val="21"/>
          <w:szCs w:val="21"/>
        </w:rPr>
      </w:pPr>
      <w:r>
        <w:rPr>
          <w:b/>
          <w:bCs/>
        </w:rPr>
        <w:t>Legal disclaimer for outbound messages</w:t>
      </w:r>
      <w:r>
        <w:t xml:space="preserve"> – every message that leaves the organization carries an approved footer (e.g. “This email may contain CUI – handle per DFARS 252.204-7012”).</w:t>
      </w:r>
      <w:r>
        <w:rPr>
          <w:sz w:val="21"/>
          <w:szCs w:val="21"/>
        </w:rPr>
        <w:t xml:space="preserve"> Note: the legal disclaimer verbiage will be updated after input from legal counsel. </w:t>
      </w:r>
    </w:p>
    <w:p w14:paraId="6B896C3F" w14:textId="77777777" w:rsidR="00AD57AB" w:rsidRPr="00A40ABF" w:rsidRDefault="00AD57AB" w:rsidP="00FE518C">
      <w:pPr>
        <w:pStyle w:val="ListTA"/>
      </w:pPr>
      <w:r>
        <w:rPr>
          <w:b/>
          <w:bCs/>
        </w:rPr>
        <w:t xml:space="preserve">Block risky attachment types (EXE, ISO, macro-enabled office, large ZIP) </w:t>
      </w:r>
      <w:r>
        <w:t xml:space="preserve">– Mail flow rules allow you to examine email attachments as part of your messaging security and compliance. When inspecting attachments, you can take action on messages based on the content or characteristics of the attachments. This rule will inspect attachments and reject or zip/quarantine anything on high-risk list stops malware that gets past AV heuristics and based on Microsoft’s MIME-type condition samples. </w:t>
      </w:r>
    </w:p>
    <w:p w14:paraId="120A9DBB" w14:textId="77777777" w:rsidR="00AD57AB" w:rsidRDefault="00AD57AB" w:rsidP="006E3D31">
      <w:pPr>
        <w:pStyle w:val="Heading3"/>
      </w:pPr>
      <w:bookmarkStart w:id="1969" w:name="_Toc238469987"/>
      <w:r>
        <w:t>Require TLS for partner connectors</w:t>
      </w:r>
      <w:bookmarkEnd w:id="1969"/>
    </w:p>
    <w:p w14:paraId="3C51D7B1" w14:textId="77777777" w:rsidR="00AD57AB" w:rsidRPr="0041586A" w:rsidRDefault="000845B5" w:rsidP="00644A8A">
      <w:pPr>
        <w:pStyle w:val="BodyText"/>
        <w:rPr>
          <w:rFonts w:eastAsiaTheme="minorEastAsia"/>
          <w:i/>
          <w:iCs/>
        </w:rPr>
      </w:pPr>
      <w:r>
        <w:rPr>
          <w:rFonts w:eastAsiaTheme="minorEastAsia"/>
        </w:rPr>
        <w:t>Encrypt mail in transit to strategic vendors/DoD partners to safeguard CUI.</w:t>
      </w:r>
    </w:p>
    <w:p>
      <w:pPr>
        <w:pStyle w:val="Heading3"/>
      </w:pPr>
      <w:bookmarkStart w:id="2417" w:name="_Toc238480017"/>
      <w:r>
        <w:t xml:space="preserve">Application and Device Mail Flow (SMTP Relay)</w:t>
      </w:r>
      <w:bookmarkEnd w:id="2417"/>
    </w:p>
    <w:p>
      <w:pPr>
        <w:pStyle w:val="BodyText"/>
      </w:pPr>
      <w:r>
        <w:t xml:space="preserve">Devices and applications that send mail will relay through Exchange Online in the GCC High tenant. The sender classes are:</w:t>
      </w:r>
    </w:p>
    <w:p>
      <w:pPr>
        <w:pStyle w:val="ListTA"/>
      </w:pPr>
      <w:r>
        <w:rPr>
          <w:b/>
          <w:bCs/>
        </w:rPr>
        <w:t xml:space="preserve">Printers and multifunction devices</w:t>
      </w:r>
      <w:r>
        <w:t xml:space="preserve"> at all three sites.</w:t>
      </w:r>
    </w:p>
    <w:p>
      <w:pPr>
        <w:pStyle w:val="ListTA"/>
      </w:pPr>
      <w:r>
        <w:rPr>
          <w:b/>
          <w:bCs/>
        </w:rPr>
        <w:t xml:space="preserve">The Epicor ERP</w:t>
      </w:r>
      <w:r>
        <w:t xml:space="preserve">, hosted in Azure Government.</w:t>
      </w:r>
    </w:p>
    <w:p>
      <w:pPr>
        <w:pStyle w:val="ListTA"/>
      </w:pPr>
      <w:r>
        <w:rPr>
          <w:b/>
          <w:bCs/>
        </w:rPr>
        <w:t xml:space="preserve">The help-desk platform.</w:t>
      </w:r>
    </w:p>
    <w:p>
      <w:pPr>
        <w:pStyle w:val="BodyText"/>
      </w:pPr>
      <w:r>
        <w:t xml:space="preserve">The design is as follows:</w:t>
      </w:r>
    </w:p>
    <w:p>
      <w:pPr>
        <w:pStyle w:val="ListTA"/>
      </w:pPr>
      <w:r>
        <w:rPr>
          <w:b/>
          <w:bCs/>
        </w:rPr>
        <w:t xml:space="preserve">Authenticated client submission is the standard relay method.</w:t>
      </w:r>
      <w:r>
        <w:t xml:space="preserve"> Each sender class uses a dedicated service account with SMTP AUTH enabled, submitting over the Exchange Online GCC High endpoint. SMTP AUTH remains blocked tenant-wide (see Modern authentication only); it is enabled only on the specific service accounts used for relay.</w:t>
      </w:r>
    </w:p>
    <w:p>
      <w:pPr>
        <w:pStyle w:val="ListTA"/>
      </w:pPr>
      <w:r>
        <w:rPr>
          <w:b/>
          <w:bCs/>
        </w:rPr>
        <w:t xml:space="preserve">TLS is required wherever the device class supports it.</w:t>
      </w:r>
      <w:r>
        <w:t xml:space="preserve"> Devices that cannot negotiate a supported TLS version or perform authenticated submission are identified during the device inventory, and each is either remediated, replaced, or routed through a connector-based relay path. Those decisions are made at implementation.</w:t>
      </w:r>
    </w:p>
    <w:p>
      <w:pPr>
        <w:pStyle w:val="ListTA"/>
      </w:pPr>
      <w:r>
        <w:rPr>
          <w:b/>
          <w:bCs/>
        </w:rPr>
        <w:t xml:space="preserve">At cutover, every relay client is repointed to Exchange Online GCC High.</w:t>
      </w:r>
      <w:r>
        <w:t xml:space="preserve"> No on-premises relay path is retained; this is a gate item for the Exchange decommission.</w:t>
      </w:r>
    </w:p>
    <w:p>
      <w:pPr>
        <w:pStyle w:val="ListTA"/>
      </w:pPr>
      <w:r>
        <w:rPr>
          <w:b/>
          <w:bCs/>
        </w:rPr>
        <w:t xml:space="preserve">Pipedrive</w:t>
      </w:r>
      <w:r>
        <w:t xml:space="preserve">, which sends marketing and mailing-list communications through an integration with the email platform, is repointed to the GCC High tenant and validated after cutover.</w:t>
      </w:r>
    </w:p>
    <w:p>
      <w:pPr>
        <w:pStyle w:val="ListTA"/>
      </w:pPr>
      <w:r>
        <w:t xml:space="preserve">The confirmed sender list feeds the final SPF record for wisconsinmetalparts.com (see Email Authentication).</w:t>
      </w:r>
    </w:p>
    <w:p>
      <w:pPr>
        <w:pStyle w:val="BodyText"/>
      </w:pPr>
      <w:commentRangeStart w:id="2085"/>
      <w:r>
        <w:t xml:space="preserve">The relay device and application inventory is recorded as follows:</w:t>
      </w:r>
      <w:commentRangeEnd w:id="2085"/>
      <w:r>
        <w:rPr>
          <w:rStyle w:val="CommentReference"/>
        </w:rPr>
        <w:commentReference w:id="2085"/>
      </w:r>
    </w:p>
    <w:tbl>
      <w:tblPr>
        <w:tblStyle w:val="TableGrid"/>
        <w:tblW w:w="0" w:type="auto"/>
        <w:tblLook w:val="04A0" w:firstRow="1" w:lastRow="0" w:firstColumn="1" w:lastColumn="0" w:noHBand="0" w:noVBand="1"/>
      </w:tblPr>
      <w:tblGrid>
        <w:gridCol w:w="2400"/>
        <w:gridCol w:w="1500"/>
        <w:gridCol w:w="2400"/>
        <w:gridCol w:w="1400"/>
        <w:gridCol w:w="2370"/>
      </w:tblGrid>
      <w:tr>
        <w:tc>
          <w:tcPr>
            <w:tcW w:w="2400" w:type="dxa"/>
          </w:tcPr>
          <w:p>
            <w:pPr>
              <w:spacing w:line="360" w:lineRule="auto"/>
              <w:rPr>
                <w:b/>
                <w:bCs/>
                <w:sz w:val="21"/>
                <w:szCs w:val="21"/>
              </w:rPr>
            </w:pPr>
            <w:r>
              <w:rPr>
                <w:b/>
                <w:bCs/>
                <w:sz w:val="21"/>
                <w:szCs w:val="21"/>
              </w:rPr>
              <w:t xml:space="preserve">Device/Application</w:t>
            </w:r>
          </w:p>
        </w:tc>
        <w:tc>
          <w:tcPr>
            <w:tcW w:w="1500" w:type="dxa"/>
          </w:tcPr>
          <w:p>
            <w:pPr>
              <w:spacing w:line="360" w:lineRule="auto"/>
              <w:rPr>
                <w:b/>
                <w:bCs/>
                <w:sz w:val="21"/>
                <w:szCs w:val="21"/>
              </w:rPr>
            </w:pPr>
            <w:r>
              <w:rPr>
                <w:b/>
                <w:bCs/>
                <w:sz w:val="21"/>
                <w:szCs w:val="21"/>
              </w:rPr>
              <w:t xml:space="preserve">Location</w:t>
            </w:r>
          </w:p>
        </w:tc>
        <w:tc>
          <w:tcPr>
            <w:tcW w:w="2400" w:type="dxa"/>
          </w:tcPr>
          <w:p>
            <w:pPr>
              <w:spacing w:line="360" w:lineRule="auto"/>
              <w:rPr>
                <w:b/>
                <w:bCs/>
                <w:sz w:val="21"/>
                <w:szCs w:val="21"/>
              </w:rPr>
            </w:pPr>
            <w:r>
              <w:rPr>
                <w:b/>
                <w:bCs/>
                <w:sz w:val="21"/>
                <w:szCs w:val="21"/>
              </w:rPr>
              <w:t xml:space="preserve">Auth method</w:t>
            </w:r>
          </w:p>
        </w:tc>
        <w:tc>
          <w:tcPr>
            <w:tcW w:w="1400" w:type="dxa"/>
          </w:tcPr>
          <w:p>
            <w:pPr>
              <w:spacing w:line="360" w:lineRule="auto"/>
              <w:rPr>
                <w:b/>
                <w:bCs/>
                <w:sz w:val="21"/>
                <w:szCs w:val="21"/>
              </w:rPr>
            </w:pPr>
            <w:r>
              <w:rPr>
                <w:b/>
                <w:bCs/>
                <w:sz w:val="21"/>
                <w:szCs w:val="21"/>
              </w:rPr>
              <w:t xml:space="preserve">TLS capable</w:t>
            </w:r>
          </w:p>
        </w:tc>
        <w:tc>
          <w:tcPr>
            <w:tcW w:w="2370" w:type="dxa"/>
          </w:tcPr>
          <w:p>
            <w:pPr>
              <w:spacing w:line="360" w:lineRule="auto"/>
              <w:rPr>
                <w:b/>
                <w:bCs/>
                <w:sz w:val="21"/>
                <w:szCs w:val="21"/>
              </w:rPr>
            </w:pPr>
            <w:r>
              <w:rPr>
                <w:b/>
                <w:bCs/>
                <w:sz w:val="21"/>
                <w:szCs w:val="21"/>
              </w:rPr>
              <w:t xml:space="preserve">Notes</w:t>
            </w:r>
          </w:p>
        </w:tc>
      </w:tr>
      <w:tr>
        <w:tc>
          <w:tcPr>
            <w:tcW w:w="2400" w:type="dxa"/>
          </w:tcPr>
          <w:p>
            <w:pPr>
              <w:spacing w:line="360" w:lineRule="auto"/>
              <w:rPr>
                <w:i/>
                <w:iCs/>
                <w:sz w:val="21"/>
                <w:szCs w:val="21"/>
              </w:rPr>
            </w:pPr>
            <w:r>
              <w:rPr>
                <w:i/>
                <w:iCs/>
                <w:sz w:val="21"/>
                <w:szCs w:val="21"/>
              </w:rPr>
              <w:t xml:space="preserve">e.g., Kyocera MFP – HQ</w:t>
            </w:r>
          </w:p>
        </w:tc>
        <w:tc>
          <w:tcPr>
            <w:tcW w:w="1500" w:type="dxa"/>
          </w:tcPr>
          <w:p>
            <w:pPr>
              <w:spacing w:line="360" w:lineRule="auto"/>
              <w:rPr>
                <w:i/>
                <w:iCs/>
                <w:sz w:val="21"/>
                <w:szCs w:val="21"/>
              </w:rPr>
            </w:pPr>
            <w:r>
              <w:rPr>
                <w:i/>
                <w:iCs/>
                <w:sz w:val="21"/>
                <w:szCs w:val="21"/>
              </w:rPr>
              <w:t xml:space="preserve">HQ</w:t>
            </w:r>
          </w:p>
        </w:tc>
        <w:tc>
          <w:tcPr>
            <w:tcW w:w="2400" w:type="dxa"/>
          </w:tcPr>
          <w:p>
            <w:pPr>
              <w:spacing w:line="360" w:lineRule="auto"/>
              <w:rPr>
                <w:i/>
                <w:iCs/>
                <w:sz w:val="21"/>
                <w:szCs w:val="21"/>
              </w:rPr>
            </w:pPr>
            <w:r>
              <w:rPr>
                <w:i/>
                <w:iCs/>
                <w:sz w:val="21"/>
                <w:szCs w:val="21"/>
              </w:rPr>
              <w:t xml:space="preserve">SMTP AUTH submission</w:t>
            </w:r>
          </w:p>
        </w:tc>
        <w:tc>
          <w:tcPr>
            <w:tcW w:w="1400" w:type="dxa"/>
          </w:tcPr>
          <w:p>
            <w:pPr>
              <w:spacing w:line="360" w:lineRule="auto"/>
              <w:rPr>
                <w:i/>
                <w:iCs/>
                <w:sz w:val="21"/>
                <w:szCs w:val="21"/>
              </w:rPr>
            </w:pPr>
            <w:r>
              <w:rPr>
                <w:i/>
                <w:iCs/>
                <w:sz w:val="21"/>
                <w:szCs w:val="21"/>
              </w:rPr>
              <w:t xml:space="preserve">Yes</w:t>
            </w:r>
          </w:p>
        </w:tc>
        <w:tc>
          <w:tcPr>
            <w:tcW w:w="2370" w:type="dxa"/>
          </w:tcPr>
          <w:p>
            <w:pPr>
              <w:spacing w:line="360" w:lineRule="auto"/>
              <w:rPr>
                <w:i/>
                <w:iCs/>
                <w:sz w:val="21"/>
                <w:szCs w:val="21"/>
              </w:rPr>
            </w:pPr>
            <w:r>
              <w:rPr>
                <w:i/>
                <w:iCs/>
                <w:sz w:val="21"/>
                <w:szCs w:val="21"/>
              </w:rPr>
              <w:t xml:space="preserve">scan-to-email</w:t>
            </w:r>
          </w:p>
        </w:tc>
      </w:tr>
      <w:tr>
        <w:tc>
          <w:tcPr>
            <w:tcW w:w="2400" w:type="dxa"/>
          </w:tcPr>
          <w:p>
            <w:pPr>
              <w:spacing w:line="360" w:lineRule="auto"/>
              <w:rPr>
                <w:sz w:val="21"/>
                <w:szCs w:val="21"/>
              </w:rPr>
            </w:pPr>
          </w:p>
        </w:tc>
        <w:tc>
          <w:tcPr>
            <w:tcW w:w="1500" w:type="dxa"/>
          </w:tcPr>
          <w:p>
            <w:pPr>
              <w:spacing w:line="360" w:lineRule="auto"/>
              <w:rPr>
                <w:sz w:val="21"/>
                <w:szCs w:val="21"/>
              </w:rPr>
            </w:pPr>
          </w:p>
        </w:tc>
        <w:tc>
          <w:tcPr>
            <w:tcW w:w="2400" w:type="dxa"/>
          </w:tcPr>
          <w:p>
            <w:pPr>
              <w:spacing w:line="360" w:lineRule="auto"/>
              <w:rPr>
                <w:sz w:val="21"/>
                <w:szCs w:val="21"/>
              </w:rPr>
            </w:pPr>
          </w:p>
        </w:tc>
        <w:tc>
          <w:tcPr>
            <w:tcW w:w="1400" w:type="dxa"/>
          </w:tcPr>
          <w:p>
            <w:pPr>
              <w:spacing w:line="360" w:lineRule="auto"/>
              <w:rPr>
                <w:sz w:val="21"/>
                <w:szCs w:val="21"/>
              </w:rPr>
            </w:pPr>
          </w:p>
        </w:tc>
        <w:tc>
          <w:tcPr>
            <w:tcW w:w="2370" w:type="dxa"/>
          </w:tcPr>
          <w:p>
            <w:pPr>
              <w:spacing w:line="360" w:lineRule="auto"/>
              <w:rPr>
                <w:sz w:val="21"/>
                <w:szCs w:val="21"/>
              </w:rPr>
            </w:pPr>
          </w:p>
        </w:tc>
      </w:tr>
      <w:tr>
        <w:tc>
          <w:tcPr>
            <w:tcW w:w="2400" w:type="dxa"/>
          </w:tcPr>
          <w:p>
            <w:pPr>
              <w:spacing w:line="360" w:lineRule="auto"/>
              <w:rPr>
                <w:sz w:val="21"/>
                <w:szCs w:val="21"/>
              </w:rPr>
            </w:pPr>
          </w:p>
        </w:tc>
        <w:tc>
          <w:tcPr>
            <w:tcW w:w="1500" w:type="dxa"/>
          </w:tcPr>
          <w:p>
            <w:pPr>
              <w:spacing w:line="360" w:lineRule="auto"/>
              <w:rPr>
                <w:sz w:val="21"/>
                <w:szCs w:val="21"/>
              </w:rPr>
            </w:pPr>
          </w:p>
        </w:tc>
        <w:tc>
          <w:tcPr>
            <w:tcW w:w="2400" w:type="dxa"/>
          </w:tcPr>
          <w:p>
            <w:pPr>
              <w:spacing w:line="360" w:lineRule="auto"/>
              <w:rPr>
                <w:sz w:val="21"/>
                <w:szCs w:val="21"/>
              </w:rPr>
            </w:pPr>
          </w:p>
        </w:tc>
        <w:tc>
          <w:tcPr>
            <w:tcW w:w="1400" w:type="dxa"/>
          </w:tcPr>
          <w:p>
            <w:pPr>
              <w:spacing w:line="360" w:lineRule="auto"/>
              <w:rPr>
                <w:sz w:val="21"/>
                <w:szCs w:val="21"/>
              </w:rPr>
            </w:pPr>
          </w:p>
        </w:tc>
        <w:tc>
          <w:tcPr>
            <w:tcW w:w="2370" w:type="dxa"/>
          </w:tcPr>
          <w:p>
            <w:pPr>
              <w:spacing w:line="360" w:lineRule="auto"/>
              <w:rPr>
                <w:sz w:val="21"/>
                <w:szCs w:val="21"/>
              </w:rPr>
            </w:pPr>
          </w:p>
        </w:tc>
      </w:tr>
      <w:tr>
        <w:tc>
          <w:tcPr>
            <w:tcW w:w="2400" w:type="dxa"/>
          </w:tcPr>
          <w:p>
            <w:pPr>
              <w:spacing w:line="360" w:lineRule="auto"/>
              <w:rPr>
                <w:sz w:val="21"/>
                <w:szCs w:val="21"/>
              </w:rPr>
            </w:pPr>
          </w:p>
        </w:tc>
        <w:tc>
          <w:tcPr>
            <w:tcW w:w="1500" w:type="dxa"/>
          </w:tcPr>
          <w:p>
            <w:pPr>
              <w:spacing w:line="360" w:lineRule="auto"/>
              <w:rPr>
                <w:sz w:val="21"/>
                <w:szCs w:val="21"/>
              </w:rPr>
            </w:pPr>
          </w:p>
        </w:tc>
        <w:tc>
          <w:tcPr>
            <w:tcW w:w="2400" w:type="dxa"/>
          </w:tcPr>
          <w:p>
            <w:pPr>
              <w:spacing w:line="360" w:lineRule="auto"/>
              <w:rPr>
                <w:sz w:val="21"/>
                <w:szCs w:val="21"/>
              </w:rPr>
            </w:pPr>
          </w:p>
        </w:tc>
        <w:tc>
          <w:tcPr>
            <w:tcW w:w="1400" w:type="dxa"/>
          </w:tcPr>
          <w:p>
            <w:pPr>
              <w:spacing w:line="360" w:lineRule="auto"/>
              <w:rPr>
                <w:sz w:val="21"/>
                <w:szCs w:val="21"/>
              </w:rPr>
            </w:pPr>
          </w:p>
        </w:tc>
        <w:tc>
          <w:tcPr>
            <w:tcW w:w="2370" w:type="dxa"/>
          </w:tcPr>
          <w:p>
            <w:pPr>
              <w:spacing w:line="360" w:lineRule="auto"/>
              <w:rPr>
                <w:sz w:val="21"/>
                <w:szCs w:val="21"/>
              </w:rPr>
            </w:pPr>
          </w:p>
        </w:tc>
      </w:tr>
    </w:tbl>
    <w:p>
      <w:pPr>
        <w:pStyle w:val="Heading3"/>
      </w:pPr>
      <w:bookmarkStart w:id="2418" w:name="_Toc238480018"/>
      <w:r>
        <w:t xml:space="preserve">Room and Resource Mailboxes</w:t>
      </w:r>
      <w:bookmarkEnd w:id="2418"/>
    </w:p>
    <w:p>
      <w:pPr>
        <w:pStyle w:val="BodyText"/>
      </w:pPr>
      <w:r>
        <w:t xml:space="preserve">Room mailboxes will be created new in the GCC High tenant for WMP’s five existing conference rooms, with additional room mailboxes created for the new facility as those rooms come online. Equipment mailboxes are created where WMP identifies shared bookable equipment. Room calendar history is not migrated; room calendars rebuild from the cutover date. No special booking regimes have been identified, so default booking behavior applies unless WMP specifies otherwise at configuration.</w:t>
      </w:r>
    </w:p>
    <w:p w14:paraId="2ACC6317" w14:textId="77777777" w:rsidR="00A70658" w:rsidRDefault="00A70658">
      <w:pPr>
        <w:rPr>
          <w:rFonts w:asciiTheme="majorHAnsi" w:hAnsiTheme="majorHAnsi"/>
          <w:color w:val="2D61A6" w:themeColor="accent1"/>
          <w:sz w:val="36"/>
          <w:szCs w:val="36"/>
        </w:rPr>
      </w:pPr>
      <w:bookmarkStart w:id="1970" w:name="_Toc222995629"/>
      <w:r>
        <w:br w:type="page"/>
      </w:r>
    </w:p>
    <w:p w14:paraId="7E022F43" w14:textId="77777777" w:rsidR="0004046D" w:rsidRDefault="0004046D" w:rsidP="00AD57AB">
      <w:pPr>
        <w:pStyle w:val="Heading2"/>
      </w:pPr>
      <w:bookmarkStart w:id="1971" w:name="_Toc238469988"/>
      <w:r>
        <w:lastRenderedPageBreak/>
        <w:t>SharePoint</w:t>
      </w:r>
      <w:bookmarkEnd w:id="1970"/>
      <w:bookmarkEnd w:id="1971"/>
    </w:p>
    <w:p w14:paraId="34DC093D" w14:textId="77777777" w:rsidR="0004046D" w:rsidRDefault="0004046D" w:rsidP="00644A8A">
      <w:pPr>
        <w:pStyle w:val="BodyText"/>
      </w:pPr>
      <w:r>
        <w:t>The SharePoint Online environment will be configured to balance collaboration needs with security requirements. The following configurations will be implemented:</w:t>
      </w:r>
    </w:p>
    <w:p w14:paraId="785B3236" w14:textId="77777777" w:rsidR="00AD57AB" w:rsidRPr="008860CC" w:rsidRDefault="00AD57AB" w:rsidP="006E3D31">
      <w:pPr>
        <w:pStyle w:val="Heading3"/>
      </w:pPr>
      <w:bookmarkStart w:id="1972" w:name="_Toc238469989"/>
      <w:r>
        <w:t>External Sharing</w:t>
      </w:r>
      <w:bookmarkEnd w:id="1972"/>
    </w:p>
    <w:p>
      <w:pPr>
        <w:pStyle w:val="BodyText"/>
      </w:pPr>
      <w:r>
        <w:t xml:space="preserve">External sharing in SharePoint Online is the designated mechanism for controlled external file exchange in the target environment. WMP uses Kiteworks today for external CUI exchange, and the design objective is to </w:t>
      </w:r>
      <w:r>
        <w:rPr>
          <w:b/>
          <w:bCs/>
        </w:rPr>
        <w:t xml:space="preserve">replace Kiteworks with SharePoint external sharing</w:t>
      </w:r>
      <w:r>
        <w:t xml:space="preserve">. External guest accounts are already used mainly for SharePoint file sharing rather than for Teams collaboration, so this consolidates an existing pattern.</w:t>
      </w:r>
    </w:p>
    <w:p>
      <w:pPr>
        <w:pStyle w:val="ListTA"/>
      </w:pPr>
      <w:r>
        <w:t xml:space="preserve">External sharing remains </w:t>
      </w:r>
      <w:r>
        <w:rPr>
          <w:b/>
          <w:bCs/>
        </w:rPr>
        <w:t xml:space="preserve">disabled by default</w:t>
      </w:r>
      <w:r>
        <w:t xml:space="preserve"> at the tenant level and is enabled only on the specific sites designated for external exchange.</w:t>
      </w:r>
    </w:p>
    <w:p>
      <w:pPr>
        <w:pStyle w:val="ListTA"/>
      </w:pPr>
      <w:r>
        <w:t xml:space="preserve">Sharing is to </w:t>
      </w:r>
      <w:r>
        <w:rPr>
          <w:b/>
          <w:bCs/>
        </w:rPr>
        <w:t xml:space="preserve">authenticated guests only</w:t>
      </w:r>
      <w:r>
        <w:t xml:space="preserve">. Anonymous “Anyone with the link” sharing is not enabled.</w:t>
      </w:r>
    </w:p>
    <w:p>
      <w:pPr>
        <w:pStyle w:val="ListTA"/>
      </w:pPr>
      <w:r>
        <w:t xml:space="preserve">External sharing is constrained by an </w:t>
      </w:r>
      <w:r>
        <w:rPr>
          <w:b/>
          <w:bCs/>
        </w:rPr>
        <w:t xml:space="preserve">allow list of external domains</w:t>
      </w:r>
      <w:r>
        <w:t xml:space="preserve">, built at implementation from the partner list.</w:t>
      </w:r>
    </w:p>
    <w:p>
      <w:pPr>
        <w:pStyle w:val="ListTA"/>
      </w:pPr>
      <w:commentRangeStart w:id="2094"/>
      <w:r>
        <w:t xml:space="preserve">The configuration that will carry CUI — site design, guest authentication, sensitivity-label enforcement on shared content, and link expiry — is </w:t>
      </w:r>
      <w:r>
        <w:rPr>
          <w:b/>
          <w:bCs/>
        </w:rPr>
        <w:t xml:space="preserve">under evaluation</w:t>
      </w:r>
      <w:r>
        <w:t xml:space="preserve"> and confirmed with WMP before external sharing is enabled on any site. Kiteworks is retired only after that model is accepted.</w:t>
      </w:r>
      <w:commentRangeEnd w:id="2094"/>
      <w:r>
        <w:rPr>
          <w:rStyle w:val="CommentReference"/>
        </w:rPr>
        <w:commentReference w:id="2094"/>
      </w:r>
    </w:p>
    <w:p w14:paraId="35568084" w14:textId="77777777" w:rsidR="00AD57AB" w:rsidRPr="0027461C" w:rsidRDefault="00AD57AB" w:rsidP="006E3D31">
      <w:pPr>
        <w:pStyle w:val="Heading3"/>
      </w:pPr>
      <w:bookmarkStart w:id="1973" w:name="_Toc238469990"/>
      <w:r>
        <w:t>Sharing Link Expiration</w:t>
      </w:r>
      <w:bookmarkEnd w:id="1973"/>
    </w:p>
    <w:p w14:paraId="528D1CEC" w14:textId="77777777" w:rsidR="00AD57AB" w:rsidRDefault="00AD57AB" w:rsidP="00644A8A">
      <w:pPr>
        <w:pStyle w:val="BodyText"/>
      </w:pPr>
      <w:r>
        <w:t>In the event that sharing links (i.e. “Anyone with the link” style links) are ever enabled or used, a policy is in place to make those links expire after 14 days. Any shareable link that grants access without specific identity will automatically stop working two weeks after creation. This mitigates the risk of forgotten public links lingering indefinitely.</w:t>
      </w:r>
    </w:p>
    <w:p w14:paraId="0A9B62D4" w14:textId="77777777" w:rsidR="00AD57AB" w:rsidRPr="00D83B95" w:rsidRDefault="00AD57AB" w:rsidP="006E3D31">
      <w:pPr>
        <w:pStyle w:val="Heading3"/>
      </w:pPr>
      <w:bookmarkStart w:id="1974" w:name="_Toc238469991"/>
      <w:r>
        <w:t>Versioning Control</w:t>
      </w:r>
      <w:bookmarkEnd w:id="1974"/>
    </w:p>
    <w:p w14:paraId="062B115F" w14:textId="77777777" w:rsidR="00AD57AB" w:rsidRDefault="00AD57AB" w:rsidP="00644A8A">
      <w:pPr>
        <w:pStyle w:val="BodyText"/>
      </w:pPr>
      <w:r>
        <w:t>Document versioning is enabled on all SharePoint document libraries. SharePoint will retain up to 500 previous versions of a document. If unwanted changes are made or if data is corrupted/encrypted (e.g., by ransomware), the documents can be rolled back to a previous version. Keeping 500 versions provides a lengthy history without consuming excessive storage, and older versions beyond that will be pruned.</w:t>
      </w:r>
    </w:p>
    <w:p w14:paraId="3D461F63" w14:textId="77777777" w:rsidR="00AD57AB" w:rsidRPr="00D83B95" w:rsidRDefault="00AD57AB" w:rsidP="006E3D31">
      <w:pPr>
        <w:pStyle w:val="Heading3"/>
      </w:pPr>
      <w:bookmarkStart w:id="1975" w:name="_Toc238469992"/>
      <w:r>
        <w:t>Site Permissions and Access</w:t>
      </w:r>
      <w:bookmarkEnd w:id="1975"/>
    </w:p>
    <w:p w14:paraId="462EE372" w14:textId="77777777" w:rsidR="00AD57AB" w:rsidRDefault="00AD57AB" w:rsidP="00644A8A">
      <w:pPr>
        <w:pStyle w:val="BodyText"/>
      </w:pPr>
      <w:r>
        <w:t xml:space="preserve">SharePoint sites will be created as private sites tied to specific teams or projects. Each site’s access will be limited to a defined group of users (members of that site). There will be no broad company-wide access by default to any site except those intentionally meant for all employees. If  a user is not part of a given project or department, they will not have access to that group’s SharePoint site. Site owners (specified users in the department/team) will have full control of their site, and members will have collaborative </w:t>
        <w:lastRenderedPageBreak/>
        <w:t>access. This aligns with the principle of least privilege for data access.</w:t>
      </w:r>
    </w:p>
    <w:p w14:paraId="0FD85506" w14:textId="77777777" w:rsidR="00AD57AB" w:rsidRPr="00D83B95" w:rsidRDefault="00AD57AB" w:rsidP="006E3D31">
      <w:pPr>
        <w:pStyle w:val="Heading3"/>
      </w:pPr>
      <w:bookmarkStart w:id="1976" w:name="_Toc238469993"/>
      <w:r>
        <w:t>Site Provisioning</w:t>
      </w:r>
      <w:bookmarkEnd w:id="1976"/>
    </w:p>
    <w:p w14:paraId="79427B07" w14:textId="3203E3C6" w:rsidR="00AD57AB" w:rsidRPr="00D76B04" w:rsidRDefault="00AD57AB" w:rsidP="00644A8A">
      <w:pPr>
        <w:pStyle w:val="BodyText"/>
      </w:pPr>
      <w:r>
        <w:t xml:space="preserve">Based on input from </w:t>
      </w:r>
      <w:sdt>
        <w:sdtPr>
          <w:alias w:val="Client Abbreviation"/>
          <w:tag w:val=""/>
          <w:id w:val="574170896"/>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certain SharePoint sites will be migrated from the commercial tenant. </w:t>
      </w:r>
    </w:p>
    <w:p w14:paraId="0676B00F" w14:textId="77777777" w:rsidR="00AD57AB" w:rsidRPr="00AD57AB" w:rsidRDefault="00AD57AB" w:rsidP="00FE518C">
      <w:pPr>
        <w:pStyle w:val="ListTA"/>
      </w:pPr>
      <w:r>
        <w:rPr>
          <w:b/>
          <w:bCs/>
        </w:rPr>
        <w:t>Sites via Microsoft 365 Groups:</w:t>
      </w:r>
      <w:r>
        <w:t xml:space="preserve"> These SharePoint sites are backed by Microsoft 365 Groups (but not Teams). They are often used for departmental or cross-functional team collaboration. Creating a Microsoft 365 Group automatically creates a SharePoint site. The sites in scope for migration are listed in the migration site list maintained in the project plan. </w:t>
      </w:r>
    </w:p>
    <w:p w14:paraId="124CF450" w14:textId="77777777" w:rsidR="00AD57AB" w:rsidRPr="00AD57AB" w:rsidRDefault="00AD57AB" w:rsidP="00FE518C">
      <w:pPr>
        <w:pStyle w:val="ListTA"/>
      </w:pPr>
      <w:r>
        <w:rPr>
          <w:b/>
          <w:bCs/>
        </w:rPr>
        <w:t>Sites via Teams (Microsoft Teams-connected sites)</w:t>
      </w:r>
      <w:r>
        <w:t xml:space="preserve">: These SharePoint sites are created automatically when a Microsoft Team is created. Every Team has a SharePoint site for file storage. The sites in scope for migration are listed in the migration site list maintained in the project plan. Five SharePoint sites are confirmed for migration; departments are evaluating additional Teams and SharePoint assets, and confirmed additions are added to that list before the discovery scan. </w:t>
      </w:r>
    </w:p>
    <w:p w14:paraId="2D4551C4" w14:textId="77777777" w:rsidR="00AD57AB" w:rsidRPr="00024359" w:rsidRDefault="00AD57AB" w:rsidP="006E3D31">
      <w:pPr>
        <w:pStyle w:val="Heading3"/>
      </w:pPr>
      <w:bookmarkStart w:id="1979" w:name="_Toc238469994"/>
      <w:r>
        <w:t>Unmanaged Device Access Control</w:t>
      </w:r>
      <w:bookmarkEnd w:id="1979"/>
    </w:p>
    <w:p w14:paraId="575EA897" w14:textId="77777777" w:rsidR="00AD57AB" w:rsidRDefault="00AD57AB" w:rsidP="00644A8A">
      <w:pPr>
        <w:pStyle w:val="BodyText"/>
      </w:pPr>
      <w:r>
        <w:t xml:space="preserve">Limiting access allows users to remain productive while addressing the risk of accidental data loss on unmanaged devices. When you limit access, users on managed devices or within other constraints have full access. Users on unmanaged devices have browser-only access with no ability to download, print, or sync files. They also won't be able to access content through apps, including the Microsoft Office desktop apps. When you limit access, you can choose to allow or block editing files in the browser. When web access is limited, users will see a waning at the top of sites. </w:t>
      </w:r>
    </w:p>
    <w:p w14:paraId="65768145" w14:textId="77777777" w:rsidR="00AD57AB" w:rsidRPr="00767536" w:rsidRDefault="00AD57AB" w:rsidP="006E3D31">
      <w:pPr>
        <w:pStyle w:val="Heading3"/>
      </w:pPr>
      <w:bookmarkStart w:id="1980" w:name="_Toc238469995"/>
      <w:r>
        <w:t>Disable Sub-Site Creation</w:t>
      </w:r>
      <w:bookmarkEnd w:id="1980"/>
    </w:p>
    <w:p w14:paraId="0E4A1ACC" w14:textId="77777777" w:rsidR="00AD57AB" w:rsidRDefault="00AD57AB" w:rsidP="00644A8A">
      <w:pPr>
        <w:pStyle w:val="BodyText"/>
      </w:pPr>
      <w:r>
        <w:t xml:space="preserve">The traditional information architecture in SharePoint site collections and subsites is that site collections have a top-level site and may have a number of subsites underneath. Microsoft recommends that organizations avoid subsites. This forces modern, flat site architecture and stops users from spinning up legacy subsites that can inherit broad permissions and not comply with governance. </w:t>
      </w:r>
    </w:p>
    <w:p w14:paraId="4BF2B8B5" w14:textId="77777777" w:rsidR="00AD57AB" w:rsidRPr="00767536" w:rsidRDefault="00AD57AB" w:rsidP="006E3D31">
      <w:pPr>
        <w:pStyle w:val="Heading3"/>
      </w:pPr>
      <w:bookmarkStart w:id="1981" w:name="_Toc238469996"/>
      <w:r>
        <w:t xml:space="preserve">Sync Client Restriction and Known Folder Move</w:t>
      </w:r>
      <w:bookmarkEnd w:id="1981"/>
    </w:p>
    <w:p>
      <w:pPr>
        <w:pStyle w:val="BodyText"/>
      </w:pPr>
      <w:r>
        <w:t xml:space="preserve">To ensure users sync OneDrive files only on managed computers, the OneDrive sync client will be </w:t>
      </w:r>
      <w:r>
        <w:rPr>
          <w:b/>
          <w:bCs/>
        </w:rPr>
        <w:t xml:space="preserve">restricted by tenant ID</w:t>
      </w:r>
      <w:r>
        <w:t xml:space="preserve">: only the GCC High tenant is allow-listed, and the client will not synchronize any other organization’s content. The previous approach of restricting sync to PCs joined to specific Active Directory domains is not used, because it depends on a domain GUID that does not survive the tenant change.</w:t>
      </w:r>
    </w:p>
    <w:p>
      <w:pPr>
        <w:pStyle w:val="BodyText"/>
      </w:pPr>
      <w:r>
        <w:rPr>
          <w:b/>
          <w:bCs/>
        </w:rPr>
        <w:t xml:space="preserve">Known Folder Move</w:t>
      </w:r>
      <w:r>
        <w:t xml:space="preserve"> will be enabled </w:t>
      </w:r>
      <w:r>
        <w:rPr>
          <w:b/>
          <w:bCs/>
        </w:rPr>
        <w:t xml:space="preserve">silently</w:t>
      </w:r>
      <w:r>
        <w:t xml:space="preserve"> for Desktop, Documents, and Pictures, and will be in place </w:t>
      </w:r>
      <w:r>
        <w:rPr>
          <w:b/>
          <w:bCs/>
        </w:rPr>
        <w:t xml:space="preserve">before device migration</w:t>
      </w:r>
      <w:r>
        <w:t xml:space="preserve">, so that user data is redirected into OneDrive and captured in the migration ahead of profile conversion. Users are not prompted, and the folders cannot be unredirected by the user.</w:t>
      </w:r>
    </w:p>
    <w:p w14:paraId="05FAA403" w14:textId="77777777" w:rsidR="0004046D" w:rsidRDefault="00DD0DB1" w:rsidP="00AD57AB">
      <w:pPr>
        <w:pStyle w:val="Heading2"/>
      </w:pPr>
      <w:bookmarkStart w:id="1982" w:name="_Toc238469997"/>
      <w:r>
        <w:lastRenderedPageBreak/>
        <w:t>OneDrive</w:t>
      </w:r>
      <w:bookmarkEnd w:id="1982"/>
    </w:p>
    <w:p w14:paraId="7B72B491" w14:textId="77777777" w:rsidR="0004046D" w:rsidRDefault="0004046D" w:rsidP="00644A8A">
      <w:pPr>
        <w:pStyle w:val="BodyText"/>
      </w:pPr>
      <w:r>
        <w:t>OneDrive is the personal cloud storage for each user (backed by SharePoint under the hood). The configuration for OneDrive will align closely with the SharePoint settings to ensure consistency and security:</w:t>
      </w:r>
    </w:p>
    <w:p w14:paraId="7A8628B1" w14:textId="77777777" w:rsidR="00AD57AB" w:rsidRPr="004F58F7" w:rsidRDefault="00AD57AB" w:rsidP="006E3D31">
      <w:pPr>
        <w:pStyle w:val="Heading3"/>
      </w:pPr>
      <w:bookmarkStart w:id="1983" w:name="_Toc238469998"/>
      <w:r>
        <w:t>External Sharing</w:t>
      </w:r>
      <w:bookmarkEnd w:id="1983"/>
    </w:p>
    <w:p w14:paraId="07D3FE9F" w14:textId="659B36CD" w:rsidR="00AD57AB" w:rsidRPr="004F58F7" w:rsidRDefault="00AD57AB" w:rsidP="00644A8A">
      <w:pPr>
        <w:pStyle w:val="BodyText"/>
      </w:pPr>
      <w:r>
        <w:t xml:space="preserve">OneDrive will follow the same rule as SharePoint – by default, external sharing is disabled. Users will not be able to create sharing links that work for external people, nor directly share files with people outside </w:t>
      </w:r>
      <w:sdt>
        <w:sdtPr>
          <w:alias w:val="Client Abbreviation"/>
          <w:tag w:val=""/>
          <w:id w:val="926259799"/>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This is important because OneDrive can contain sensitive individual work files; we apply the tenant-wide policy to prevent accidental data leakage. If there comes a need for an individual to share a specific file externally, IT will need to grant an exception or advise using a controlled collaboration method.</w:t>
      </w:r>
    </w:p>
    <w:p w14:paraId="6ADBD806" w14:textId="77777777" w:rsidR="00AD57AB" w:rsidRPr="00AD73CD" w:rsidRDefault="00AD57AB" w:rsidP="006E3D31">
      <w:pPr>
        <w:pStyle w:val="Heading3"/>
      </w:pPr>
      <w:bookmarkStart w:id="1986" w:name="_Toc238469999"/>
      <w:r>
        <w:t>Sharing Link Expiration</w:t>
      </w:r>
      <w:bookmarkEnd w:id="1986"/>
    </w:p>
    <w:p w14:paraId="0EFB5C36" w14:textId="77777777" w:rsidR="00AD57AB" w:rsidRPr="004F58F7" w:rsidRDefault="00AD57AB" w:rsidP="00644A8A">
      <w:pPr>
        <w:pStyle w:val="BodyText"/>
      </w:pPr>
      <w:r>
        <w:t>If external or “anyone” links are enabled for OneDrive (disabled by default), the 14-day expiration policy would apply similarly to those links. This ensures any broadly shareable links auto-expire and cannot be used beyond a short window.</w:t>
      </w:r>
    </w:p>
    <w:p w14:paraId="5C0D4B2C" w14:textId="77777777" w:rsidR="00AD57AB" w:rsidRPr="005E62F0" w:rsidRDefault="00AD57AB" w:rsidP="006E3D31">
      <w:pPr>
        <w:pStyle w:val="Heading3"/>
      </w:pPr>
      <w:bookmarkStart w:id="1987" w:name="_Toc238470000"/>
      <w:r>
        <w:t>Versioning</w:t>
      </w:r>
      <w:bookmarkEnd w:id="1987"/>
    </w:p>
    <w:p w14:paraId="0509C2BC" w14:textId="77777777" w:rsidR="00AD57AB" w:rsidRPr="004F58F7" w:rsidRDefault="00AD57AB" w:rsidP="00644A8A">
      <w:pPr>
        <w:pStyle w:val="BodyText"/>
      </w:pPr>
      <w:r>
        <w:t>OneDrive inherits SharePoint’s versioning settings. Each OneDrive library (each user’s files) will keep up to 500 versions of files, mirroring the SharePoint sites. This means users can restore previous versions of their documents if needed (for example, if they made a mistake or if a file became corrupted). It’s an important safeguard given that OneDrive often contains the only copy of a user’s work in progress.</w:t>
      </w:r>
    </w:p>
    <w:p w14:paraId="6280616A" w14:textId="77777777" w:rsidR="00AD57AB" w:rsidRPr="0091722F" w:rsidRDefault="00AD57AB" w:rsidP="006E3D31">
      <w:pPr>
        <w:pStyle w:val="Heading3"/>
      </w:pPr>
      <w:bookmarkStart w:id="1988" w:name="_Toc238470001"/>
      <w:r>
        <w:t>Storage and Retention</w:t>
      </w:r>
      <w:bookmarkEnd w:id="1988"/>
    </w:p>
    <w:p>
      <w:pPr>
        <w:pStyle w:val="BodyText"/>
      </w:pPr>
      <w:r>
        <w:rPr>
          <w:b/>
          <w:bCs/>
        </w:rPr>
        <w:t xml:space="preserve">Storage.</w:t>
      </w:r>
      <w:r>
        <w:t xml:space="preserve"> OneDrive storage quota is allocated by license tier and is not increased above the entitlement. The quota provided by the licensing plan is sufficient for the user population as scoped.</w:t>
      </w:r>
    </w:p>
    <w:p>
      <w:pPr>
        <w:pStyle w:val="BodyText"/>
      </w:pPr>
      <w:r>
        <w:rPr>
          <w:b/>
          <w:bCs/>
        </w:rPr>
        <w:t xml:space="preserve">Retention.</w:t>
      </w:r>
      <w:r>
        <w:t xml:space="preserve"> Organization-wide retention and disposition design is out of scope for this engagement (see Scope). The per-workload settings recorded elsewhere in this document — SharePoint and OneDrive versioning, Teams recording expiry, and quarantine retention — stand as configured. Handling of a leaver’s OneDrive content, including any retention period applied to it, is WMP-owned.</w:t>
      </w:r>
    </w:p>
    <w:p w14:paraId="37AA682F" w14:textId="77777777" w:rsidR="00A70658" w:rsidRDefault="00A70658">
      <w:pPr>
        <w:rPr>
          <w:rFonts w:asciiTheme="majorHAnsi" w:hAnsiTheme="majorHAnsi"/>
          <w:color w:val="2D61A6" w:themeColor="accent1"/>
          <w:sz w:val="36"/>
          <w:szCs w:val="36"/>
        </w:rPr>
      </w:pPr>
      <w:bookmarkStart w:id="1989" w:name="_Toc222995643"/>
      <w:r>
        <w:br w:type="page"/>
      </w:r>
    </w:p>
    <w:p w14:paraId="1F6BA13A" w14:textId="77777777" w:rsidR="0004046D" w:rsidRDefault="0004046D" w:rsidP="00AD57AB">
      <w:pPr>
        <w:pStyle w:val="Heading2"/>
      </w:pPr>
      <w:bookmarkStart w:id="1990" w:name="_Toc238470002"/>
      <w:r>
        <w:lastRenderedPageBreak/>
        <w:t>Teams</w:t>
      </w:r>
      <w:bookmarkEnd w:id="1989"/>
      <w:bookmarkEnd w:id="1990"/>
    </w:p>
    <w:p w14:paraId="7F14F2DA" w14:textId="77777777" w:rsidR="00AD57AB" w:rsidRPr="00236B3C" w:rsidRDefault="00AD57AB" w:rsidP="006E3D31">
      <w:pPr>
        <w:pStyle w:val="Heading3"/>
      </w:pPr>
      <w:bookmarkStart w:id="1991" w:name="_Toc238470003"/>
      <w:r>
        <w:t>External and Guest Access</w:t>
      </w:r>
      <w:bookmarkEnd w:id="1991"/>
    </w:p>
    <w:p>
      <w:pPr>
        <w:pStyle w:val="BodyText"/>
      </w:pPr>
      <w:r>
        <w:t xml:space="preserve">Teams Guest Access (adding external users as guests in the tenant) will be disabled. External collaboration with people outside WMP is delivered through SharePoint external sharing rather than through Teams; guest accounts today are used for file sharing, not for Teams collaboration.</w:t>
      </w:r>
    </w:p>
    <w:p>
      <w:pPr>
        <w:pStyle w:val="BodyText"/>
      </w:pPr>
      <w:r>
        <w:t xml:space="preserve">External Access (federated communication with users in other tenants) will be restricted to an allow list. By default no external domains are allowed.</w:t>
      </w:r>
    </w:p>
    <w:p>
      <w:pPr>
        <w:pStyle w:val="ListTA"/>
      </w:pPr>
      <w:r>
        <w:t xml:space="preserve">The allow list is </w:t>
      </w:r>
      <w:r>
        <w:rPr>
          <w:b/>
          <w:bCs/>
        </w:rPr>
        <w:t xml:space="preserve">built at implementation</w:t>
      </w:r>
      <w:r>
        <w:t xml:space="preserve"> from the two sister organizations WMP already works with and from named partner organizations confirmed by WMP.</w:t>
      </w:r>
    </w:p>
    <w:p>
      <w:pPr>
        <w:pStyle w:val="ListTA"/>
      </w:pPr>
      <w:r>
        <w:rPr>
          <w:b/>
          <w:bCs/>
        </w:rPr>
        <w:t xml:space="preserve">Free/busy calendar sharing with the two sister organizations</w:t>
      </w:r>
      <w:r>
        <w:t xml:space="preserve"> exists today and is to be preserved if the GCC High cross-cloud federation supports it. Feasibility is an open research item; the result is confirmed and recorded before go-live, and if the capability is unavailable WMP is advised of the alternative.</w:t>
      </w:r>
    </w:p>
    <w:p>
      <w:pPr>
        <w:pStyle w:val="ListTA"/>
      </w:pPr>
      <w:r>
        <w:t xml:space="preserve">No cross-tenant coexistence with the Microsoft 365 Commercial tenant is required during migration, because the migration is a single cutover event.</w:t>
      </w:r>
    </w:p>
    <w:p>
      <w:pPr>
        <w:pStyle w:val="BodyText"/>
      </w:pPr>
      <w:commentRangeStart w:id="2091"/>
      <w:r>
        <w:t xml:space="preserve">The external access allow list is recorded as follows:</w:t>
      </w:r>
      <w:commentRangeEnd w:id="2091"/>
      <w:r>
        <w:rPr>
          <w:rStyle w:val="CommentReference"/>
        </w:rPr>
        <w:commentReference w:id="2091"/>
      </w:r>
    </w:p>
    <w:tbl>
      <w:tblPr>
        <w:tblStyle w:val="TableGrid"/>
        <w:tblW w:w="0" w:type="auto"/>
        <w:tblLook w:val="04A0" w:firstRow="1" w:lastRow="0" w:firstColumn="1" w:lastColumn="0" w:noHBand="0" w:noVBand="1"/>
      </w:tblPr>
      <w:tblGrid>
        <w:gridCol w:w="3200"/>
        <w:gridCol w:w="3200"/>
        <w:gridCol w:w="3670"/>
      </w:tblGrid>
      <w:tr>
        <w:tc>
          <w:tcPr>
            <w:tcW w:w="3200" w:type="dxa"/>
          </w:tcPr>
          <w:p>
            <w:pPr>
              <w:spacing w:line="360" w:lineRule="auto"/>
              <w:rPr>
                <w:b/>
                <w:bCs/>
                <w:sz w:val="21"/>
                <w:szCs w:val="21"/>
              </w:rPr>
            </w:pPr>
            <w:r>
              <w:rPr>
                <w:b/>
                <w:bCs/>
                <w:sz w:val="21"/>
                <w:szCs w:val="21"/>
              </w:rPr>
              <w:t xml:space="preserve">Organisation</w:t>
            </w:r>
          </w:p>
        </w:tc>
        <w:tc>
          <w:tcPr>
            <w:tcW w:w="3200" w:type="dxa"/>
          </w:tcPr>
          <w:p>
            <w:pPr>
              <w:spacing w:line="360" w:lineRule="auto"/>
              <w:rPr>
                <w:b/>
                <w:bCs/>
                <w:sz w:val="21"/>
                <w:szCs w:val="21"/>
              </w:rPr>
            </w:pPr>
            <w:r>
              <w:rPr>
                <w:b/>
                <w:bCs/>
                <w:sz w:val="21"/>
                <w:szCs w:val="21"/>
              </w:rPr>
              <w:t xml:space="preserve">Domain</w:t>
            </w:r>
          </w:p>
        </w:tc>
        <w:tc>
          <w:tcPr>
            <w:tcW w:w="3670" w:type="dxa"/>
          </w:tcPr>
          <w:p>
            <w:pPr>
              <w:spacing w:line="360" w:lineRule="auto"/>
              <w:rPr>
                <w:b/>
                <w:bCs/>
                <w:sz w:val="21"/>
                <w:szCs w:val="21"/>
              </w:rPr>
            </w:pPr>
            <w:r>
              <w:rPr>
                <w:b/>
                <w:bCs/>
                <w:sz w:val="21"/>
                <w:szCs w:val="21"/>
              </w:rPr>
              <w:t xml:space="preserve">Purpose</w:t>
            </w:r>
          </w:p>
        </w:tc>
      </w:tr>
      <w:tr>
        <w:tc>
          <w:tcPr>
            <w:tcW w:w="3200" w:type="dxa"/>
          </w:tcPr>
          <w:p>
            <w:pPr>
              <w:spacing w:line="360" w:lineRule="auto"/>
              <w:rPr>
                <w:i/>
                <w:iCs/>
                <w:sz w:val="21"/>
                <w:szCs w:val="21"/>
              </w:rPr>
            </w:pPr>
            <w:r>
              <w:rPr>
                <w:i/>
                <w:iCs/>
                <w:sz w:val="21"/>
                <w:szCs w:val="21"/>
              </w:rPr>
              <w:t xml:space="preserve">e.g., (sister organisation)</w:t>
            </w:r>
          </w:p>
        </w:tc>
        <w:tc>
          <w:tcPr>
            <w:tcW w:w="3200" w:type="dxa"/>
          </w:tcPr>
          <w:p>
            <w:pPr>
              <w:spacing w:line="360" w:lineRule="auto"/>
              <w:rPr>
                <w:i/>
                <w:iCs/>
                <w:sz w:val="21"/>
                <w:szCs w:val="21"/>
              </w:rPr>
            </w:pPr>
            <w:r>
              <w:rPr>
                <w:i/>
                <w:iCs/>
                <w:sz w:val="21"/>
                <w:szCs w:val="21"/>
              </w:rPr>
              <w:t xml:space="preserve">example.com</w:t>
            </w:r>
          </w:p>
        </w:tc>
        <w:tc>
          <w:tcPr>
            <w:tcW w:w="3670" w:type="dxa"/>
          </w:tcPr>
          <w:p>
            <w:pPr>
              <w:spacing w:line="360" w:lineRule="auto"/>
              <w:rPr>
                <w:i/>
                <w:iCs/>
                <w:sz w:val="21"/>
                <w:szCs w:val="21"/>
              </w:rPr>
            </w:pPr>
            <w:r>
              <w:rPr>
                <w:i/>
                <w:iCs/>
                <w:sz w:val="21"/>
                <w:szCs w:val="21"/>
              </w:rPr>
              <w:t xml:space="preserve">free/busy + Teams federation</w:t>
            </w:r>
          </w:p>
        </w:tc>
      </w:tr>
      <w:tr>
        <w:tc>
          <w:tcPr>
            <w:tcW w:w="3200" w:type="dxa"/>
          </w:tcPr>
          <w:p>
            <w:pPr>
              <w:spacing w:line="360" w:lineRule="auto"/>
              <w:rPr>
                <w:sz w:val="21"/>
                <w:szCs w:val="21"/>
              </w:rPr>
            </w:pPr>
          </w:p>
        </w:tc>
        <w:tc>
          <w:tcPr>
            <w:tcW w:w="3200" w:type="dxa"/>
          </w:tcPr>
          <w:p>
            <w:pPr>
              <w:spacing w:line="360" w:lineRule="auto"/>
              <w:rPr>
                <w:sz w:val="21"/>
                <w:szCs w:val="21"/>
              </w:rPr>
            </w:pPr>
          </w:p>
        </w:tc>
        <w:tc>
          <w:tcPr>
            <w:tcW w:w="3670" w:type="dxa"/>
          </w:tcPr>
          <w:p>
            <w:pPr>
              <w:spacing w:line="360" w:lineRule="auto"/>
              <w:rPr>
                <w:sz w:val="21"/>
                <w:szCs w:val="21"/>
              </w:rPr>
            </w:pPr>
          </w:p>
        </w:tc>
      </w:tr>
      <w:tr>
        <w:tc>
          <w:tcPr>
            <w:tcW w:w="3200" w:type="dxa"/>
          </w:tcPr>
          <w:p>
            <w:pPr>
              <w:spacing w:line="360" w:lineRule="auto"/>
              <w:rPr>
                <w:sz w:val="21"/>
                <w:szCs w:val="21"/>
              </w:rPr>
            </w:pPr>
          </w:p>
        </w:tc>
        <w:tc>
          <w:tcPr>
            <w:tcW w:w="3200" w:type="dxa"/>
          </w:tcPr>
          <w:p>
            <w:pPr>
              <w:spacing w:line="360" w:lineRule="auto"/>
              <w:rPr>
                <w:sz w:val="21"/>
                <w:szCs w:val="21"/>
              </w:rPr>
            </w:pPr>
          </w:p>
        </w:tc>
        <w:tc>
          <w:tcPr>
            <w:tcW w:w="3670" w:type="dxa"/>
          </w:tcPr>
          <w:p>
            <w:pPr>
              <w:spacing w:line="360" w:lineRule="auto"/>
              <w:rPr>
                <w:sz w:val="21"/>
                <w:szCs w:val="21"/>
              </w:rPr>
            </w:pPr>
          </w:p>
        </w:tc>
      </w:tr>
      <w:tr>
        <w:tc>
          <w:tcPr>
            <w:tcW w:w="3200" w:type="dxa"/>
          </w:tcPr>
          <w:p>
            <w:pPr>
              <w:spacing w:line="360" w:lineRule="auto"/>
              <w:rPr>
                <w:sz w:val="21"/>
                <w:szCs w:val="21"/>
              </w:rPr>
            </w:pPr>
          </w:p>
        </w:tc>
        <w:tc>
          <w:tcPr>
            <w:tcW w:w="3200" w:type="dxa"/>
          </w:tcPr>
          <w:p>
            <w:pPr>
              <w:spacing w:line="360" w:lineRule="auto"/>
              <w:rPr>
                <w:sz w:val="21"/>
                <w:szCs w:val="21"/>
              </w:rPr>
            </w:pPr>
          </w:p>
        </w:tc>
        <w:tc>
          <w:tcPr>
            <w:tcW w:w="3670" w:type="dxa"/>
          </w:tcPr>
          <w:p>
            <w:pPr>
              <w:spacing w:line="360" w:lineRule="auto"/>
              <w:rPr>
                <w:sz w:val="21"/>
                <w:szCs w:val="21"/>
              </w:rPr>
            </w:pPr>
          </w:p>
        </w:tc>
      </w:tr>
    </w:tbl>
    <w:p w14:paraId="0CBB8C9E" w14:textId="77777777" w:rsidR="00AD57AB" w:rsidRPr="00BC3406" w:rsidRDefault="00AD57AB" w:rsidP="006E3D31">
      <w:pPr>
        <w:pStyle w:val="Heading3"/>
      </w:pPr>
      <w:bookmarkStart w:id="1994" w:name="_Toc238470004"/>
      <w:r>
        <w:t>Shared Channels</w:t>
      </w:r>
      <w:bookmarkEnd w:id="1994"/>
    </w:p>
    <w:p w14:paraId="120E420C" w14:textId="2D604415" w:rsidR="00AD57AB" w:rsidRPr="005034CE" w:rsidRDefault="00AD57AB" w:rsidP="00644A8A">
      <w:pPr>
        <w:pStyle w:val="BodyText"/>
        <w:rPr>
          <w:rFonts w:eastAsiaTheme="majorEastAsia" w:cstheme="majorBidi"/>
          <w:b/>
          <w:bCs/>
          <w:color w:val="21487C" w:themeColor="accent1" w:themeShade="BF"/>
        </w:rPr>
      </w:pPr>
      <w:r>
        <w:t>A custom Teams policy (named “</w:t>
      </w:r>
      <w:sdt>
        <w:sdtPr>
          <w:alias w:val="Client Abbreviation"/>
          <w:tag w:val=""/>
          <w:id w:val="1491500633"/>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Teams Policy”) will be created or applied to manage cross-tenant channel collaboration. Specifically, users will be prevented from inviting external users to shared channels in </w:t>
      </w:r>
      <w:sdt>
        <w:sdtPr>
          <w:alias w:val="Client Abbreviation"/>
          <w:tag w:val=""/>
          <w:id w:val="1102886609"/>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Teams and likewise prevented from joining shared channels in external tenants. Shared channels are a newer feature that allows cross-organization membership in a channel; to avoid data leakage or compliance issues, </w:t>
      </w:r>
      <w:sdt>
        <w:sdtPr>
          <w:alias w:val="Client Abbreviation"/>
          <w:tag w:val=""/>
          <w:id w:val="179447923"/>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will not utilize shared channels with external parties.</w:t>
      </w:r>
    </w:p>
    <w:p w14:paraId="48088620" w14:textId="77777777" w:rsidR="00AD57AB" w:rsidRPr="00337954" w:rsidRDefault="00AD57AB" w:rsidP="006E3D31">
      <w:pPr>
        <w:pStyle w:val="Heading3"/>
      </w:pPr>
      <w:bookmarkStart w:id="2001" w:name="_Toc238470005"/>
      <w:r>
        <w:t>Third-Party Apps</w:t>
      </w:r>
      <w:bookmarkEnd w:id="2001"/>
    </w:p>
    <w:p w14:paraId="0A0E4335" w14:textId="77777777" w:rsidR="00AD57AB" w:rsidRPr="00AD57AB" w:rsidRDefault="00AD57AB" w:rsidP="00644A8A">
      <w:pPr>
        <w:pStyle w:val="BodyText"/>
      </w:pPr>
      <w:r>
        <w:t>All third-party apps in Teams will be disabled by default. This means users cannot install or use apps from the Teams App Store (like Zoom, Trello, etc.) unless an administrator enables an app. This prevents unvetted applications from accessing corporate data through Teams. Only Microsoft-provided apps or services will be available, and those can be turned off if not needed.</w:t>
      </w:r>
    </w:p>
    <w:p w14:paraId="603509F7" w14:textId="77777777" w:rsidR="00AD57AB" w:rsidRPr="006D4D6C" w:rsidRDefault="00AD57AB" w:rsidP="006E3D31">
      <w:pPr>
        <w:pStyle w:val="Heading3"/>
      </w:pPr>
      <w:bookmarkStart w:id="2002" w:name="_Toc238470006"/>
      <w:r>
        <w:t>File Sharing Providers</w:t>
      </w:r>
      <w:bookmarkEnd w:id="2002"/>
    </w:p>
    <w:p w14:paraId="6DCC2E08" w14:textId="77777777" w:rsidR="00AD57AB" w:rsidRPr="005034CE" w:rsidRDefault="00AD57AB" w:rsidP="00644A8A">
      <w:pPr>
        <w:pStyle w:val="BodyText"/>
        <w:rPr>
          <w:rFonts w:eastAsiaTheme="majorEastAsia" w:cstheme="majorBidi"/>
          <w:b/>
          <w:bCs/>
          <w:color w:val="21487C" w:themeColor="accent1" w:themeShade="BF"/>
        </w:rPr>
      </w:pPr>
      <w:r>
        <w:t>In Teams settings will restrict file sharing to OneDrive and SharePoint (Microsoft 365) only. All non-Microsoft cloud storage options (such as Box, Dropbox, Google Drive) will be disabled in Teams. This ensures that users share files only through approved, monitored channels (i.e., OneDrive/SharePoint which are governed by our tenant policies).</w:t>
      </w:r>
    </w:p>
    <w:p w14:paraId="4D0ED8EC" w14:textId="77777777" w:rsidR="00AD57AB" w:rsidRPr="00BD73D1" w:rsidRDefault="00AD57AB" w:rsidP="006E3D31">
      <w:pPr>
        <w:pStyle w:val="Heading3"/>
      </w:pPr>
      <w:bookmarkStart w:id="2003" w:name="_Toc238470007"/>
      <w:r>
        <w:t>Compliance Monitoring</w:t>
      </w:r>
      <w:bookmarkEnd w:id="2003"/>
    </w:p>
    <w:p>
      <w:pPr>
        <w:pStyle w:val="BodyText"/>
      </w:pPr>
      <w:r>
        <w:t xml:space="preserve">With guest access off and external access limited to an allow list, Teams communications are predominantly internal. Audit logging for Teams activity is enabled as part of the tenant-wide audit configuration (see Audit Logging). Data loss prevention policies apply to Teams chat and channel messages as described under Information Protection and Data Loss Prevention. </w:t>
      </w:r>
      <w:r>
        <w:rPr>
          <w:b/>
          <w:bCs/>
        </w:rPr>
        <w:t xml:space="preserve">Communication Compliance is out of scope for this engagement</w:t>
      </w:r>
      <w:r>
        <w:t xml:space="preserve"> and is not configured.</w:t>
      </w:r>
    </w:p>
    <w:p w14:paraId="4520C758" w14:textId="77777777" w:rsidR="00AD57AB" w:rsidRPr="002169DC" w:rsidRDefault="00AD57AB" w:rsidP="006E3D31">
      <w:pPr>
        <w:pStyle w:val="Heading3"/>
      </w:pPr>
      <w:bookmarkStart w:id="2004" w:name="_Toc238470008"/>
      <w:r>
        <w:t>Meeting Policy</w:t>
      </w:r>
      <w:bookmarkEnd w:id="2004"/>
    </w:p>
    <w:p w14:paraId="158C673E" w14:textId="0427E1EC" w:rsidR="00AD57AB" w:rsidRPr="00AD57AB" w:rsidRDefault="00AD57AB" w:rsidP="00644A8A">
      <w:pPr>
        <w:pStyle w:val="BodyText"/>
      </w:pPr>
      <w:r>
        <w:t>A Teams policy named “</w:t>
      </w:r>
      <w:sdt>
        <w:sdtPr>
          <w:alias w:val="Client Abbreviation"/>
          <w:tag w:val=""/>
          <w:id w:val="832120541"/>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Meeting Policy” will be created to enforce secure meeting settings:</w:t>
      </w:r>
    </w:p>
    <w:p w14:paraId="46617B0F" w14:textId="338AEA48" w:rsidR="00AD57AB" w:rsidRPr="00AD57AB" w:rsidRDefault="00AD57AB" w:rsidP="00FE518C">
      <w:pPr>
        <w:pStyle w:val="ListTA"/>
      </w:pPr>
      <w:r>
        <w:rPr>
          <w:b/>
          <w:bCs/>
        </w:rPr>
        <w:t>Anonymous Join:</w:t>
      </w:r>
      <w:r>
        <w:t xml:space="preserve"> The policy will block anonymous users from joining meetings. Only authenticated users (either internal or invited external users who authenticate) can bypass the lobby. Essentially, anyone not signed in with an approved account will not directly enter </w:t>
      </w:r>
      <w:sdt>
        <w:sdtPr>
          <w:alias w:val="Client Abbreviation"/>
          <w:tag w:val=""/>
          <w:id w:val="1198781733"/>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meetings. This prevents random or uninvited people from exploiting meeting links. </w:t>
      </w:r>
    </w:p>
    <w:p w14:paraId="24BAB782" w14:textId="24DC6EB4" w:rsidR="00AD57AB" w:rsidRPr="00AD57AB" w:rsidRDefault="00AD57AB" w:rsidP="00FE518C">
      <w:pPr>
        <w:pStyle w:val="ListTA"/>
      </w:pPr>
      <w:r>
        <w:rPr>
          <w:b/>
          <w:bCs/>
        </w:rPr>
        <w:t>Lobby Bypass:</w:t>
      </w:r>
      <w:r>
        <w:t xml:space="preserve"> Configure that only people within </w:t>
      </w:r>
      <w:sdt>
        <w:sdtPr>
          <w:alias w:val="Client Abbreviation"/>
          <w:tag w:val=""/>
          <w:id w:val="170769305"/>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(and perhaps invited federated partners, if any) can bypass the lobby. All other participants have to wait in the lobby for admission. This gives meeting organizers control to admit only intended attendees. </w:t>
      </w:r>
    </w:p>
    <w:p w14:paraId="2A1EAD86" w14:textId="77777777" w:rsidR="00AD57AB" w:rsidRPr="00AD57AB" w:rsidRDefault="00AD57AB" w:rsidP="00FE518C">
      <w:pPr>
        <w:pStyle w:val="ListTA"/>
      </w:pPr>
      <w:r>
        <w:rPr>
          <w:b/>
          <w:bCs/>
        </w:rPr>
        <w:t>Recording and Transcription:</w:t>
      </w:r>
      <w:r>
        <w:t xml:space="preserve"> Meeting recordings and transcriptions are allowed, but they will be set to auto-expire after 180 days. After 180 days, recordings stored in OneDrive/SharePoint from Teams meetings will be automatically deleted unless saved elsewhere. This is both to manage storage and to limit how long potentially sensitive recorded content persists. If certain meetings need longer retention (for compliance or training archive), we will need a separate process to save those recordings.</w:t>
      </w:r>
    </w:p>
    <w:p w14:paraId="75F3C977" w14:textId="77777777" w:rsidR="00AD57AB" w:rsidRPr="00AD57AB" w:rsidRDefault="00AD57AB" w:rsidP="00FE518C">
      <w:pPr>
        <w:pStyle w:val="ListTA"/>
      </w:pPr>
      <w:r>
        <w:rPr>
          <w:b/>
          <w:bCs/>
        </w:rPr>
        <w:t>Other Settings:</w:t>
      </w:r>
      <w:r>
        <w:t xml:space="preserve"> Features like meeting chat, screen sharing, attendee video, etc., will use Teams defaults unless otherwise needed. </w:t>
      </w:r>
    </w:p>
    <w:p w14:paraId="2484C7A1" w14:textId="77777777" w:rsidR="00AD57AB" w:rsidRPr="005C574D" w:rsidRDefault="00AD57AB" w:rsidP="006E3D31">
      <w:pPr>
        <w:pStyle w:val="Heading3"/>
      </w:pPr>
      <w:bookmarkStart w:id="2011" w:name="_Toc238470009"/>
      <w:r>
        <w:t>Messaging Policy</w:t>
      </w:r>
      <w:bookmarkEnd w:id="2011"/>
    </w:p>
    <w:p w14:paraId="14EB2676" w14:textId="33C9C167" w:rsidR="00AD57AB" w:rsidRPr="00CA2B59" w:rsidRDefault="00AD57AB" w:rsidP="00644A8A">
      <w:pPr>
        <w:pStyle w:val="BodyText"/>
      </w:pPr>
      <w:r>
        <w:t>A Teams messaging policy (named “</w:t>
      </w:r>
      <w:sdt>
        <w:sdtPr>
          <w:alias w:val="Client Abbreviation"/>
          <w:tag w:val=""/>
          <w:id w:val="1709470840"/>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 xml:space="preserve"> Messaging Policy”) will define what users can do in 1:1 and group chats: </w:t>
      </w:r>
    </w:p>
    <w:p w14:paraId="1C2F2E79" w14:textId="77777777" w:rsidR="00AD57AB" w:rsidRPr="00CA2B59" w:rsidRDefault="00AD57AB" w:rsidP="00FE518C">
      <w:pPr>
        <w:pStyle w:val="ListTA"/>
      </w:pPr>
      <w:r>
        <w:t xml:space="preserve">Message Editing: Users will be allowed to edit their own sent messages. This is useful to correct typos or update information, but all edit history is kept (Teams shows that a message was edited). This setting balances user convenience with oversight. </w:t>
      </w:r>
    </w:p>
    <w:p w14:paraId="591694DF" w14:textId="77777777" w:rsidR="0004046D" w:rsidRPr="00CA2B59" w:rsidRDefault="00AD57AB" w:rsidP="00FE518C">
      <w:pPr>
        <w:pStyle w:val="ListTA"/>
      </w:pPr>
      <w:r>
        <w:lastRenderedPageBreak/>
        <w:t xml:space="preserve">User Reporting: Enables the ability for users to report inappropriate messages or security concerns in Teams. This feature lets users flag messages that violate company policy (such as harassment or leaking sensitive info), which will alert administrators or trigger a review workflow. Having this on empowers the community to help enforce proper use of Teams. </w:t>
      </w:r>
    </w:p>
    <w:p>
      <w:pPr>
        <w:pStyle w:val="Heading3"/>
      </w:pPr>
      <w:bookmarkStart w:id="2419" w:name="_Toc238480019"/>
      <w:r>
        <w:t xml:space="preserve">Meeting Rooms</w:t>
      </w:r>
      <w:bookmarkEnd w:id="2419"/>
    </w:p>
    <w:p>
      <w:pPr>
        <w:pStyle w:val="BodyText"/>
      </w:pPr>
      <w:r>
        <w:t xml:space="preserve">WMP operates five conference rooms today, with additional rooms planned at the new facility.</w:t>
      </w:r>
      <w:r>
        <w:rPr>
          <w:highlight w:val="yellow"/>
        </w:rPr>
        <w:t xml:space="preserve"> [TBD: room count at the new facility]</w:t>
      </w:r>
      <w:r>
        <w:t xml:space="preserve"> Rooms continue with their current pattern: a dedicated Windows device or a user’s laptop, connected to the existing in-room AV equipment and joining meetings with the standard Teams client. </w:t>
      </w:r>
      <w:r>
        <w:rPr>
          <w:b/>
          <w:bCs/>
        </w:rPr>
        <w:t xml:space="preserve">Microsoft Teams Rooms is not in scope</w:t>
      </w:r>
      <w:r>
        <w:t xml:space="preserve"> and no Teams Rooms devices or licenses are deployed. Each room has a room mailbox in the GCC High tenant (see Room and Resource Mailboxes).</w:t>
      </w:r>
    </w:p>
    <w:p>
      <w:pPr>
        <w:pStyle w:val="Heading2"/>
      </w:pPr>
      <w:bookmarkStart w:id="2420" w:name="_Toc238480020"/>
      <w:r>
        <w:t xml:space="preserve">Information Protection and Data Loss Prevention</w:t>
      </w:r>
      <w:bookmarkEnd w:id="2420"/>
    </w:p>
    <w:p>
      <w:pPr>
        <w:pStyle w:val="BodyText"/>
      </w:pPr>
      <w:r>
        <w:t xml:space="preserve">Controlled Unclassified Information is protected with Microsoft Purview. Only the controls described here are in scope; a broader classification taxonomy, records management, and compliance mapping are not.</w:t>
      </w:r>
    </w:p>
    <w:p>
      <w:pPr>
        <w:pStyle w:val="Heading3"/>
      </w:pPr>
      <w:bookmarkStart w:id="2421" w:name="_Toc238480021"/>
      <w:r>
        <w:t xml:space="preserve">Sensitivity Labeling</w:t>
      </w:r>
      <w:bookmarkEnd w:id="2421"/>
    </w:p>
    <w:p>
      <w:pPr>
        <w:pStyle w:val="ListTA"/>
      </w:pPr>
      <w:r>
        <w:t xml:space="preserve">A </w:t>
      </w:r>
      <w:r>
        <w:rPr>
          <w:b/>
          <w:bCs/>
        </w:rPr>
        <w:t xml:space="preserve">single CUI sensitivity label</w:t>
      </w:r>
      <w:r>
        <w:t xml:space="preserve"> is published to all users. No wider label taxonomy is created.</w:t>
      </w:r>
    </w:p>
    <w:p>
      <w:pPr>
        <w:pStyle w:val="ListTA"/>
      </w:pPr>
      <w:r>
        <w:t xml:space="preserve">The label is </w:t>
      </w:r>
      <w:r>
        <w:rPr>
          <w:b/>
          <w:bCs/>
        </w:rPr>
        <w:t xml:space="preserve">applied manually</w:t>
      </w:r>
      <w:r>
        <w:t xml:space="preserve"> by users. Automatic and recommended labeling are not configured.</w:t>
      </w:r>
    </w:p>
    <w:p>
      <w:pPr>
        <w:pStyle w:val="ListTA"/>
      </w:pPr>
      <w:r>
        <w:t xml:space="preserve">The label’s marking and encryption behavior is proposed by Essendis and signed off by WMP; the agreed settings are recorded in the Configuration Document.</w:t>
      </w:r>
    </w:p>
    <w:p>
      <w:pPr>
        <w:pStyle w:val="Heading3"/>
      </w:pPr>
      <w:bookmarkStart w:id="2422" w:name="_Toc238480022"/>
      <w:r>
        <w:t xml:space="preserve">Data Loss Prevention</w:t>
      </w:r>
      <w:bookmarkEnd w:id="2422"/>
    </w:p>
    <w:p>
      <w:pPr>
        <w:pStyle w:val="ListTA"/>
      </w:pPr>
      <w:r>
        <w:t xml:space="preserve">A DLP policy </w:t>
      </w:r>
      <w:r>
        <w:rPr>
          <w:b/>
          <w:bCs/>
        </w:rPr>
        <w:t xml:space="preserve">blocks</w:t>
      </w:r>
      <w:r>
        <w:t xml:space="preserve"> sharing of content carrying the CUI label. The policy covers </w:t>
      </w:r>
      <w:r>
        <w:rPr>
          <w:b/>
          <w:bCs/>
        </w:rPr>
        <w:t xml:space="preserve">Exchange Online, Microsoft Teams, SharePoint Online, and OneDrive</w:t>
      </w:r>
      <w:r>
        <w:t xml:space="preserve">.</w:t>
      </w:r>
    </w:p>
    <w:p>
      <w:pPr>
        <w:pStyle w:val="ListTA"/>
      </w:pPr>
      <w:r>
        <w:t xml:space="preserve">Blocking is enforced rather than advisory; policy tips inform the user of the reason.</w:t>
      </w:r>
    </w:p>
    <w:p>
      <w:pPr>
        <w:pStyle w:val="Heading3"/>
      </w:pPr>
      <w:bookmarkStart w:id="2423" w:name="_Toc238480023"/>
      <w:r>
        <w:t xml:space="preserve">Endpoint DLP</w:t>
      </w:r>
      <w:bookmarkEnd w:id="2423"/>
    </w:p>
    <w:p>
      <w:pPr>
        <w:pStyle w:val="ListTA"/>
      </w:pPr>
      <w:r>
        <w:t xml:space="preserve">Endpoint DLP is </w:t>
      </w:r>
      <w:r>
        <w:rPr>
          <w:b/>
          <w:bCs/>
        </w:rPr>
        <w:t xml:space="preserve">in scope</w:t>
      </w:r>
      <w:r>
        <w:t xml:space="preserve"> and is enabled on managed Windows endpoints for content carrying the CUI label.</w:t>
      </w:r>
    </w:p>
    <w:p>
      <w:pPr>
        <w:pStyle w:val="ListTA"/>
      </w:pPr>
      <w:r>
        <w:t xml:space="preserve">Endpoint restrictions — removable media, printing, and clipboard transfer — are proposed by Essendis for WMP sign-off. These restrictions operate alongside the removable-media policy described under Windows Endpoint Management.</w:t>
      </w:r>
    </w:p>
    <w:p>
      <w:pPr>
        <w:pStyle w:val="Heading3"/>
      </w:pPr>
      <w:bookmarkStart w:id="2424" w:name="_Toc238480024"/>
      <w:r>
        <w:t xml:space="preserve">Message Encryption</w:t>
      </w:r>
      <w:bookmarkEnd w:id="2424"/>
    </w:p>
    <w:p>
      <w:pPr>
        <w:pStyle w:val="BodyText"/>
      </w:pPr>
      <w:r>
        <w:t xml:space="preserve">Microsoft Purview Message Encryption is deployed for protected external mail.</w:t>
      </w:r>
    </w:p>
    <w:p>
      <w:pPr>
        <w:pStyle w:val="Heading3"/>
      </w:pPr>
      <w:bookmarkStart w:id="2425" w:name="_Toc238480025"/>
      <w:r>
        <w:t xml:space="preserve">Excluded from this design</w:t>
      </w:r>
      <w:bookmarkEnd w:id="2425"/>
    </w:p>
    <w:p>
      <w:pPr>
        <w:pStyle w:val="BodyText"/>
      </w:pPr>
      <w:r>
        <w:t xml:space="preserve">Communication Compliance, insider risk management, organization-wide retention and disposition, and CMMC control mapping and evidence production are out of scope (see Scope). Licensing for the controls above is provided by the Defender and Purview Suite GCC High add-on and the F5 Security + Compliance add-on (see Licensing).</w:t>
      </w:r>
    </w:p>
    <w:p w14:paraId="525A22B3" w14:textId="77777777" w:rsidR="0036471E" w:rsidRDefault="0036471E">
      <w:pPr>
        <w:rPr>
          <w:rFonts w:asciiTheme="majorHAnsi" w:hAnsiTheme="majorHAnsi" w:cstheme="majorHAnsi"/>
          <w:color w:val="494949" w:themeColor="text2" w:themeTint="BF"/>
          <w:sz w:val="40"/>
          <w:szCs w:val="48"/>
        </w:rPr>
      </w:pPr>
      <w:r>
        <w:br w:type="page"/>
      </w:r>
    </w:p>
    <w:p>
      <w:pPr>
        <w:pStyle w:val="Heading2"/>
      </w:pPr>
      <w:bookmarkStart w:id="2277" w:name="_Toc238471029"/>
      <w:r>
        <w:t>Teams Voice – CallTower Integration</w:t>
      </w:r>
      <w:bookmarkEnd w:id="2277"/>
    </w:p>
    <w:p>
      <w:pPr>
        <w:pStyle w:val="BodyText"/>
      </w:pPr>
      <w:r>
        <w:t>Teams Phone will be enabled in the GCC High tenant with CallTower as the telephony provider. CallTower supplies PSTN carriage, number ranges, and the carrier-side infrastructure that connects the GCC High tenant to the public telephone network; Microsoft Teams remains the client and the call control platform. Teams Phone licensing will be enabled for in-scope users. Voice configuration is dependent on the Teams workload being provisioned in the Microsoft 365 workstream and on CallTower confirming GCC High compatibility before configuration begins. WMP will provide the CallTower account details and technical contact, and CallTower will provide the technical specifications used to build the connection.</w:t>
      </w:r>
    </w:p>
    <w:p>
      <w:pPr>
        <w:pStyle w:val="Heading3"/>
      </w:pPr>
      <w:bookmarkStart w:id="2426" w:name="_Toc238480026"/>
      <w:r>
        <w:t xml:space="preserve">Connectivity Model</w:t>
      </w:r>
      <w:bookmarkEnd w:id="2426"/>
    </w:p>
    <w:p>
      <w:pPr>
        <w:pStyle w:val="BodyText"/>
      </w:pPr>
      <w:r>
        <w:t xml:space="preserve">Teams Phone will be delivered using </w:t>
      </w:r>
      <w:r>
        <w:rPr>
          <w:b/>
          <w:bCs/>
        </w:rPr>
        <w:t xml:space="preserve">Direct Routing through CallTower</w:t>
      </w:r>
      <w:r>
        <w:t xml:space="preserve">. Operator Connect was evaluated and is not used. Commercial terms for the CallTower service are outside the scope of this document.</w:t>
      </w:r>
    </w:p>
    <w:p>
      <w:pPr>
        <w:pStyle w:val="ListTA"/>
      </w:pPr>
      <w:r>
        <w:t xml:space="preserve">A CallTower session border controller is paired to the GCC High tenant. Voice routes, PSTN usages, and gateway settings are configured jointly by Essendis and CallTower.</w:t>
      </w:r>
    </w:p>
    <w:p>
      <w:pPr>
        <w:pStyle w:val="ListTA"/>
      </w:pPr>
      <w:r>
        <w:t xml:space="preserve">The session border controller’s fully qualified domain name must belong to a verified domain in the tenant. </w:t>
      </w:r>
      <w:r>
        <w:rPr>
          <w:b/>
          <w:bCs/>
        </w:rPr>
        <w:t xml:space="preserve">The domain used for the SBC FQDN and ownership of the associated certificate are settled with CallTower during integration planning</w:t>
      </w:r>
      <w:r>
        <w:t xml:space="preserve">, before any tenant-side voice configuration is performed.</w:t>
      </w:r>
    </w:p>
    <w:p>
      <w:pPr>
        <w:pStyle w:val="ListTA"/>
      </w:pPr>
      <w:r>
        <w:t xml:space="preserve">CallTower’s GCC High Direct Routing specification is obtained before configuration begins and governs the build.</w:t>
      </w:r>
    </w:p>
    <w:p>
      <w:pPr>
        <w:pStyle w:val="BodyText"/>
      </w:pPr>
      <w:r>
        <w:t xml:space="preserve">Dial plans and voice routing policies will be configured for Direct Routing and applied to in-scope users.</w:t>
      </w:r>
    </w:p>
    <w:p>
      <w:pPr>
        <w:pStyle w:val="Heading3"/>
      </w:pPr>
      <w:bookmarkStart w:id="2279" w:name="_Toc238471031"/>
      <w:r>
        <w:t>Numbering and Number Porting</w:t>
      </w:r>
      <w:bookmarkEnd w:id="2279"/>
    </w:p>
    <w:p>
      <w:pPr>
        <w:pStyle w:val="BodyText"/>
      </w:pPr>
      <w:r>
        <w:t>A full inventory of existing numbering will be produced before any porting activity, covering all DIDs, auto attendants, and hunt groups currently in use. The inventory defines the porting order and identifies numbers that are assigned to services rather than to people.</w:t>
      </w:r>
    </w:p>
    <w:p>
      <w:pPr>
        <w:pStyle w:val="ListTA"/>
      </w:pPr>
      <w:r>
        <w:t>Phone numbers will be assigned to users and to shared calling resources after porting is confirmed.</w:t>
      </w:r>
    </w:p>
    <w:p>
      <w:pPr>
        <w:pStyle w:val="ListTA"/>
      </w:pPr>
      <w:r>
        <w:t>Porting will be scheduled with CallTower and aligned to the migration cutover window so that number transitions and DNS changes do not overlap in a way that disrupts calling.</w:t>
      </w:r>
    </w:p>
    <w:p>
      <w:pPr>
        <w:pStyle w:val="BodyText"/>
      </w:pPr>
      <w:r>
        <w:t xml:space="preserve">Phone service is licensed for </w:t>
      </w:r>
      <w:r>
        <w:rPr>
          <w:b/>
          <w:bCs/>
        </w:rPr>
        <w:t xml:space="preserve">70 users</w:t>
      </w:r>
      <w:r>
        <w:t xml:space="preserve">: the 55 Teams Phone Standard GCC High licenses plus the 15 Microsoft 365 G5 users, whose license includes Teams Phone. The </w:t>
      </w:r>
      <w:r>
        <w:rPr>
          <w:b/>
          <w:bCs/>
        </w:rPr>
        <w:t xml:space="preserve">80 frontline (F3) users receive no phone service</w:t>
      </w:r>
      <w:r>
        <w:t xml:space="preserve"> and no DID.</w:t>
      </w:r>
    </w:p>
    <w:p>
      <w:pPr>
        <w:pStyle w:val="BodyText"/>
      </w:pPr>
      <w:r>
        <w:t xml:space="preserve">The number and DID inventory, the current carrier and contract detail, and the signed porting Letter of Agency are produced during </w:t>
      </w:r>
      <w:r>
        <w:rPr>
          <w:b/>
          <w:bCs/>
        </w:rPr>
        <w:t xml:space="preserve">CallTower pre-integration planning</w:t>
      </w:r>
      <w:r>
        <w:t xml:space="preserve">. Until that inventory exists, the porting order and the split between user DIDs and service numbers are TBD.</w:t>
      </w:r>
    </w:p>
    <w:p>
      <w:pPr>
        <w:pStyle w:val="BodyText"/>
      </w:pPr>
      <w:commentRangeStart w:id="2086"/>
      <w:r>
        <w:t xml:space="preserve">The number and DID inventory is recorded as follows:</w:t>
      </w:r>
      <w:commentRangeEnd w:id="2086"/>
      <w:r>
        <w:rPr>
          <w:rStyle w:val="CommentReference"/>
        </w:rPr>
        <w:commentReference w:id="2086"/>
      </w:r>
    </w:p>
    <w:tbl>
      <w:tblPr>
        <w:tblStyle w:val="TableGrid"/>
        <w:tblW w:w="0" w:type="auto"/>
        <w:tblLook w:val="04A0" w:firstRow="1" w:lastRow="0" w:firstColumn="1" w:lastColumn="0" w:noHBand="0" w:noVBand="1"/>
      </w:tblPr>
      <w:tblGrid>
        <w:gridCol w:w="2600"/>
        <w:gridCol w:w="2400"/>
        <w:gridCol w:w="3470"/>
        <w:gridCol w:w="1600"/>
      </w:tblGrid>
      <w:tr>
        <w:tc>
          <w:tcPr>
            <w:tcW w:w="2600" w:type="dxa"/>
          </w:tcPr>
          <w:p>
            <w:pPr>
              <w:spacing w:line="360" w:lineRule="auto"/>
              <w:rPr>
                <w:b/>
                <w:bCs/>
                <w:sz w:val="21"/>
                <w:szCs w:val="21"/>
              </w:rPr>
            </w:pPr>
            <w:r>
              <w:rPr>
                <w:b/>
                <w:bCs/>
                <w:sz w:val="21"/>
                <w:szCs w:val="21"/>
              </w:rPr>
              <w:t xml:space="preserve">Number/DID</w:t>
            </w:r>
          </w:p>
        </w:tc>
        <w:tc>
          <w:tcPr>
            <w:tcW w:w="2400" w:type="dxa"/>
          </w:tcPr>
          <w:p>
            <w:pPr>
              <w:spacing w:line="360" w:lineRule="auto"/>
              <w:rPr>
                <w:b/>
                <w:bCs/>
                <w:sz w:val="21"/>
                <w:szCs w:val="21"/>
              </w:rPr>
            </w:pPr>
            <w:r>
              <w:rPr>
                <w:b/>
                <w:bCs/>
                <w:sz w:val="21"/>
                <w:szCs w:val="21"/>
              </w:rPr>
              <w:t xml:space="preserve">Assigned to</w:t>
            </w:r>
          </w:p>
        </w:tc>
        <w:tc>
          <w:tcPr>
            <w:tcW w:w="3470" w:type="dxa"/>
          </w:tcPr>
          <w:p>
            <w:pPr>
              <w:spacing w:line="360" w:lineRule="auto"/>
              <w:rPr>
                <w:b/>
                <w:bCs/>
                <w:sz w:val="21"/>
                <w:szCs w:val="21"/>
              </w:rPr>
            </w:pPr>
            <w:r>
              <w:rPr>
                <w:b/>
                <w:bCs/>
                <w:sz w:val="21"/>
                <w:szCs w:val="21"/>
              </w:rPr>
              <w:t xml:space="preserve">Type (user/AA/queue/fax)</w:t>
            </w:r>
          </w:p>
        </w:tc>
        <w:tc>
          <w:tcPr>
            <w:tcW w:w="1600" w:type="dxa"/>
          </w:tcPr>
          <w:p>
            <w:pPr>
              <w:spacing w:line="360" w:lineRule="auto"/>
              <w:rPr>
                <w:b/>
                <w:bCs/>
                <w:sz w:val="21"/>
                <w:szCs w:val="21"/>
              </w:rPr>
            </w:pPr>
            <w:r>
              <w:rPr>
                <w:b/>
                <w:bCs/>
                <w:sz w:val="21"/>
                <w:szCs w:val="21"/>
              </w:rPr>
              <w:t xml:space="preserve">Port?</w:t>
            </w:r>
          </w:p>
        </w:tc>
      </w:tr>
      <w:tr>
        <w:tc>
          <w:tcPr>
            <w:tcW w:w="2600" w:type="dxa"/>
          </w:tcPr>
          <w:p>
            <w:pPr>
              <w:spacing w:line="360" w:lineRule="auto"/>
              <w:rPr>
                <w:i/>
                <w:iCs/>
                <w:sz w:val="21"/>
                <w:szCs w:val="21"/>
              </w:rPr>
            </w:pPr>
            <w:r>
              <w:rPr>
                <w:i/>
                <w:iCs/>
                <w:sz w:val="21"/>
                <w:szCs w:val="21"/>
              </w:rPr>
              <w:t xml:space="preserve">e.g., +1 262 555 0142</w:t>
            </w:r>
          </w:p>
        </w:tc>
        <w:tc>
          <w:tcPr>
            <w:tcW w:w="2400" w:type="dxa"/>
          </w:tcPr>
          <w:p>
            <w:pPr>
              <w:spacing w:line="360" w:lineRule="auto"/>
              <w:rPr>
                <w:i/>
                <w:iCs/>
                <w:sz w:val="21"/>
                <w:szCs w:val="21"/>
              </w:rPr>
            </w:pPr>
            <w:r>
              <w:rPr>
                <w:i/>
                <w:iCs/>
                <w:sz w:val="21"/>
                <w:szCs w:val="21"/>
              </w:rPr>
              <w:t xml:space="preserve">(name)</w:t>
            </w:r>
          </w:p>
        </w:tc>
        <w:tc>
          <w:tcPr>
            <w:tcW w:w="3470" w:type="dxa"/>
          </w:tcPr>
          <w:p>
            <w:pPr>
              <w:spacing w:line="360" w:lineRule="auto"/>
              <w:rPr>
                <w:i/>
                <w:iCs/>
                <w:sz w:val="21"/>
                <w:szCs w:val="21"/>
              </w:rPr>
            </w:pPr>
            <w:r>
              <w:rPr>
                <w:i/>
                <w:iCs/>
                <w:sz w:val="21"/>
                <w:szCs w:val="21"/>
              </w:rPr>
              <w:t xml:space="preserve">User</w:t>
            </w:r>
          </w:p>
        </w:tc>
        <w:tc>
          <w:tcPr>
            <w:tcW w:w="1600" w:type="dxa"/>
          </w:tcPr>
          <w:p>
            <w:pPr>
              <w:spacing w:line="360" w:lineRule="auto"/>
              <w:rPr>
                <w:i/>
                <w:iCs/>
                <w:sz w:val="21"/>
                <w:szCs w:val="21"/>
              </w:rPr>
            </w:pPr>
            <w:r>
              <w:rPr>
                <w:i/>
                <w:iCs/>
                <w:sz w:val="21"/>
                <w:szCs w:val="21"/>
              </w:rPr>
              <w:t xml:space="preserve">Yes</w:t>
            </w:r>
          </w:p>
        </w:tc>
      </w:tr>
      <w:tr>
        <w:tc>
          <w:tcPr>
            <w:tcW w:w="2600" w:type="dxa"/>
          </w:tcPr>
          <w:p>
            <w:pPr>
              <w:spacing w:line="360" w:lineRule="auto"/>
              <w:rPr>
                <w:sz w:val="21"/>
                <w:szCs w:val="21"/>
              </w:rPr>
            </w:pPr>
          </w:p>
        </w:tc>
        <w:tc>
          <w:tcPr>
            <w:tcW w:w="2400" w:type="dxa"/>
          </w:tcPr>
          <w:p>
            <w:pPr>
              <w:spacing w:line="360" w:lineRule="auto"/>
              <w:rPr>
                <w:sz w:val="21"/>
                <w:szCs w:val="21"/>
              </w:rPr>
            </w:pPr>
          </w:p>
        </w:tc>
        <w:tc>
          <w:tcPr>
            <w:tcW w:w="3470" w:type="dxa"/>
          </w:tcPr>
          <w:p>
            <w:pPr>
              <w:spacing w:line="360" w:lineRule="auto"/>
              <w:rPr>
                <w:sz w:val="21"/>
                <w:szCs w:val="21"/>
              </w:rPr>
            </w:pPr>
          </w:p>
        </w:tc>
        <w:tc>
          <w:tcPr>
            <w:tcW w:w="1600" w:type="dxa"/>
          </w:tcPr>
          <w:p>
            <w:pPr>
              <w:spacing w:line="360" w:lineRule="auto"/>
              <w:rPr>
                <w:sz w:val="21"/>
                <w:szCs w:val="21"/>
              </w:rPr>
            </w:pPr>
          </w:p>
        </w:tc>
      </w:tr>
      <w:tr>
        <w:tc>
          <w:tcPr>
            <w:tcW w:w="2600" w:type="dxa"/>
          </w:tcPr>
          <w:p>
            <w:pPr>
              <w:spacing w:line="360" w:lineRule="auto"/>
              <w:rPr>
                <w:sz w:val="21"/>
                <w:szCs w:val="21"/>
              </w:rPr>
            </w:pPr>
          </w:p>
        </w:tc>
        <w:tc>
          <w:tcPr>
            <w:tcW w:w="2400" w:type="dxa"/>
          </w:tcPr>
          <w:p>
            <w:pPr>
              <w:spacing w:line="360" w:lineRule="auto"/>
              <w:rPr>
                <w:sz w:val="21"/>
                <w:szCs w:val="21"/>
              </w:rPr>
            </w:pPr>
          </w:p>
        </w:tc>
        <w:tc>
          <w:tcPr>
            <w:tcW w:w="3470" w:type="dxa"/>
          </w:tcPr>
          <w:p>
            <w:pPr>
              <w:spacing w:line="360" w:lineRule="auto"/>
              <w:rPr>
                <w:sz w:val="21"/>
                <w:szCs w:val="21"/>
              </w:rPr>
            </w:pPr>
          </w:p>
        </w:tc>
        <w:tc>
          <w:tcPr>
            <w:tcW w:w="1600" w:type="dxa"/>
          </w:tcPr>
          <w:p>
            <w:pPr>
              <w:spacing w:line="360" w:lineRule="auto"/>
              <w:rPr>
                <w:sz w:val="21"/>
                <w:szCs w:val="21"/>
              </w:rPr>
            </w:pPr>
          </w:p>
        </w:tc>
      </w:tr>
      <w:tr>
        <w:tc>
          <w:tcPr>
            <w:tcW w:w="2600" w:type="dxa"/>
          </w:tcPr>
          <w:p>
            <w:pPr>
              <w:spacing w:line="360" w:lineRule="auto"/>
              <w:rPr>
                <w:sz w:val="21"/>
                <w:szCs w:val="21"/>
              </w:rPr>
            </w:pPr>
          </w:p>
        </w:tc>
        <w:tc>
          <w:tcPr>
            <w:tcW w:w="2400" w:type="dxa"/>
          </w:tcPr>
          <w:p>
            <w:pPr>
              <w:spacing w:line="360" w:lineRule="auto"/>
              <w:rPr>
                <w:sz w:val="21"/>
                <w:szCs w:val="21"/>
              </w:rPr>
            </w:pPr>
          </w:p>
        </w:tc>
        <w:tc>
          <w:tcPr>
            <w:tcW w:w="3470" w:type="dxa"/>
          </w:tcPr>
          <w:p>
            <w:pPr>
              <w:spacing w:line="360" w:lineRule="auto"/>
              <w:rPr>
                <w:sz w:val="21"/>
                <w:szCs w:val="21"/>
              </w:rPr>
            </w:pPr>
          </w:p>
        </w:tc>
        <w:tc>
          <w:tcPr>
            <w:tcW w:w="1600" w:type="dxa"/>
          </w:tcPr>
          <w:p>
            <w:pPr>
              <w:spacing w:line="360" w:lineRule="auto"/>
              <w:rPr>
                <w:sz w:val="21"/>
                <w:szCs w:val="21"/>
              </w:rPr>
            </w:pPr>
          </w:p>
        </w:tc>
      </w:tr>
    </w:tbl>
    <w:p>
      <w:pPr>
        <w:pStyle w:val="Heading3"/>
      </w:pPr>
      <w:bookmarkStart w:id="2427" w:name="_Toc238480027"/>
      <w:r>
        <w:t xml:space="preserve">Emergency Calling (E911)</w:t>
      </w:r>
      <w:bookmarkEnd w:id="2427"/>
    </w:p>
    <w:p>
      <w:pPr>
        <w:pStyle w:val="BodyText"/>
      </w:pPr>
      <w:r>
        <w:rPr>
          <w:b/>
          <w:bCs/>
        </w:rPr>
        <w:t xml:space="preserve">Emergency calling is delivered and configured by CallTower</w:t>
      </w:r>
      <w:r>
        <w:t xml:space="preserve"> as part of the Direct Routing service. CallTower registers and validates the emergency address for each of WMP’s three physical locations and operates the emergency call routing path.</w:t>
      </w:r>
    </w:p>
    <w:p>
      <w:pPr>
        <w:pStyle w:val="ListTA"/>
      </w:pPr>
      <w:r>
        <w:t xml:space="preserve">Tenant-side emergency policies are configured only where CallTower’s specification requires them; no independent tenant-side emergency routing design is produced.</w:t>
      </w:r>
    </w:p>
    <w:p>
      <w:pPr>
        <w:pStyle w:val="ListTA"/>
      </w:pPr>
      <w:r>
        <w:rPr>
          <w:b/>
          <w:bCs/>
        </w:rPr>
        <w:t xml:space="preserve">Essendis validates the service by placing a test call from each physical location</w:t>
      </w:r>
      <w:r>
        <w:t xml:space="preserve"> before the voice workstream is closed.</w:t>
      </w:r>
    </w:p>
    <w:p>
      <w:pPr>
        <w:pStyle w:val="ListTA"/>
      </w:pPr>
      <w:r>
        <w:t xml:space="preserve">Emergency address accuracy for the third site is confirmed once that site reaches operational readiness.</w:t>
      </w:r>
    </w:p>
    <w:p>
      <w:pPr>
        <w:pStyle w:val="Heading3"/>
      </w:pPr>
      <w:bookmarkStart w:id="2281" w:name="_Toc238471033"/>
      <w:r>
        <w:t>Voice Features</w:t>
      </w:r>
      <w:bookmarkEnd w:id="2281"/>
    </w:p>
    <w:p>
      <w:pPr>
        <w:pStyle w:val="BodyText"/>
      </w:pPr>
      <w:r>
        <w:t>Only call routing features WMP uses today will be rebuilt in GCC High. The in-use feature set will be confirmed with WMP during pre-integration planning; no new voice applications are introduced by this design.</w:t>
      </w:r>
    </w:p>
    <w:p>
      <w:pPr>
        <w:pStyle w:val="ListTA"/>
      </w:pPr>
      <w:r>
        <w:rPr>
          <w:b/>
          <w:bCs/>
        </w:rPr>
        <w:t>Auto attendants and call queues:</w:t>
      </w:r>
      <w:r>
        <w:t xml:space="preserve"> rebuilt where currently in use. Each auto attendant and call queue requires a resource account in the GCC High tenant with an assigned service number.</w:t>
      </w:r>
    </w:p>
    <w:p>
      <w:pPr>
        <w:pStyle w:val="ListTA"/>
      </w:pPr>
      <w:r>
        <w:rPr>
          <w:b/>
          <w:bCs/>
        </w:rPr>
        <w:t>Voicemail:</w:t>
      </w:r>
      <w:r>
        <w:t xml:space="preserve"> enabled for in-scope users; delivery and retrieval validated as part of telephony testing.</w:t>
      </w:r>
    </w:p>
    <w:p>
      <w:pPr>
        <w:pStyle w:val="ListTA"/>
      </w:pPr>
      <w:r>
        <w:rPr>
          <w:b/>
          <w:bCs/>
        </w:rPr>
        <w:t>Call forwarding:</w:t>
      </w:r>
      <w:r>
        <w:t xml:space="preserve"> validated against existing routing behavior.</w:t>
      </w:r>
    </w:p>
    <w:p>
      <w:pPr>
        <w:pStyle w:val="Heading3"/>
      </w:pPr>
      <w:bookmarkStart w:id="2282" w:name="_Toc238471034"/>
      <w:r>
        <w:t>Prerequisites and Cutover Sequencing</w:t>
      </w:r>
      <w:bookmarkEnd w:id="2282"/>
    </w:p>
    <w:p>
      <w:pPr>
        <w:pStyle w:val="BodyText"/>
      </w:pPr>
      <w:r>
        <w:t>Voice integration follows the Microsoft 365 configuration and user migration work rather than running in parallel with it.</w:t>
      </w:r>
    </w:p>
    <w:p>
      <w:pPr>
        <w:pStyle w:val="ListTA"/>
      </w:pPr>
      <w:r>
        <w:t>Tenant initialization, domain verification, and Teams provisioning must be complete before Teams Phone configuration begins.</w:t>
      </w:r>
    </w:p>
    <w:p>
      <w:pPr>
        <w:pStyle w:val="ListTA"/>
      </w:pPr>
      <w:r>
        <w:t>CallTower technical specifications and GCC High compatibility confirmation are prerequisites to configuring the connection.</w:t>
      </w:r>
    </w:p>
    <w:p>
      <w:pPr>
        <w:pStyle w:val="ListTA"/>
      </w:pPr>
      <w:r>
        <w:t>DNS cutover timing will be coordinated with CallTower so that call flow is not disrupted during the migration cutover window.</w:t>
      </w:r>
    </w:p>
    <w:p>
      <w:pPr>
        <w:pStyle w:val="ListTA"/>
      </w:pPr>
      <w:r>
        <w:t>Telephony validation covers inbound PSTN calling to the GCC High Teams client, outbound PSTN calling, voicemail, call forwarding and auto attendant routing, and emergency calling from each location. All validation items must pass before voice is considered in production.</w:t>
      </w:r>
    </w:p>
    <w:p>
      <w:pPr>
        <w:pStyle w:val="Heading3"/>
      </w:pPr>
      <w:bookmarkStart w:id="2283" w:name="_Toc238471035"/>
      <w:r>
        <w:t>CMMC Shared Responsibility Matrix</w:t>
      </w:r>
      <w:bookmarkEnd w:id="2283"/>
    </w:p>
    <w:p>
      <w:pPr>
        <w:pStyle w:val="BodyText"/>
      </w:pPr>
      <w:r>
        <w:t>A Shared Responsibility Matrix will be obtained from CallTower documenting CallTower’s responsibilities within the CMMC boundary. The draft will be reviewed with WMP to confirm that voice calls fall outside CMMC CUI scope, and the signed matrix will be delivered to WMP for inclusion in the CMMC evidence package. If CallTower cannot supply the matrix, Essendis will draft the artifact and obtain CallTower sign-off; this alternative may require a change request.</w:t>
      </w:r>
    </w:p>
    <w:p>
      <w:pPr>
        <w:pStyle w:val="Heading3"/>
      </w:pPr>
      <w:bookmarkStart w:id="2284" w:name="_Toc238471036"/>
      <w:r>
        <w:t>Administration and Support</w:t>
      </w:r>
      <w:bookmarkEnd w:id="2284"/>
    </w:p>
    <w:tbl>
      <w:tblPr>
        <w:tblStyle w:val="TableGrid"/>
        <w:tblW w:w="0" w:type="auto"/>
        <w:tblLook w:val="04A0" w:firstRow="1" w:lastRow="0" w:firstColumn="1" w:lastColumn="0" w:noHBand="0" w:noVBand="1"/>
      </w:tblPr>
      <w:tblGrid>
        <w:gridCol w:w="7000"/>
        <w:gridCol w:w="3070"/>
      </w:tblGrid>
      <w:tr>
        <w:tc>
          <w:tcPr>
            <w:tcW w:w="7000" w:type="dxa"/>
          </w:tcPr>
          <w:p>
            <w:pPr>
              <w:spacing w:line="360" w:lineRule="auto"/>
              <w:rPr>
                <w:b/>
                <w:bCs/>
                <w:sz w:val="21"/>
                <w:szCs w:val="21"/>
              </w:rPr>
            </w:pPr>
            <w:r>
              <w:rPr>
                <w:b/>
                <w:bCs/>
                <w:sz w:val="21"/>
                <w:szCs w:val="21"/>
              </w:rPr>
              <w:t>Function</w:t>
            </w:r>
          </w:p>
        </w:tc>
        <w:tc>
          <w:tcPr>
            <w:tcW w:w="3070" w:type="dxa"/>
          </w:tcPr>
          <w:p>
            <w:pPr>
              <w:spacing w:line="360" w:lineRule="auto"/>
              <w:rPr>
                <w:b/>
                <w:bCs/>
                <w:sz w:val="21"/>
                <w:szCs w:val="21"/>
              </w:rPr>
            </w:pPr>
            <w:r>
              <w:rPr>
                <w:b/>
                <w:bCs/>
                <w:sz w:val="21"/>
                <w:szCs w:val="21"/>
              </w:rPr>
              <w:t>Owner</w:t>
            </w:r>
          </w:p>
        </w:tc>
      </w:tr>
      <w:tr>
        <w:tc>
          <w:tcPr>
            <w:tcW w:w="7000" w:type="dxa"/>
          </w:tcPr>
          <w:p>
            <w:pPr>
              <w:spacing w:line="360" w:lineRule="auto"/>
              <w:rPr>
                <w:sz w:val="21"/>
                <w:szCs w:val="21"/>
              </w:rPr>
            </w:pPr>
            <w:r>
              <w:rPr>
                <w:sz w:val="21"/>
                <w:szCs w:val="21"/>
              </w:rPr>
              <w:t>PSTN carriage, number ranges, carrier infrastructure, porting execution</w:t>
            </w:r>
          </w:p>
        </w:tc>
        <w:tc>
          <w:tcPr>
            <w:tcW w:w="3070" w:type="dxa"/>
          </w:tcPr>
          <w:p>
            <w:pPr>
              <w:spacing w:line="360" w:lineRule="auto"/>
              <w:rPr>
                <w:sz w:val="21"/>
                <w:szCs w:val="21"/>
              </w:rPr>
            </w:pPr>
            <w:r>
              <w:rPr>
                <w:sz w:val="21"/>
                <w:szCs w:val="21"/>
              </w:rPr>
              <w:t>CallTower</w:t>
            </w:r>
          </w:p>
        </w:tc>
      </w:tr>
      <w:tr>
        <w:tc>
          <w:tcPr>
            <w:tcW w:w="7000" w:type="dxa"/>
          </w:tcPr>
          <w:p>
            <w:pPr>
              <w:spacing w:line="360" w:lineRule="auto"/>
              <w:rPr>
                <w:sz w:val="21"/>
                <w:szCs w:val="21"/>
              </w:rPr>
            </w:pPr>
            <w:r>
              <w:rPr>
                <w:sz w:val="21"/>
                <w:szCs w:val="21"/>
              </w:rPr>
              <w:t>Teams Phone tenant configuration: licensing, dial plans, voice routing policies, number assignment, emergency locations</w:t>
            </w:r>
          </w:p>
        </w:tc>
        <w:tc>
          <w:tcPr>
            <w:tcW w:w="3070" w:type="dxa"/>
          </w:tcPr>
          <w:p>
            <w:pPr>
              <w:spacing w:line="360" w:lineRule="auto"/>
              <w:rPr>
                <w:sz w:val="21"/>
                <w:szCs w:val="21"/>
              </w:rPr>
            </w:pPr>
            <w:r>
              <w:rPr>
                <w:sz w:val="21"/>
                <w:szCs w:val="21"/>
              </w:rPr>
              <w:t>Essendis, with CallTower</w:t>
            </w:r>
          </w:p>
        </w:tc>
      </w:tr>
      <w:tr>
        <w:tc>
          <w:tcPr>
            <w:tcW w:w="7000" w:type="dxa"/>
          </w:tcPr>
          <w:p>
            <w:pPr>
              <w:spacing w:line="360" w:lineRule="auto"/>
              <w:rPr>
                <w:sz w:val="21"/>
                <w:szCs w:val="21"/>
              </w:rPr>
            </w:pPr>
            <w:r>
              <w:rPr>
                <w:sz w:val="21"/>
                <w:szCs w:val="21"/>
              </w:rPr>
              <w:t>CallTower account and contract ownership, feature confirmation, user acceptance testing</w:t>
            </w:r>
          </w:p>
        </w:tc>
        <w:tc>
          <w:tcPr>
            <w:tcW w:w="3070" w:type="dxa"/>
          </w:tcPr>
          <w:p>
            <w:pPr>
              <w:spacing w:line="360" w:lineRule="auto"/>
              <w:rPr>
                <w:sz w:val="21"/>
                <w:szCs w:val="21"/>
              </w:rPr>
            </w:pPr>
            <w:r>
              <w:rPr>
                <w:sz w:val="21"/>
                <w:szCs w:val="21"/>
              </w:rPr>
              <w:t>WMP</w:t>
            </w:r>
          </w:p>
        </w:tc>
      </w:tr>
    </w:tbl>
    <w:p>
      <w:pPr>
        <w:pStyle w:val="BodyText"/>
      </w:pPr>
      <w:r>
        <w:t>Day-to-day tenant voice administration transfers to WMP at handoff. Essendis remains engaged through the post-migration support window. Carrier-side faults, number changes, and porting requests are raised directly to CallTower.</w:t>
      </w:r>
    </w:p>
    <w:p>
      <w:pPr>
        <w:pStyle w:val="Heading2"/>
      </w:pPr>
      <w:bookmarkStart w:id="2285" w:name="_Toc238471037"/>
      <w:r>
        <w:t>Mobile Device Management (Intune)</w:t>
      </w:r>
      <w:bookmarkEnd w:id="2285"/>
    </w:p>
    <w:p>
      <w:pPr>
        <w:pStyle w:val="BodyText"/>
      </w:pPr>
      <w:r>
        <w:t xml:space="preserve">Corporate-owned iOS and Android devices will be managed with Microsoft Intune in the GCC High tenant. </w:t>
      </w:r>
      <w:r>
        <w:rPr>
          <w:b/>
          <w:bCs/>
        </w:rPr>
        <w:t xml:space="preserve">This is a greenfield deployment: WMP has no corporate mobile devices in service today.</w:t>
      </w:r>
      <w:r>
        <w:t xml:space="preserve"> The planned fleet is </w:t>
      </w:r>
      <w:r>
        <w:rPr>
          <w:b/>
          <w:bCs/>
        </w:rPr>
        <w:t xml:space="preserve">fewer than 40 devices</w:t>
      </w:r>
      <w:r>
        <w:t xml:space="preserve"> in total, across iOS and Android; the split by platform is confirmed before rollout. Personal devices are out of scope: </w:t>
      </w:r>
      <w:r>
        <w:rPr>
          <w:b/>
          <w:bCs/>
        </w:rPr>
        <w:t xml:space="preserve">BYOD will not be supported</w:t>
      </w:r>
      <w:r>
        <w:t xml:space="preserve">, enrollment restrictions enforce a corporate-owned only posture, and no bring-your-own access path is provided. Windows endpoint policies, compliance definitions, and enrollment configuration are delivered under Windows Endpoint Management and use the same compliance and Conditional Access model described here, so that Windows and mobile endpoints are governed by a single device compliance gate. Device refresh and retirement planning is out of scope; the operational process for lost or stolen devices is WMP-owned after handoff, using the Intune wipe and retire actions.</w:t>
      </w:r>
    </w:p>
    <w:p>
      <w:pPr>
        <w:pStyle w:val="Heading3"/>
      </w:pPr>
      <w:bookmarkStart w:id="2428" w:name="_Toc238480028"/>
      <w:r>
        <w:t xml:space="preserve">MDM Platform Setup</w:t>
      </w:r>
      <w:bookmarkEnd w:id="2428"/>
    </w:p>
    <w:p>
      <w:pPr>
        <w:pStyle w:val="BodyText"/>
      </w:pPr>
      <w:r>
        <w:t xml:space="preserve">Neither Apple Business Manager nor Android Enterprise is configured today. Both must be established before the mobile rollout begins; the timing of that setup is under evaluation and is fixed against the deployment schedule.</w:t>
      </w:r>
    </w:p>
    <w:p>
      <w:pPr>
        <w:pStyle w:val="ListTA"/>
      </w:pPr>
      <w:r>
        <w:rPr>
          <w:b/>
          <w:bCs/>
        </w:rPr>
        <w:t xml:space="preserve">Apple MDM Push Certificate:</w:t>
      </w:r>
      <w:r>
        <w:t xml:space="preserve"> an Apple MDM Push Certificate will be configured in Intune. This certificate is required for all iOS management and is a prerequisite to any Apple enrollment configuration.</w:t>
      </w:r>
    </w:p>
    <w:p>
      <w:pPr>
        <w:pStyle w:val="ListTA"/>
      </w:pPr>
      <w:r>
        <w:rPr>
          <w:b/>
          <w:bCs/>
        </w:rPr>
        <w:t xml:space="preserve">Apple Business Manager:</w:t>
      </w:r>
      <w:r>
        <w:t xml:space="preserve"> Apple Business Manager will be created and integrated with Intune to support automated device enrollment. WMP is responsible for creating and providing the Apple Business Manager account.</w:t>
      </w:r>
      <w:commentRangeStart w:id="2090"/>
      <w:r>
        <w:rPr>
          <w:highlight w:val="yellow"/>
        </w:rPr>
        <w:t xml:space="preserve"> [TBD: Apple Business Manager account owner]</w:t>
      </w:r>
      <w:commentRangeEnd w:id="2090"/>
      <w:r>
        <w:rPr>
          <w:rStyle w:val="CommentReference"/>
        </w:rPr>
        <w:commentReference w:id="2090"/>
      </w:r>
    </w:p>
    <w:p>
      <w:pPr>
        <w:pStyle w:val="ListTA"/>
      </w:pPr>
      <w:r>
        <w:rPr>
          <w:b/>
          <w:bCs/>
        </w:rPr>
        <w:t xml:space="preserve">Android Enterprise:</w:t>
      </w:r>
      <w:r>
        <w:t xml:space="preserve"> Android Enterprise will be configured for corporate-owned fully managed enrollment.</w:t>
      </w:r>
    </w:p>
    <w:p>
      <w:pPr>
        <w:pStyle w:val="ListTA"/>
      </w:pPr>
      <w:r>
        <w:rPr>
          <w:b/>
          <w:bCs/>
        </w:rPr>
        <w:t xml:space="preserve">Enrollment restrictions:</w:t>
      </w:r>
      <w:r>
        <w:t xml:space="preserve"> enrollment restrictions will block personal device enrollment on both platforms.</w:t>
      </w:r>
    </w:p>
    <w:p>
      <w:pPr>
        <w:pStyle w:val="BodyText"/>
      </w:pPr>
      <w:r>
        <w:t xml:space="preserve">The mobile device fleet by site and platform is recorded as follows:</w:t>
      </w:r>
    </w:p>
    <w:tbl>
      <w:tblPr>
        <w:tblStyle w:val="TableGrid"/>
        <w:tblW w:w="0" w:type="auto"/>
        <w:tblLook w:val="04A0" w:firstRow="1" w:lastRow="0" w:firstColumn="1" w:lastColumn="0" w:noHBand="0" w:noVBand="1"/>
      </w:tblPr>
      <w:tblGrid>
        <w:gridCol w:w="2600"/>
        <w:gridCol w:w="1600"/>
        <w:gridCol w:w="1600"/>
        <w:gridCol w:w="4270"/>
      </w:tblGrid>
      <w:tr>
        <w:tc>
          <w:tcPr>
            <w:tcW w:w="2600" w:type="dxa"/>
          </w:tcPr>
          <w:p>
            <w:pPr>
              <w:spacing w:line="360" w:lineRule="auto"/>
              <w:rPr>
                <w:b/>
                <w:bCs/>
                <w:sz w:val="21"/>
                <w:szCs w:val="21"/>
              </w:rPr>
            </w:pPr>
            <w:r>
              <w:rPr>
                <w:b/>
                <w:bCs/>
                <w:sz w:val="21"/>
                <w:szCs w:val="21"/>
              </w:rPr>
              <w:t xml:space="preserve">Site</w:t>
            </w:r>
          </w:p>
        </w:tc>
        <w:tc>
          <w:tcPr>
            <w:tcW w:w="1600" w:type="dxa"/>
          </w:tcPr>
          <w:p>
            <w:pPr>
              <w:spacing w:line="360" w:lineRule="auto"/>
              <w:rPr>
                <w:b/>
                <w:bCs/>
                <w:sz w:val="21"/>
                <w:szCs w:val="21"/>
              </w:rPr>
            </w:pPr>
            <w:r>
              <w:rPr>
                <w:b/>
                <w:bCs/>
                <w:sz w:val="21"/>
                <w:szCs w:val="21"/>
              </w:rPr>
              <w:t xml:space="preserve">iOS</w:t>
            </w:r>
          </w:p>
        </w:tc>
        <w:tc>
          <w:tcPr>
            <w:tcW w:w="1600" w:type="dxa"/>
          </w:tcPr>
          <w:p>
            <w:pPr>
              <w:spacing w:line="360" w:lineRule="auto"/>
              <w:rPr>
                <w:b/>
                <w:bCs/>
                <w:sz w:val="21"/>
                <w:szCs w:val="21"/>
              </w:rPr>
            </w:pPr>
            <w:r>
              <w:rPr>
                <w:b/>
                <w:bCs/>
                <w:sz w:val="21"/>
                <w:szCs w:val="21"/>
              </w:rPr>
              <w:t xml:space="preserve">Android</w:t>
            </w:r>
          </w:p>
        </w:tc>
        <w:tc>
          <w:tcPr>
            <w:tcW w:w="4270" w:type="dxa"/>
          </w:tcPr>
          <w:p>
            <w:pPr>
              <w:spacing w:line="360" w:lineRule="auto"/>
              <w:rPr>
                <w:b/>
                <w:bCs/>
                <w:sz w:val="21"/>
                <w:szCs w:val="21"/>
              </w:rPr>
            </w:pPr>
            <w:r>
              <w:rPr>
                <w:b/>
                <w:bCs/>
                <w:sz w:val="21"/>
                <w:szCs w:val="21"/>
              </w:rPr>
              <w:t xml:space="preserve">Notes</w:t>
            </w:r>
          </w:p>
        </w:tc>
      </w:tr>
      <w:tr>
        <w:tc>
          <w:tcPr>
            <w:tcW w:w="2600" w:type="dxa"/>
          </w:tcPr>
          <w:p>
            <w:pPr>
              <w:spacing w:line="360" w:lineRule="auto"/>
              <w:rPr>
                <w:i/>
                <w:iCs/>
                <w:sz w:val="21"/>
                <w:szCs w:val="21"/>
              </w:rPr>
            </w:pPr>
            <w:r>
              <w:rPr>
                <w:i/>
                <w:iCs/>
                <w:sz w:val="21"/>
                <w:szCs w:val="21"/>
              </w:rPr>
              <w:t xml:space="preserve">e.g., WMP HQ</w:t>
            </w:r>
          </w:p>
        </w:tc>
        <w:tc>
          <w:tcPr>
            <w:tcW w:w="1600" w:type="dxa"/>
          </w:tcPr>
          <w:p>
            <w:pPr>
              <w:spacing w:line="360" w:lineRule="auto"/>
              <w:rPr>
                <w:i/>
                <w:iCs/>
                <w:sz w:val="21"/>
                <w:szCs w:val="21"/>
              </w:rPr>
            </w:pPr>
            <w:r>
              <w:rPr>
                <w:i/>
                <w:iCs/>
                <w:sz w:val="21"/>
                <w:szCs w:val="21"/>
              </w:rPr>
              <w:t xml:space="preserve">(count)</w:t>
            </w:r>
          </w:p>
        </w:tc>
        <w:tc>
          <w:tcPr>
            <w:tcW w:w="1600" w:type="dxa"/>
          </w:tcPr>
          <w:p>
            <w:pPr>
              <w:spacing w:line="360" w:lineRule="auto"/>
              <w:rPr>
                <w:i/>
                <w:iCs/>
                <w:sz w:val="21"/>
                <w:szCs w:val="21"/>
              </w:rPr>
            </w:pPr>
            <w:r>
              <w:rPr>
                <w:i/>
                <w:iCs/>
                <w:sz w:val="21"/>
                <w:szCs w:val="21"/>
              </w:rPr>
              <w:t xml:space="preserve">(count)</w:t>
            </w:r>
          </w:p>
        </w:tc>
        <w:tc>
          <w:tcPr>
            <w:tcW w:w="4270" w:type="dxa"/>
          </w:tcPr>
          <w:p>
            <w:pPr>
              <w:spacing w:line="360" w:lineRule="auto"/>
              <w:rPr>
                <w:i/>
                <w:iCs/>
                <w:sz w:val="21"/>
                <w:szCs w:val="21"/>
              </w:rPr>
            </w:pPr>
            <w:r>
              <w:rPr>
                <w:i/>
                <w:iCs/>
                <w:sz w:val="21"/>
                <w:szCs w:val="21"/>
              </w:rPr>
              <w:t xml:space="preserve">corporate-owned only</w:t>
            </w:r>
          </w:p>
        </w:tc>
      </w:tr>
      <w:tr>
        <w:tc>
          <w:tcPr>
            <w:tcW w:w="2600" w:type="dxa"/>
          </w:tcPr>
          <w:p>
            <w:pPr>
              <w:spacing w:line="360" w:lineRule="auto"/>
              <w:rPr>
                <w:sz w:val="21"/>
                <w:szCs w:val="21"/>
              </w:rPr>
            </w:pPr>
          </w:p>
        </w:tc>
        <w:tc>
          <w:tcPr>
            <w:tcW w:w="1600" w:type="dxa"/>
          </w:tcPr>
          <w:p>
            <w:pPr>
              <w:spacing w:line="360" w:lineRule="auto"/>
              <w:rPr>
                <w:sz w:val="21"/>
                <w:szCs w:val="21"/>
              </w:rPr>
            </w:pPr>
          </w:p>
        </w:tc>
        <w:tc>
          <w:tcPr>
            <w:tcW w:w="1600" w:type="dxa"/>
          </w:tcPr>
          <w:p>
            <w:pPr>
              <w:spacing w:line="360" w:lineRule="auto"/>
              <w:rPr>
                <w:sz w:val="21"/>
                <w:szCs w:val="21"/>
              </w:rPr>
            </w:pPr>
          </w:p>
        </w:tc>
        <w:tc>
          <w:tcPr>
            <w:tcW w:w="4270" w:type="dxa"/>
          </w:tcPr>
          <w:p>
            <w:pPr>
              <w:spacing w:line="360" w:lineRule="auto"/>
              <w:rPr>
                <w:sz w:val="21"/>
                <w:szCs w:val="21"/>
              </w:rPr>
            </w:pPr>
          </w:p>
        </w:tc>
      </w:tr>
      <w:tr>
        <w:tc>
          <w:tcPr>
            <w:tcW w:w="2600" w:type="dxa"/>
          </w:tcPr>
          <w:p>
            <w:pPr>
              <w:spacing w:line="360" w:lineRule="auto"/>
              <w:rPr>
                <w:sz w:val="21"/>
                <w:szCs w:val="21"/>
              </w:rPr>
            </w:pPr>
          </w:p>
        </w:tc>
        <w:tc>
          <w:tcPr>
            <w:tcW w:w="1600" w:type="dxa"/>
          </w:tcPr>
          <w:p>
            <w:pPr>
              <w:spacing w:line="360" w:lineRule="auto"/>
              <w:rPr>
                <w:sz w:val="21"/>
                <w:szCs w:val="21"/>
              </w:rPr>
            </w:pPr>
          </w:p>
        </w:tc>
        <w:tc>
          <w:tcPr>
            <w:tcW w:w="1600" w:type="dxa"/>
          </w:tcPr>
          <w:p>
            <w:pPr>
              <w:spacing w:line="360" w:lineRule="auto"/>
              <w:rPr>
                <w:sz w:val="21"/>
                <w:szCs w:val="21"/>
              </w:rPr>
            </w:pPr>
          </w:p>
        </w:tc>
        <w:tc>
          <w:tcPr>
            <w:tcW w:w="4270" w:type="dxa"/>
          </w:tcPr>
          <w:p>
            <w:pPr>
              <w:spacing w:line="360" w:lineRule="auto"/>
              <w:rPr>
                <w:sz w:val="21"/>
                <w:szCs w:val="21"/>
              </w:rPr>
            </w:pPr>
          </w:p>
        </w:tc>
      </w:tr>
      <w:tr>
        <w:tc>
          <w:tcPr>
            <w:tcW w:w="2600" w:type="dxa"/>
          </w:tcPr>
          <w:p>
            <w:pPr>
              <w:spacing w:line="360" w:lineRule="auto"/>
              <w:rPr>
                <w:sz w:val="21"/>
                <w:szCs w:val="21"/>
              </w:rPr>
            </w:pPr>
          </w:p>
        </w:tc>
        <w:tc>
          <w:tcPr>
            <w:tcW w:w="1600" w:type="dxa"/>
          </w:tcPr>
          <w:p>
            <w:pPr>
              <w:spacing w:line="360" w:lineRule="auto"/>
              <w:rPr>
                <w:sz w:val="21"/>
                <w:szCs w:val="21"/>
              </w:rPr>
            </w:pPr>
          </w:p>
        </w:tc>
        <w:tc>
          <w:tcPr>
            <w:tcW w:w="1600" w:type="dxa"/>
          </w:tcPr>
          <w:p>
            <w:pPr>
              <w:spacing w:line="360" w:lineRule="auto"/>
              <w:rPr>
                <w:sz w:val="21"/>
                <w:szCs w:val="21"/>
              </w:rPr>
            </w:pPr>
          </w:p>
        </w:tc>
        <w:tc>
          <w:tcPr>
            <w:tcW w:w="4270" w:type="dxa"/>
          </w:tcPr>
          <w:p>
            <w:pPr>
              <w:spacing w:line="360" w:lineRule="auto"/>
              <w:rPr>
                <w:sz w:val="21"/>
                <w:szCs w:val="21"/>
              </w:rPr>
            </w:pPr>
          </w:p>
        </w:tc>
      </w:tr>
    </w:tbl>
    <w:p>
      <w:pPr>
        <w:pStyle w:val="Heading3"/>
      </w:pPr>
      <w:bookmarkStart w:id="2429" w:name="_Toc238480029"/>
      <w:r>
        <w:t xml:space="preserve">iOS Enrollment and Policy</w:t>
      </w:r>
      <w:bookmarkEnd w:id="2429"/>
    </w:p>
    <w:p>
      <w:pPr>
        <w:pStyle w:val="ListTA"/>
      </w:pPr>
      <w:r>
        <w:t xml:space="preserve">An Automated Device Enrollment profile will be created through Apple Business Manager to provide zero-touch enrollment for corporate iPhones and iPads.</w:t>
      </w:r>
    </w:p>
    <w:p>
      <w:pPr>
        <w:pStyle w:val="ListTA"/>
      </w:pPr>
      <w:r>
        <w:t xml:space="preserve">A compliance policy will enforce minimum OS version, passcode requirements, and device encryption.</w:t>
      </w:r>
    </w:p>
    <w:p>
      <w:pPr>
        <w:pStyle w:val="ListTA"/>
      </w:pPr>
      <w:r>
        <w:t xml:space="preserve">A device configuration profile will deliver Wi-Fi, email, and VPN settings where required.</w:t>
      </w:r>
    </w:p>
    <w:p>
      <w:pPr>
        <w:pStyle w:val="ListTA"/>
      </w:pPr>
      <w:r>
        <w:t xml:space="preserve">The following applications will be deployed as managed applications through Intune, configured for GCC High endpoints: </w:t>
      </w:r>
      <w:r>
        <w:rPr>
          <w:b/>
          <w:bCs/>
        </w:rPr>
        <w:t xml:space="preserve">Microsoft Outlook, Microsoft Teams, OneDrive, RSA Authenticator, and Keeper</w:t>
      </w:r>
      <w:r>
        <w:t xml:space="preserve">.</w:t>
      </w:r>
    </w:p>
    <w:p>
      <w:pPr>
        <w:pStyle w:val="ListTA"/>
      </w:pPr>
      <w:r>
        <w:t xml:space="preserve">App protection policies will be applied to the managed applications. </w:t>
      </w:r>
      <w:r>
        <w:rPr>
          <w:b/>
          <w:bCs/>
        </w:rPr>
        <w:t xml:space="preserve">Essendis specifies these settings</w:t>
      </w:r>
      <w:r>
        <w:t xml:space="preserve">, which require an application PIN, prevent copy and paste into unmanaged applications, and block backup of corporate data to unmanaged locations.</w:t>
      </w:r>
    </w:p>
    <w:p>
      <w:pPr>
        <w:pStyle w:val="Heading3"/>
      </w:pPr>
      <w:bookmarkStart w:id="2430" w:name="_Toc238480030"/>
      <w:r>
        <w:t xml:space="preserve">Android Enrollment and Policy</w:t>
      </w:r>
      <w:bookmarkEnd w:id="2430"/>
    </w:p>
    <w:p>
      <w:pPr>
        <w:pStyle w:val="ListTA"/>
      </w:pPr>
      <w:r>
        <w:t xml:space="preserve">A corporate-owned fully managed enrollment profile will be created for Android Enterprise.</w:t>
      </w:r>
    </w:p>
    <w:p>
      <w:pPr>
        <w:pStyle w:val="ListTA"/>
      </w:pPr>
      <w:r>
        <w:t xml:space="preserve">A compliance policy will enforce minimum OS version, device encryption, and screen lock requirements.</w:t>
      </w:r>
    </w:p>
    <w:p>
      <w:pPr>
        <w:pStyle w:val="ListTA"/>
      </w:pPr>
      <w:r>
        <w:t xml:space="preserve">A device configuration profile will deliver Wi-Fi, email, and device restrictions.</w:t>
      </w:r>
    </w:p>
    <w:p>
      <w:pPr>
        <w:pStyle w:val="ListTA"/>
      </w:pPr>
      <w:r>
        <w:t xml:space="preserve">The same five applications deployed on iOS — </w:t>
      </w:r>
      <w:r>
        <w:rPr>
          <w:b/>
          <w:bCs/>
        </w:rPr>
        <w:t xml:space="preserve">Microsoft Outlook, Microsoft Teams, OneDrive, RSA Authenticator, and Keeper</w:t>
      </w:r>
      <w:r>
        <w:t xml:space="preserve"> — will be deployed as managed applications through Intune, configured for GCC High endpoints.</w:t>
      </w:r>
    </w:p>
    <w:p>
      <w:pPr>
        <w:pStyle w:val="ListTA"/>
      </w:pPr>
      <w:r>
        <w:t xml:space="preserve">App protection policies matching the iOS configuration will be applied to the managed applications.</w:t>
      </w:r>
    </w:p>
    <w:p>
      <w:pPr>
        <w:pStyle w:val="Heading3"/>
      </w:pPr>
      <w:bookmarkStart w:id="2431" w:name="_Toc238480031"/>
      <w:r>
        <w:t xml:space="preserve">Compliance and Conditional Access</w:t>
      </w:r>
      <w:bookmarkEnd w:id="2431"/>
    </w:p>
    <w:p>
      <w:pPr>
        <w:pStyle w:val="BodyText"/>
      </w:pPr>
      <w:r>
        <w:t xml:space="preserve">Mobile compliance policies feed the same device compliance signal used for Windows endpoints. Conditional Access policy 3, </w:t>
      </w:r>
      <w:r>
        <w:rPr>
          <w:i/>
          <w:iCs/>
        </w:rPr>
        <w:t xml:space="preserve">CA – Require Compliant Device – M365</w:t>
      </w:r>
      <w:r>
        <w:t xml:space="preserve">, includes iOS and Android device platforms; a device that fails its compliance policy loses access to Exchange Online, SharePoint Online, and Teams. Compliance policy definitions align to CMMC practices IA.3.083 and SC.3.177.</w:t>
      </w:r>
    </w:p>
    <w:p>
      <w:pPr>
        <w:pStyle w:val="ListTA"/>
      </w:pPr>
      <w:r>
        <w:t xml:space="preserve">Conditional Access enforcement will be validated on enrolled iOS and Android devices before rollout.</w:t>
      </w:r>
    </w:p>
    <w:p>
      <w:pPr>
        <w:pStyle w:val="ListTA"/>
      </w:pPr>
      <w:r>
        <w:rPr>
          <w:b/>
          <w:bCs/>
        </w:rPr>
        <w:t xml:space="preserve">There is no MAM-only access path.</w:t>
      </w:r>
      <w:r>
        <w:t xml:space="preserve"> Because BYOD is not supported and every mobile device is corporate-owned and enrolled, access to Microsoft 365 from mobile requires full device enrollment and compliance.</w:t>
      </w:r>
    </w:p>
    <w:p>
      <w:pPr>
        <w:pStyle w:val="Heading3"/>
      </w:pPr>
      <w:bookmarkStart w:id="2432" w:name="_Toc238480032"/>
      <w:r>
        <w:t xml:space="preserve">Pilot Validation and Rollout</w:t>
      </w:r>
      <w:bookmarkEnd w:id="2432"/>
    </w:p>
    <w:p>
      <w:pPr>
        <w:pStyle w:val="BodyText"/>
      </w:pPr>
      <w:r>
        <w:t xml:space="preserve">Enrollment is validated on pilot devices for each platform before any general rollout.</w:t>
      </w:r>
    </w:p>
    <w:p>
      <w:pPr>
        <w:pStyle w:val="ListTA"/>
      </w:pPr>
      <w:r>
        <w:t xml:space="preserve">Pilot enrollment testing will confirm compliance evaluation, managed application delivery, and app protection policy behavior on both iOS and Android.</w:t>
      </w:r>
    </w:p>
    <w:p>
      <w:pPr>
        <w:pStyle w:val="ListTA"/>
      </w:pPr>
      <w:r>
        <w:t xml:space="preserve">The fleet is </w:t>
      </w:r>
      <w:r>
        <w:rPr>
          <w:b/>
          <w:bCs/>
        </w:rPr>
        <w:t xml:space="preserve">fewer than 40 devices in total</w:t>
      </w:r>
      <w:r>
        <w:t xml:space="preserve">. The final count and the split between iOS and Android are confirmed with WMP before rollout.</w:t>
      </w:r>
    </w:p>
    <w:p>
      <w:pPr>
        <w:pStyle w:val="ListTA"/>
      </w:pPr>
      <w:r>
        <w:t xml:space="preserve">Full enrollment rollout will be executed jointly by Essendis and WMP, platform by platform.</w:t>
      </w:r>
    </w:p>
    <w:p>
      <w:pPr>
        <w:pStyle w:val="ListTA"/>
      </w:pPr>
      <w:r>
        <w:t xml:space="preserve">The Intune compliance dashboard will be validated to confirm that all enrolled mobile devices report compliant.</w:t>
      </w:r>
    </w:p>
    <w:p>
      <w:pPr>
        <w:pStyle w:val="ListTA"/>
      </w:pPr>
      <w:r>
        <w:t xml:space="preserve">Mobile MDM configuration and administrative procedures will be documented and delivered at handoff.</w:t>
      </w:r>
    </w:p>
    <w:p>
      <w:pPr>
        <w:pStyle w:val="Heading2"/>
      </w:pPr>
      <w:bookmarkStart w:id="2433" w:name="_Toc238480033"/>
      <w:r>
        <w:t xml:space="preserve">Windows Endpoint Management (Intune)</w:t>
      </w:r>
      <w:bookmarkEnd w:id="2433"/>
    </w:p>
    <w:p>
      <w:pPr>
        <w:pStyle w:val="BodyText"/>
      </w:pPr>
      <w:r>
        <w:t xml:space="preserve">Windows endpoints are managed jointly by Active Directory Group Policy and Microsoft Intune, consistent with the hybrid join model described under Hybrid Identity and Device Join. Intune delivers the security configuration in this section; Group Policy is retained for drive mappings and printer deployment. Servers are out of scope.</w:t>
      </w:r>
    </w:p>
    <w:p>
      <w:pPr>
        <w:pStyle w:val="BodyText"/>
      </w:pPr>
      <w:r>
        <w:t xml:space="preserve">The estate includes shared shop-floor PCs. WMP is moving away from shared credentials to individual sign-in, and approximately 40 shop-floor devices require Microsoft 365 access; those devices are in Intune scope and are covered by the frontline license tier.</w:t>
      </w:r>
    </w:p>
    <w:p>
      <w:pPr>
        <w:pStyle w:val="Heading3"/>
      </w:pPr>
      <w:bookmarkStart w:id="2434" w:name="_Toc238480034"/>
      <w:r>
        <w:t xml:space="preserve">Security Baselines</w:t>
      </w:r>
      <w:bookmarkEnd w:id="2434"/>
    </w:p>
    <w:p>
      <w:pPr>
        <w:pStyle w:val="BodyText"/>
      </w:pPr>
      <w:r>
        <w:rPr>
          <w:b/>
          <w:bCs/>
        </w:rPr>
        <w:t xml:space="preserve">Microsoft Security Compliance Toolkit baselines will be deployed through Intune.</w:t>
      </w:r>
      <w:r>
        <w:t xml:space="preserve"> The concrete baseline set and the pinned versions are selected at configuration against the Windows and Microsoft 365 Apps releases in the estate at that time.</w:t>
      </w:r>
      <w:r>
        <w:rPr>
          <w:highlight w:val="yellow"/>
        </w:rPr>
        <w:t xml:space="preserve"> [TBD: baseline set and pinned versions — selected at configuration]</w:t>
      </w:r>
      <w:r>
        <w:t xml:space="preserve"> Every deviation from a baseline setting is recorded, with justification, in the Configuration Document, so that the deviation record is available as compliance evidence.</w:t>
      </w:r>
    </w:p>
    <w:p>
      <w:pPr>
        <w:pStyle w:val="Heading3"/>
      </w:pPr>
      <w:bookmarkStart w:id="2435" w:name="_Toc238480035"/>
      <w:r>
        <w:t xml:space="preserve">BitLocker Encryption</w:t>
      </w:r>
      <w:bookmarkEnd w:id="2435"/>
    </w:p>
    <w:p>
      <w:pPr>
        <w:pStyle w:val="ListTA"/>
      </w:pPr>
      <w:r>
        <w:t xml:space="preserve">Encryption uses a </w:t>
      </w:r>
      <w:r>
        <w:rPr>
          <w:b/>
          <w:bCs/>
        </w:rPr>
        <w:t xml:space="preserve">FIPS-compliant algorithm</w:t>
      </w:r>
      <w:r>
        <w:t xml:space="preserve">.</w:t>
      </w:r>
    </w:p>
    <w:p>
      <w:pPr>
        <w:pStyle w:val="ListTA"/>
      </w:pPr>
      <w:r>
        <w:rPr>
          <w:b/>
          <w:bCs/>
        </w:rPr>
        <w:t xml:space="preserve">No startup PIN</w:t>
      </w:r>
      <w:r>
        <w:t xml:space="preserve"> is required.</w:t>
      </w:r>
    </w:p>
    <w:p>
      <w:pPr>
        <w:pStyle w:val="ListTA"/>
      </w:pPr>
      <w:r>
        <w:rPr>
          <w:b/>
          <w:bCs/>
        </w:rPr>
        <w:t xml:space="preserve">Recovery keys are escrowed to Entra ID before encryption begins</w:t>
      </w:r>
      <w:r>
        <w:t xml:space="preserve">; a device does not start encrypting until key escrow is confirmed.</w:t>
      </w:r>
    </w:p>
    <w:p>
      <w:pPr>
        <w:pStyle w:val="ListTA"/>
      </w:pPr>
      <w:r>
        <w:rPr>
          <w:b/>
          <w:bCs/>
        </w:rPr>
        <w:t xml:space="preserve">Used-space-only</w:t>
      </w:r>
      <w:r>
        <w:t xml:space="preserve"> encryption is applied.</w:t>
      </w:r>
    </w:p>
    <w:p>
      <w:pPr>
        <w:pStyle w:val="ListTA"/>
      </w:pPr>
      <w:r>
        <w:t xml:space="preserve">Devices converted from the commercial tenant are </w:t>
      </w:r>
      <w:r>
        <w:rPr>
          <w:b/>
          <w:bCs/>
        </w:rPr>
        <w:t xml:space="preserve">fully decrypted and then re-encrypted</w:t>
      </w:r>
      <w:r>
        <w:t xml:space="preserve"> under this policy during device migration (see Device Migration).</w:t>
      </w:r>
    </w:p>
    <w:p>
      <w:pPr>
        <w:pStyle w:val="Heading3"/>
      </w:pPr>
      <w:bookmarkStart w:id="2436" w:name="_Toc238480036"/>
      <w:r>
        <w:t xml:space="preserve">Removable Media</w:t>
      </w:r>
      <w:bookmarkEnd w:id="2436"/>
    </w:p>
    <w:p>
      <w:pPr>
        <w:pStyle w:val="BodyText"/>
      </w:pPr>
      <w:r>
        <w:t xml:space="preserve">USB and removable storage are </w:t>
      </w:r>
      <w:r>
        <w:rPr>
          <w:b/>
          <w:bCs/>
        </w:rPr>
        <w:t xml:space="preserve">blocked</w:t>
      </w:r>
      <w:r>
        <w:t xml:space="preserve">, configured as a </w:t>
      </w:r>
      <w:r>
        <w:rPr>
          <w:b/>
          <w:bCs/>
        </w:rPr>
        <w:t xml:space="preserve">separate policy</w:t>
      </w:r>
      <w:r>
        <w:t xml:space="preserve"> from the baselines so that it can be varied independently. An </w:t>
      </w:r>
      <w:r>
        <w:rPr>
          <w:b/>
          <w:bCs/>
        </w:rPr>
        <w:t xml:space="preserve">exception group</w:t>
      </w:r>
      <w:r>
        <w:t xml:space="preserve"> is maintained for users with a business need; membership is approved by WMP. This control operates alongside the Endpoint DLP restrictions described under Information Protection and Data Loss Prevention.</w:t>
      </w:r>
    </w:p>
    <w:p>
      <w:pPr>
        <w:pStyle w:val="Heading3"/>
      </w:pPr>
      <w:bookmarkStart w:id="2437" w:name="_Toc238480037"/>
      <w:r>
        <w:t xml:space="preserve">Windows Update</w:t>
      </w:r>
      <w:bookmarkEnd w:id="2437"/>
    </w:p>
    <w:p>
      <w:pPr>
        <w:pStyle w:val="BodyText"/>
      </w:pPr>
      <w:r>
        <w:t xml:space="preserve">A </w:t>
      </w:r>
      <w:r>
        <w:rPr>
          <w:b/>
          <w:bCs/>
        </w:rPr>
        <w:t xml:space="preserve">simple update ring configuration</w:t>
      </w:r>
      <w:r>
        <w:t xml:space="preserve"> is deployed: a pilot ring that receives updates first and a broad ring for the remainder of the estate, with quality and feature update deferrals set at configuration.</w:t>
      </w:r>
    </w:p>
    <w:p>
      <w:pPr>
        <w:pStyle w:val="Heading3"/>
      </w:pPr>
      <w:bookmarkStart w:id="2438" w:name="_Toc238480038"/>
      <w:r>
        <w:t xml:space="preserve">Compliance Policy</w:t>
      </w:r>
      <w:bookmarkEnd w:id="2438"/>
    </w:p>
    <w:p>
      <w:pPr>
        <w:pStyle w:val="ListTA"/>
      </w:pPr>
      <w:r>
        <w:rPr>
          <w:b/>
          <w:bCs/>
        </w:rPr>
        <w:t xml:space="preserve">Device health attestation is required</w:t>
      </w:r>
      <w:r>
        <w:t xml:space="preserve"> — Secure Boot and TPM must be present and healthy — and a device that fails attestation is marked non-compliant.</w:t>
      </w:r>
    </w:p>
    <w:p>
      <w:pPr>
        <w:pStyle w:val="ListTA"/>
      </w:pPr>
      <w:r>
        <w:t xml:space="preserve">BitLocker encryption enabled, Microsoft Defender Antivirus healthy, and </w:t>
      </w:r>
      <w:r>
        <w:rPr>
          <w:b/>
          <w:bCs/>
        </w:rPr>
        <w:t xml:space="preserve">minimum operating system Windows 11</w:t>
      </w:r>
      <w:r>
        <w:t xml:space="preserve">.</w:t>
      </w:r>
    </w:p>
    <w:p>
      <w:pPr>
        <w:pStyle w:val="ListTA"/>
      </w:pPr>
      <w:r>
        <w:t xml:space="preserve">Non-compliant devices lose access to Microsoft 365 through Conditional Access policy 3.</w:t>
      </w:r>
    </w:p>
    <w:p>
      <w:pPr>
        <w:pStyle w:val="ListTA"/>
      </w:pPr>
      <w:r>
        <w:t xml:space="preserve">Devices that cannot meet the Windows 11 or TPM requirement are identified during pre-migration device preparation and handled wave by wave.</w:t>
      </w:r>
    </w:p>
    <w:p>
      <w:pPr>
        <w:pStyle w:val="Heading3"/>
      </w:pPr>
      <w:bookmarkStart w:id="2439" w:name="_Toc238480039"/>
      <w:r>
        <w:t xml:space="preserve">Application Control</w:t>
      </w:r>
      <w:bookmarkEnd w:id="2439"/>
    </w:p>
    <w:p>
      <w:pPr>
        <w:pStyle w:val="BodyText"/>
      </w:pPr>
      <w:r>
        <w:rPr>
          <w:b/>
          <w:bCs/>
        </w:rPr>
        <w:t xml:space="preserve">Windows Defender Application Control will be deployed in audit mode.</w:t>
      </w:r>
      <w:r>
        <w:t xml:space="preserve"> Audit mode records what would be blocked without enforcing it, allowing WMP to build a tailored policy from real usage. </w:t>
      </w:r>
      <w:r>
        <w:rPr>
          <w:b/>
          <w:bCs/>
        </w:rPr>
        <w:t xml:space="preserve">WMP tailors and enforces its own application control policy after handoff</w:t>
      </w:r>
      <w:r>
        <w:t xml:space="preserve">; enforcement is not switched on under this engagement.</w:t>
      </w:r>
    </w:p>
    <w:p>
      <w:pPr>
        <w:pStyle w:val="Heading3"/>
      </w:pPr>
      <w:bookmarkStart w:id="2440" w:name="_Toc238480040"/>
      <w:r>
        <w:t xml:space="preserve">Local Administrator Rights and Windows LAPS</w:t>
      </w:r>
      <w:bookmarkEnd w:id="2440"/>
    </w:p>
    <w:p>
      <w:pPr>
        <w:pStyle w:val="ListTA"/>
      </w:pPr>
      <w:r>
        <w:rPr>
          <w:b/>
          <w:bCs/>
        </w:rPr>
        <w:t xml:space="preserve">Users are not local administrators.</w:t>
      </w:r>
      <w:r>
        <w:t xml:space="preserve"> The account performing the device join is not added to the local Administrators group.</w:t>
      </w:r>
    </w:p>
    <w:p>
      <w:pPr>
        <w:pStyle w:val="ListTA"/>
      </w:pPr>
      <w:r>
        <w:rPr>
          <w:b/>
          <w:bCs/>
        </w:rPr>
        <w:t xml:space="preserve">Windows LAPS manages a local account named WMPAdmin</w:t>
      </w:r>
      <w:r>
        <w:t xml:space="preserve"> on every managed device, rotating its password </w:t>
      </w:r>
      <w:r>
        <w:rPr>
          <w:b/>
          <w:bCs/>
        </w:rPr>
        <w:t xml:space="preserve">every 30 days and again after each use</w:t>
      </w:r>
      <w:r>
        <w:t xml:space="preserve">. (This local account is distinct from the tenant administrator account named under Tenant Global Admin Account.)</w:t>
      </w:r>
    </w:p>
    <w:p>
      <w:pPr>
        <w:pStyle w:val="ListTA"/>
      </w:pPr>
      <w:r>
        <w:t xml:space="preserve">An account management policy keeps </w:t>
      </w:r>
      <w:r>
        <w:rPr>
          <w:b/>
          <w:bCs/>
        </w:rPr>
        <w:t xml:space="preserve">only WMPAdmin</w:t>
      </w:r>
      <w:r>
        <w:t xml:space="preserve"> in the local Administrators group.</w:t>
      </w:r>
    </w:p>
    <w:p>
      <w:pPr>
        <w:pStyle w:val="ListTA"/>
      </w:pPr>
      <w:r>
        <w:rPr>
          <w:b/>
          <w:bCs/>
        </w:rPr>
        <w:t xml:space="preserve">IT staff elevate using WMPAdmin</w:t>
      </w:r>
      <w:r>
        <w:t xml:space="preserve"> when local administrative rights are needed.</w:t>
      </w:r>
    </w:p>
    <w:p>
      <w:pPr>
        <w:pStyle w:val="ListTA"/>
      </w:pPr>
      <w:r>
        <w:t xml:space="preserve">No legacy applications requiring standing local administrator rights have been identified.</w:t>
      </w:r>
    </w:p>
    <w:p>
      <w:pPr>
        <w:pStyle w:val="Heading3"/>
      </w:pPr>
      <w:bookmarkStart w:id="2441" w:name="_Toc238480041"/>
      <w:r>
        <w:t xml:space="preserve">Endpoint Detection and Response</w:t>
      </w:r>
      <w:bookmarkEnd w:id="2441"/>
    </w:p>
    <w:p>
      <w:pPr>
        <w:pStyle w:val="ListTA"/>
      </w:pPr>
      <w:r>
        <w:rPr>
          <w:b/>
          <w:bCs/>
        </w:rPr>
        <w:t xml:space="preserve">Microsoft Defender for Endpoint Plan 2</w:t>
      </w:r>
      <w:r>
        <w:t xml:space="preserve"> is deployed, with licenses attached from the plan described under Licensing.</w:t>
      </w:r>
    </w:p>
    <w:p>
      <w:pPr>
        <w:pStyle w:val="ListTA"/>
      </w:pPr>
      <w:r>
        <w:t xml:space="preserve">Onboarding is delivered through Intune to all managed Windows endpoints.</w:t>
      </w:r>
    </w:p>
    <w:p>
      <w:pPr>
        <w:pStyle w:val="ListTA"/>
      </w:pPr>
      <w:r>
        <w:rPr>
          <w:b/>
          <w:bCs/>
        </w:rPr>
        <w:t xml:space="preserve">EDR in block mode</w:t>
      </w:r>
      <w:r>
        <w:t xml:space="preserve"> is enabled and </w:t>
      </w:r>
      <w:r>
        <w:rPr>
          <w:b/>
          <w:bCs/>
        </w:rPr>
        <w:t xml:space="preserve">tamper protection</w:t>
      </w:r>
      <w:r>
        <w:t xml:space="preserve"> is turned on.</w:t>
      </w:r>
    </w:p>
    <w:p>
      <w:pPr>
        <w:pStyle w:val="ListTA"/>
      </w:pPr>
      <w:r>
        <w:rPr>
          <w:b/>
          <w:bCs/>
        </w:rPr>
        <w:t xml:space="preserve">Servers are out of scope</w:t>
      </w:r>
      <w:r>
        <w:t xml:space="preserve"> for Defender for Endpoint onboarding.</w:t>
      </w:r>
    </w:p>
    <w:p>
      <w:pPr>
        <w:pStyle w:val="ListTA"/>
      </w:pPr>
      <w:r>
        <w:rPr>
          <w:b/>
          <w:bCs/>
        </w:rPr>
        <w:t xml:space="preserve">WMP manages Defender for Endpoint after handoff</w:t>
      </w:r>
      <w:r>
        <w:t xml:space="preserve">, including alert triage and response; alert routing and SIEM integration are WMP-owned (see Scope).</w:t>
      </w:r>
    </w:p>
    <w:p>
      <w:pPr>
        <w:pStyle w:val="Heading3"/>
      </w:pPr>
      <w:bookmarkStart w:id="2442" w:name="_Toc238480042"/>
      <w:r>
        <w:t xml:space="preserve">Application Deployment</w:t>
      </w:r>
      <w:bookmarkEnd w:id="2442"/>
    </w:p>
    <w:p>
      <w:pPr>
        <w:pStyle w:val="BodyText"/>
      </w:pPr>
      <w:r>
        <w:rPr>
          <w:b/>
          <w:bCs/>
        </w:rPr>
        <w:t xml:space="preserve">Application deployment continues through NinjaOne</w:t>
      </w:r>
      <w:r>
        <w:t xml:space="preserve">, WMP’s existing RMM platform, and not through Intune. Intune is not used to package or deploy Windows applications under this design. NinjaOne is also used to script and drive the device conversion activity described under Device Migration.</w:t>
      </w:r>
    </w:p>
    <w:p>
      <w:pPr>
        <w:pStyle w:val="Heading3"/>
      </w:pPr>
      <w:bookmarkStart w:id="2443" w:name="_Toc238480043"/>
      <w:r>
        <w:t xml:space="preserve">Provisioning</w:t>
      </w:r>
      <w:bookmarkEnd w:id="2443"/>
    </w:p>
    <w:p>
      <w:pPr>
        <w:pStyle w:val="BodyText"/>
      </w:pPr>
      <w:r>
        <w:rPr>
          <w:b/>
          <w:bCs/>
        </w:rPr>
        <w:t xml:space="preserve">Classic Windows Autopilot is not available in GCC High.</w:t>
      </w:r>
      <w:r>
        <w:t xml:space="preserve"> </w:t>
      </w:r>
      <w:r>
        <w:rPr>
          <w:b/>
          <w:bCs/>
        </w:rPr>
        <w:t xml:space="preserve">Autopilot device preparation</w:t>
      </w:r>
      <w:r>
        <w:t xml:space="preserve"> is the provisioning path, and it applies only to </w:t>
      </w:r>
      <w:r>
        <w:rPr>
          <w:b/>
          <w:bCs/>
        </w:rPr>
        <w:t xml:space="preserve">net-new and rebuilt devices</w:t>
      </w:r>
      <w:r>
        <w:t xml:space="preserve">. The existing fleet is converted in place with ForensIT rather than reprovisioned.</w:t>
      </w:r>
    </w:p>
    <w:p>
      <w:pPr>
        <w:pStyle w:val="Heading3"/>
      </w:pPr>
      <w:bookmarkStart w:id="2444" w:name="_Toc238480044"/>
      <w:r>
        <w:t xml:space="preserve">Scope and Pilot Ring</w:t>
      </w:r>
      <w:bookmarkEnd w:id="2444"/>
    </w:p>
    <w:p>
      <w:pPr>
        <w:pStyle w:val="BodyText"/>
      </w:pPr>
      <w:r>
        <w:t xml:space="preserve">All policies in this section are </w:t>
      </w:r>
      <w:r>
        <w:rPr>
          <w:b/>
          <w:bCs/>
        </w:rPr>
        <w:t xml:space="preserve">scoped to all Windows devices</w:t>
      </w:r>
      <w:r>
        <w:t xml:space="preserve">, deployed first to a </w:t>
      </w:r>
      <w:r>
        <w:rPr>
          <w:b/>
          <w:bCs/>
        </w:rPr>
        <w:t xml:space="preserve">pilot ring</w:t>
      </w:r>
      <w:r>
        <w:t xml:space="preserve"> and then broadly once the pilot is verified. </w:t>
      </w:r>
      <w:r>
        <w:rPr>
          <w:b/>
          <w:bCs/>
        </w:rPr>
        <w:t xml:space="preserve">Pilot ring membership is named at implementation.</w:t>
      </w:r>
      <w:commentRangeStart w:id="2088"/>
      <w:r>
        <w:rPr>
          <w:highlight w:val="yellow"/>
        </w:rPr>
        <w:t xml:space="preserve"> [TBD: pilot ring members]</w:t>
      </w:r>
      <w:commentRangeEnd w:id="2088"/>
      <w:r>
        <w:rPr>
          <w:rStyle w:val="CommentReference"/>
        </w:rPr>
        <w:commentReference w:id="2088"/>
      </w:r>
      <w:r>
        <w:t xml:space="preserve"> The device inventory by site and type is collected by WMP during pre-migration device preparation.</w:t>
      </w:r>
    </w:p>
    <w:p>
      <w:pPr>
        <w:pStyle w:val="Heading3"/>
      </w:pPr>
      <w:bookmarkStart w:id="2445" w:name="_Toc238480045"/>
      <w:r>
        <w:t xml:space="preserve">Group Policy Coexistence</w:t>
      </w:r>
      <w:bookmarkEnd w:id="2445"/>
    </w:p>
    <w:p>
      <w:pPr>
        <w:pStyle w:val="BodyText"/>
      </w:pPr>
      <w:r>
        <w:t xml:space="preserve">Group Policy remains authoritative for drive mappings and printer deployment. A Group Policy export and a Group Policy to Intune equivalence mapping are produced during this workstream, together with a documented list of settings that cannot be reproduced in Intune. Those exceptions are referred to WMP for decision. Printer management remains Group Policy-based; WMP is separately evaluating Kyocera MyPrint.</w:t>
      </w:r>
    </w:p>
    <w:p w14:paraId="66F2183F" w14:textId="77777777" w:rsidR="0004046D" w:rsidRDefault="0036471E" w:rsidP="0036471E">
      <w:pPr>
        <w:pStyle w:val="Heading1"/>
      </w:pPr>
      <w:bookmarkStart w:id="2014" w:name="_Toc238470010"/>
      <w:r>
        <w:lastRenderedPageBreak/>
        <w:t>Migration Design</w:t>
      </w:r>
      <w:bookmarkEnd w:id="2014"/>
    </w:p>
    <w:p w14:paraId="70992650" w14:textId="77777777" w:rsidR="00707319" w:rsidRDefault="00DA1607" w:rsidP="006D281B">
      <w:pPr>
        <w:pStyle w:val="Heading2"/>
      </w:pPr>
      <w:bookmarkStart w:id="2015" w:name="_Toc238470011"/>
      <w:r>
        <w:t>M365 Migration - AvePoint Fly</w:t>
      </w:r>
      <w:bookmarkEnd w:id="2015"/>
    </w:p>
    <w:p w14:paraId="3E5FCDD0" w14:textId="77777777" w:rsidR="00807F88" w:rsidRPr="00807F88" w:rsidRDefault="00807F88" w:rsidP="00644A8A">
      <w:pPr>
        <w:pStyle w:val="BodyText"/>
      </w:pPr>
      <w:r>
        <w:t>Microsoft 365 workload migrations will be executed using AvePoint Fly to support structured discovery, pre-staging, delta synchronization, and controlled cutover. Migration jobs will be organized by workload and business unit to allow phased validation and rollback isolation if required.</w:t>
      </w:r>
    </w:p>
    <w:p w14:paraId="7C677D0D" w14:textId="77777777" w:rsidR="00807F88" w:rsidRPr="00807F88" w:rsidRDefault="00807F88" w:rsidP="00644A8A">
      <w:pPr>
        <w:pStyle w:val="BodyText"/>
      </w:pPr>
      <w:r>
        <w:t>Migration activities will include:</w:t>
      </w:r>
    </w:p>
    <w:p w14:paraId="2935496B" w14:textId="77777777" w:rsidR="00807F88" w:rsidRPr="00807F88" w:rsidRDefault="00807F88" w:rsidP="00807F88">
      <w:pPr>
        <w:pStyle w:val="ListTA"/>
      </w:pPr>
      <w:r>
        <w:t>Source discovery and inventory validation</w:t>
      </w:r>
    </w:p>
    <w:p w14:paraId="7C4E64B6" w14:textId="77777777" w:rsidR="00807F88" w:rsidRPr="00807F88" w:rsidRDefault="00807F88" w:rsidP="00807F88">
      <w:pPr>
        <w:pStyle w:val="ListTA"/>
      </w:pPr>
      <w:r>
        <w:t>Permissions mapping and identity validation</w:t>
      </w:r>
    </w:p>
    <w:p w14:paraId="667A87F6" w14:textId="77777777" w:rsidR="00807F88" w:rsidRPr="00807F88" w:rsidRDefault="00807F88" w:rsidP="00807F88">
      <w:pPr>
        <w:pStyle w:val="ListTA"/>
      </w:pPr>
      <w:r>
        <w:t>Pre-migration reporting (size, permissions, conflicts)</w:t>
      </w:r>
    </w:p>
    <w:p w14:paraId="05BECD4D" w14:textId="77777777" w:rsidR="00807F88" w:rsidRPr="00807F88" w:rsidRDefault="00807F88" w:rsidP="00807F88">
      <w:pPr>
        <w:pStyle w:val="ListTA"/>
      </w:pPr>
      <w:r>
        <w:t>Test migration batches</w:t>
      </w:r>
    </w:p>
    <w:p w14:paraId="03D6A9CA" w14:textId="77777777" w:rsidR="00807F88" w:rsidRPr="00807F88" w:rsidRDefault="00807F88" w:rsidP="00807F88">
      <w:pPr>
        <w:pStyle w:val="ListTA"/>
      </w:pPr>
      <w:r>
        <w:t>Production pre-stage sync</w:t>
      </w:r>
    </w:p>
    <w:p w14:paraId="5D3C614E" w14:textId="77777777" w:rsidR="00807F88" w:rsidRPr="00807F88" w:rsidRDefault="00807F88" w:rsidP="00807F88">
      <w:pPr>
        <w:pStyle w:val="ListTA"/>
      </w:pPr>
      <w:r>
        <w:t>Delta sync prior to cutover</w:t>
      </w:r>
    </w:p>
    <w:p w14:paraId="706DCCA4" w14:textId="77777777" w:rsidR="00807F88" w:rsidRPr="00807F88" w:rsidRDefault="00807F88" w:rsidP="00807F88">
      <w:pPr>
        <w:pStyle w:val="ListTA"/>
      </w:pPr>
      <w:r>
        <w:t>Post-migration validation reporting</w:t>
      </w:r>
    </w:p>
    <w:p>
      <w:pPr>
        <w:pStyle w:val="Heading3"/>
      </w:pPr>
      <w:bookmarkStart w:id="2446" w:name="_Toc238480046"/>
      <w:r>
        <w:t xml:space="preserve">Migration Scope and Prerequisites</w:t>
      </w:r>
      <w:bookmarkEnd w:id="2446"/>
    </w:p>
    <w:p>
      <w:pPr>
        <w:pStyle w:val="ListTA"/>
      </w:pPr>
      <w:r>
        <w:rPr>
          <w:b/>
          <w:bCs/>
        </w:rPr>
        <w:t xml:space="preserve">Single cutover event.</w:t>
      </w:r>
      <w:r>
        <w:t xml:space="preserve"> The migration is executed as one cutover rather than a phased coexistence. There is no extended coexistence window, and no cross-tenant free/busy or Teams federation between the commercial and GCC High tenants is required.</w:t>
      </w:r>
    </w:p>
    <w:p>
      <w:pPr>
        <w:pStyle w:val="ListTA"/>
      </w:pPr>
      <w:r>
        <w:rPr>
          <w:b/>
          <w:bCs/>
        </w:rPr>
        <w:t xml:space="preserve">Cross-cloud support confirmed.</w:t>
      </w:r>
      <w:r>
        <w:t xml:space="preserve"> AvePoint Fly supports a Commercial-to-GCC High cross-cloud migration. Fly runs as a SaaS service hosted in Azure East US.</w:t>
      </w:r>
    </w:p>
    <w:p>
      <w:pPr>
        <w:pStyle w:val="ListTA"/>
      </w:pPr>
      <w:r>
        <w:rPr>
          <w:b/>
          <w:bCs/>
        </w:rPr>
        <w:t xml:space="preserve">Source access.</w:t>
      </w:r>
      <w:r>
        <w:t xml:space="preserve"> Global Administrator access to the Microsoft 365 Commercial tenant is available to Essendis for the whole migration window. AvePoint Fly authenticates using app registrations, which are excluded from Conditional Access for the duration (see Conditional Access Rollout and Exclusions).</w:t>
      </w:r>
    </w:p>
    <w:p>
      <w:pPr>
        <w:pStyle w:val="ListTA"/>
      </w:pPr>
      <w:r>
        <w:rPr>
          <w:b/>
          <w:bCs/>
        </w:rPr>
        <w:t xml:space="preserve">In migration scope:</w:t>
      </w:r>
      <w:r>
        <w:t xml:space="preserve"> mailboxes, OneDrive, SharePoint sites, and Teams content, as detailed below.</w:t>
      </w:r>
    </w:p>
    <w:p>
      <w:pPr>
        <w:pStyle w:val="ListTA"/>
      </w:pPr>
      <w:r>
        <w:rPr>
          <w:b/>
          <w:bCs/>
        </w:rPr>
        <w:t xml:space="preserve">Out of migration scope:</w:t>
      </w:r>
      <w:r>
        <w:t xml:space="preserve"> Planner, Forms, Viva, Power Automate, Power Apps, and Power BI content are not migrated. On-premises file shares are not migrated (see Scope).</w:t>
      </w:r>
    </w:p>
    <w:p>
      <w:pPr>
        <w:pStyle w:val="ListTA"/>
      </w:pPr>
      <w:r>
        <w:rPr>
          <w:b/>
          <w:bCs/>
        </w:rPr>
        <w:t xml:space="preserve">PST archives.</w:t>
      </w:r>
      <w:r>
        <w:t xml:space="preserve"> Approximately </w:t>
      </w:r>
      <w:r>
        <w:rPr>
          <w:b/>
          <w:bCs/>
        </w:rPr>
        <w:t xml:space="preserve">20 PST archives, totalling about 50 GB</w:t>
      </w:r>
      <w:r>
        <w:t xml:space="preserve">, will be ingested and merged into the users’ active mailboxes as part of the migration. There is no third-party mail archive platform to migrate.</w:t>
      </w:r>
    </w:p>
    <w:p>
      <w:pPr>
        <w:pStyle w:val="ListTA"/>
      </w:pPr>
      <w:r>
        <w:rPr>
          <w:b/>
          <w:bCs/>
        </w:rPr>
        <w:t xml:space="preserve">Discovery scan.</w:t>
      </w:r>
      <w:r>
        <w:t xml:space="preserve"> The AvePoint discovery scan is scheduled once the discovery scripts are provided to WMP and reviewed; WMP requires review of custom scripts before execution and can support discovery activity quickly once instructions arrive. Mailbox and site sizing for batch planning comes from that scan.</w:t>
      </w:r>
    </w:p>
    <w:p>
      <w:pPr>
        <w:pStyle w:val="ListTA"/>
      </w:pPr>
      <w:r>
        <w:rPr>
          <w:b/>
          <w:bCs/>
        </w:rPr>
        <w:t xml:space="preserve">Third-party integrations.</w:t>
      </w:r>
      <w:r>
        <w:t xml:space="preserve"> NinjaOne, Keeper, and Fortra access mailboxes and calendars in the current tenant. Each integration is </w:t>
      </w:r>
      <w:r>
        <w:rPr>
          <w:b/>
          <w:bCs/>
        </w:rPr>
        <w:t xml:space="preserve">re-consented against the GCC High tenant</w:t>
      </w:r>
      <w:r>
        <w:t xml:space="preserve"> as part of the migration and validated afterwards. No applications authenticate through Microsoft 365 today.</w:t>
      </w:r>
    </w:p>
    <w:p w14:paraId="3F50B194" w14:textId="77777777" w:rsidR="00A31358" w:rsidRDefault="00A31358" w:rsidP="006E3D31">
      <w:pPr>
        <w:pStyle w:val="Heading3"/>
      </w:pPr>
      <w:bookmarkStart w:id="2016" w:name="_Toc238470012"/>
      <w:r>
        <w:t>Email</w:t>
      </w:r>
      <w:bookmarkEnd w:id="2016"/>
    </w:p>
    <w:p w14:paraId="15B95A4D" w14:textId="77777777" w:rsidR="001212B0" w:rsidRPr="001212B0" w:rsidRDefault="001212B0" w:rsidP="00A44D4D">
      <w:pPr>
        <w:pStyle w:val="BodyText"/>
      </w:pPr>
      <w:r>
        <w:t>Mailbox migration will include:</w:t>
      </w:r>
    </w:p>
    <w:p w14:paraId="02CA0628" w14:textId="77777777" w:rsidR="001212B0" w:rsidRPr="001212B0" w:rsidRDefault="001212B0" w:rsidP="00A44D4D">
      <w:pPr>
        <w:pStyle w:val="ListTA"/>
      </w:pPr>
      <w:r>
        <w:t>User mailboxes</w:t>
      </w:r>
    </w:p>
    <w:p w14:paraId="1B5AD944" w14:textId="77777777" w:rsidR="001212B0" w:rsidRPr="001212B0" w:rsidRDefault="001212B0" w:rsidP="00A44D4D">
      <w:pPr>
        <w:pStyle w:val="ListTA"/>
      </w:pPr>
      <w:r>
        <w:t>Shared mailboxes</w:t>
      </w:r>
    </w:p>
    <w:p w14:paraId="074DCA0B" w14:textId="77777777" w:rsidR="001212B0" w:rsidRPr="001212B0" w:rsidRDefault="001212B0" w:rsidP="00A44D4D">
      <w:pPr>
        <w:pStyle w:val="ListTA"/>
      </w:pPr>
      <w:r>
        <w:t>Distribution lists and M365 groups</w:t>
      </w:r>
    </w:p>
    <w:p w14:paraId="4E4CC549" w14:textId="77777777" w:rsidR="001212B0" w:rsidRPr="001212B0" w:rsidRDefault="001212B0" w:rsidP="00A44D4D">
      <w:pPr>
        <w:pStyle w:val="ListTA"/>
      </w:pPr>
      <w:r>
        <w:t>Calendar data</w:t>
      </w:r>
    </w:p>
    <w:p w14:paraId="723971AF" w14:textId="77777777" w:rsidR="001212B0" w:rsidRPr="001212B0" w:rsidRDefault="001212B0" w:rsidP="00A44D4D">
      <w:pPr>
        <w:pStyle w:val="ListTA"/>
      </w:pPr>
      <w:r>
        <w:t>Contacts and tasks</w:t>
      </w:r>
    </w:p>
    <w:p w14:paraId="20CB438F" w14:textId="77777777" w:rsidR="001212B0" w:rsidRPr="001212B0" w:rsidRDefault="001212B0" w:rsidP="00A44D4D">
      <w:pPr>
        <w:pStyle w:val="BodyText"/>
      </w:pPr>
      <w:r>
        <w:t>Mail flow will remain unchanged during pre-stage synchronization. Final cutover will involve DNS (MX/Autodiscover) validation if applicable, followed by a delta synchronization and client profile validation.</w:t>
      </w:r>
    </w:p>
    <w:p w14:paraId="30EB7787" w14:textId="77777777" w:rsidR="001212B0" w:rsidRPr="001212B0" w:rsidRDefault="001212B0" w:rsidP="00A44D4D">
      <w:pPr>
        <w:pStyle w:val="BodyText"/>
      </w:pPr>
      <w:r>
        <w:t>Validation includes:</w:t>
      </w:r>
    </w:p>
    <w:p w14:paraId="545540D2" w14:textId="77777777" w:rsidR="001212B0" w:rsidRPr="001212B0" w:rsidRDefault="001212B0" w:rsidP="00A44D4D">
      <w:pPr>
        <w:pStyle w:val="ListTA"/>
      </w:pPr>
      <w:r>
        <w:t>Mailbox size reconciliation</w:t>
      </w:r>
    </w:p>
    <w:p w14:paraId="65A49CC4" w14:textId="77777777" w:rsidR="001212B0" w:rsidRPr="001212B0" w:rsidRDefault="001212B0" w:rsidP="00A44D4D">
      <w:pPr>
        <w:pStyle w:val="ListTA"/>
      </w:pPr>
      <w:r>
        <w:t>Randomized message sampling</w:t>
      </w:r>
    </w:p>
    <w:p w14:paraId="771EFB4B" w14:textId="77777777" w:rsidR="001212B0" w:rsidRPr="001212B0" w:rsidRDefault="001212B0" w:rsidP="00A44D4D">
      <w:pPr>
        <w:pStyle w:val="ListTA"/>
      </w:pPr>
      <w:r>
        <w:t>Calendar integrity validation</w:t>
      </w:r>
    </w:p>
    <w:p w14:paraId="7A9B6241" w14:textId="77777777" w:rsidR="001212B0" w:rsidRPr="001212B0" w:rsidRDefault="001212B0" w:rsidP="00A44D4D">
      <w:pPr>
        <w:pStyle w:val="ListTA"/>
      </w:pPr>
      <w:r>
        <w:lastRenderedPageBreak/>
        <w:t>Shared mailbox access confirmation</w:t>
      </w:r>
    </w:p>
    <w:p w14:paraId="36155B1D" w14:textId="77777777" w:rsidR="00A31358" w:rsidRDefault="00A31358" w:rsidP="006E3D31">
      <w:pPr>
        <w:pStyle w:val="Heading3"/>
      </w:pPr>
      <w:bookmarkStart w:id="2017" w:name="_Toc238470013"/>
      <w:r>
        <w:t>SharePoint</w:t>
      </w:r>
      <w:bookmarkEnd w:id="2017"/>
    </w:p>
    <w:p w14:paraId="6C5538FB" w14:textId="77777777" w:rsidR="001212B0" w:rsidRPr="001212B0" w:rsidRDefault="001212B0" w:rsidP="00A44D4D">
      <w:pPr>
        <w:pStyle w:val="BodyText"/>
      </w:pPr>
      <w:r>
        <w:t>SharePoint Online migration will include:</w:t>
      </w:r>
    </w:p>
    <w:p w14:paraId="1C77E009" w14:textId="77777777" w:rsidR="001212B0" w:rsidRPr="001212B0" w:rsidRDefault="001212B0" w:rsidP="00A44D4D">
      <w:pPr>
        <w:pStyle w:val="ListTA"/>
      </w:pPr>
      <w:r>
        <w:t>Site collections</w:t>
      </w:r>
    </w:p>
    <w:p w14:paraId="3DDA6DA5" w14:textId="77777777" w:rsidR="001212B0" w:rsidRPr="001212B0" w:rsidRDefault="001212B0" w:rsidP="00A44D4D">
      <w:pPr>
        <w:pStyle w:val="ListTA"/>
      </w:pPr>
      <w:r>
        <w:t>Document libraries</w:t>
      </w:r>
    </w:p>
    <w:p w14:paraId="7FAD2B81" w14:textId="77777777" w:rsidR="001212B0" w:rsidRPr="001212B0" w:rsidRDefault="001212B0" w:rsidP="00A44D4D">
      <w:pPr>
        <w:pStyle w:val="ListTA"/>
      </w:pPr>
      <w:r>
        <w:t>Lists (where supported)</w:t>
      </w:r>
    </w:p>
    <w:p w14:paraId="316AE887" w14:textId="77777777" w:rsidR="001212B0" w:rsidRPr="001212B0" w:rsidRDefault="001212B0" w:rsidP="00A44D4D">
      <w:pPr>
        <w:pStyle w:val="ListTA"/>
      </w:pPr>
      <w:r>
        <w:t>Permissions (unique and inherited)</w:t>
      </w:r>
    </w:p>
    <w:p w14:paraId="6D6755D6" w14:textId="77777777" w:rsidR="001212B0" w:rsidRPr="001212B0" w:rsidRDefault="001212B0" w:rsidP="00A44D4D">
      <w:pPr>
        <w:pStyle w:val="ListTA"/>
      </w:pPr>
      <w:r>
        <w:t>Version history (where required)</w:t>
      </w:r>
    </w:p>
    <w:p w14:paraId="3054E7EE" w14:textId="77777777" w:rsidR="001212B0" w:rsidRPr="001212B0" w:rsidRDefault="001212B0" w:rsidP="00A44D4D">
      <w:pPr>
        <w:pStyle w:val="BodyText"/>
      </w:pPr>
      <w:r>
        <w:t>Site structure will be reviewed prior to migration to eliminate legacy sprawl. Pre-staging will allow content synchronization while users remain active in the source system. Delta sync will occur during the final migration window.</w:t>
      </w:r>
    </w:p>
    <w:p>
      <w:pPr>
        <w:pStyle w:val="BodyText"/>
      </w:pPr>
      <w:commentRangeStart w:id="2084"/>
      <w:r>
        <w:t xml:space="preserve">The sites and teams in migration scope are recorded as follows:</w:t>
      </w:r>
      <w:commentRangeEnd w:id="2084"/>
      <w:r>
        <w:rPr>
          <w:rStyle w:val="CommentReference"/>
        </w:rPr>
        <w:commentReference w:id="2084"/>
      </w:r>
    </w:p>
    <w:tbl>
      <w:tblPr>
        <w:tblStyle w:val="TableGrid"/>
        <w:tblW w:w="0" w:type="auto"/>
        <w:tblLook w:val="04A0" w:firstRow="1" w:lastRow="0" w:firstColumn="1" w:lastColumn="0" w:noHBand="0" w:noVBand="1"/>
      </w:tblPr>
      <w:tblGrid>
        <w:gridCol w:w="2800"/>
        <w:gridCol w:w="2200"/>
        <w:gridCol w:w="3470"/>
        <w:gridCol w:w="1600"/>
      </w:tblGrid>
      <w:tr>
        <w:tc>
          <w:tcPr>
            <w:tcW w:w="2800" w:type="dxa"/>
          </w:tcPr>
          <w:p>
            <w:pPr>
              <w:spacing w:line="360" w:lineRule="auto"/>
              <w:rPr>
                <w:b/>
                <w:bCs/>
                <w:sz w:val="21"/>
                <w:szCs w:val="21"/>
              </w:rPr>
            </w:pPr>
            <w:r>
              <w:rPr>
                <w:b/>
                <w:bCs/>
                <w:sz w:val="21"/>
                <w:szCs w:val="21"/>
              </w:rPr>
              <w:t xml:space="preserve">Site/Team</w:t>
            </w:r>
          </w:p>
        </w:tc>
        <w:tc>
          <w:tcPr>
            <w:tcW w:w="2200" w:type="dxa"/>
          </w:tcPr>
          <w:p>
            <w:pPr>
              <w:spacing w:line="360" w:lineRule="auto"/>
              <w:rPr>
                <w:b/>
                <w:bCs/>
                <w:sz w:val="21"/>
                <w:szCs w:val="21"/>
              </w:rPr>
            </w:pPr>
            <w:r>
              <w:rPr>
                <w:b/>
                <w:bCs/>
                <w:sz w:val="21"/>
                <w:szCs w:val="21"/>
              </w:rPr>
              <w:t xml:space="preserve">Owner</w:t>
            </w:r>
          </w:p>
        </w:tc>
        <w:tc>
          <w:tcPr>
            <w:tcW w:w="3470" w:type="dxa"/>
          </w:tcPr>
          <w:p>
            <w:pPr>
              <w:spacing w:line="360" w:lineRule="auto"/>
              <w:rPr>
                <w:b/>
                <w:bCs/>
                <w:sz w:val="21"/>
                <w:szCs w:val="21"/>
              </w:rPr>
            </w:pPr>
            <w:r>
              <w:rPr>
                <w:b/>
                <w:bCs/>
                <w:sz w:val="21"/>
                <w:szCs w:val="21"/>
              </w:rPr>
              <w:t xml:space="preserve">Type (M365 Group / standalone)</w:t>
            </w:r>
          </w:p>
        </w:tc>
        <w:tc>
          <w:tcPr>
            <w:tcW w:w="1600" w:type="dxa"/>
          </w:tcPr>
          <w:p>
            <w:pPr>
              <w:spacing w:line="360" w:lineRule="auto"/>
              <w:rPr>
                <w:b/>
                <w:bCs/>
                <w:sz w:val="21"/>
                <w:szCs w:val="21"/>
              </w:rPr>
            </w:pPr>
            <w:r>
              <w:rPr>
                <w:b/>
                <w:bCs/>
                <w:sz w:val="21"/>
                <w:szCs w:val="21"/>
              </w:rPr>
              <w:t xml:space="preserve">Migrate?</w:t>
            </w:r>
          </w:p>
        </w:tc>
      </w:tr>
      <w:tr>
        <w:tc>
          <w:tcPr>
            <w:tcW w:w="2800" w:type="dxa"/>
          </w:tcPr>
          <w:p>
            <w:pPr>
              <w:spacing w:line="360" w:lineRule="auto"/>
              <w:rPr>
                <w:i/>
                <w:iCs/>
                <w:sz w:val="21"/>
                <w:szCs w:val="21"/>
              </w:rPr>
            </w:pPr>
            <w:r>
              <w:rPr>
                <w:i/>
                <w:iCs/>
                <w:sz w:val="21"/>
                <w:szCs w:val="21"/>
              </w:rPr>
              <w:t xml:space="preserve">e.g., Engineering</w:t>
            </w:r>
          </w:p>
        </w:tc>
        <w:tc>
          <w:tcPr>
            <w:tcW w:w="2200" w:type="dxa"/>
          </w:tcPr>
          <w:p>
            <w:pPr>
              <w:spacing w:line="360" w:lineRule="auto"/>
              <w:rPr>
                <w:i/>
                <w:iCs/>
                <w:sz w:val="21"/>
                <w:szCs w:val="21"/>
              </w:rPr>
            </w:pPr>
            <w:r>
              <w:rPr>
                <w:i/>
                <w:iCs/>
                <w:sz w:val="21"/>
                <w:szCs w:val="21"/>
              </w:rPr>
              <w:t xml:space="preserve">(owner)</w:t>
            </w:r>
          </w:p>
        </w:tc>
        <w:tc>
          <w:tcPr>
            <w:tcW w:w="3470" w:type="dxa"/>
          </w:tcPr>
          <w:p>
            <w:pPr>
              <w:spacing w:line="360" w:lineRule="auto"/>
              <w:rPr>
                <w:i/>
                <w:iCs/>
                <w:sz w:val="21"/>
                <w:szCs w:val="21"/>
              </w:rPr>
            </w:pPr>
            <w:r>
              <w:rPr>
                <w:i/>
                <w:iCs/>
                <w:sz w:val="21"/>
                <w:szCs w:val="21"/>
              </w:rPr>
              <w:t xml:space="preserve">M365 Group</w:t>
            </w:r>
          </w:p>
        </w:tc>
        <w:tc>
          <w:tcPr>
            <w:tcW w:w="1600" w:type="dxa"/>
          </w:tcPr>
          <w:p>
            <w:pPr>
              <w:spacing w:line="360" w:lineRule="auto"/>
              <w:rPr>
                <w:i/>
                <w:iCs/>
                <w:sz w:val="21"/>
                <w:szCs w:val="21"/>
              </w:rPr>
            </w:pPr>
            <w:r>
              <w:rPr>
                <w:i/>
                <w:iCs/>
                <w:sz w:val="21"/>
                <w:szCs w:val="21"/>
              </w:rPr>
              <w:t xml:space="preserve">Yes</w:t>
            </w:r>
          </w:p>
        </w:tc>
      </w:tr>
      <w:tr>
        <w:tc>
          <w:tcPr>
            <w:tcW w:w="2800" w:type="dxa"/>
          </w:tcPr>
          <w:p>
            <w:pPr>
              <w:spacing w:line="360" w:lineRule="auto"/>
              <w:rPr>
                <w:sz w:val="21"/>
                <w:szCs w:val="21"/>
              </w:rPr>
            </w:pPr>
          </w:p>
        </w:tc>
        <w:tc>
          <w:tcPr>
            <w:tcW w:w="2200" w:type="dxa"/>
          </w:tcPr>
          <w:p>
            <w:pPr>
              <w:spacing w:line="360" w:lineRule="auto"/>
              <w:rPr>
                <w:sz w:val="21"/>
                <w:szCs w:val="21"/>
              </w:rPr>
            </w:pPr>
          </w:p>
        </w:tc>
        <w:tc>
          <w:tcPr>
            <w:tcW w:w="3470" w:type="dxa"/>
          </w:tcPr>
          <w:p>
            <w:pPr>
              <w:spacing w:line="360" w:lineRule="auto"/>
              <w:rPr>
                <w:sz w:val="21"/>
                <w:szCs w:val="21"/>
              </w:rPr>
            </w:pPr>
          </w:p>
        </w:tc>
        <w:tc>
          <w:tcPr>
            <w:tcW w:w="1600" w:type="dxa"/>
          </w:tcPr>
          <w:p>
            <w:pPr>
              <w:spacing w:line="360" w:lineRule="auto"/>
              <w:rPr>
                <w:sz w:val="21"/>
                <w:szCs w:val="21"/>
              </w:rPr>
            </w:pPr>
          </w:p>
        </w:tc>
      </w:tr>
      <w:tr>
        <w:tc>
          <w:tcPr>
            <w:tcW w:w="2800" w:type="dxa"/>
          </w:tcPr>
          <w:p>
            <w:pPr>
              <w:spacing w:line="360" w:lineRule="auto"/>
              <w:rPr>
                <w:sz w:val="21"/>
                <w:szCs w:val="21"/>
              </w:rPr>
            </w:pPr>
          </w:p>
        </w:tc>
        <w:tc>
          <w:tcPr>
            <w:tcW w:w="2200" w:type="dxa"/>
          </w:tcPr>
          <w:p>
            <w:pPr>
              <w:spacing w:line="360" w:lineRule="auto"/>
              <w:rPr>
                <w:sz w:val="21"/>
                <w:szCs w:val="21"/>
              </w:rPr>
            </w:pPr>
          </w:p>
        </w:tc>
        <w:tc>
          <w:tcPr>
            <w:tcW w:w="3470" w:type="dxa"/>
          </w:tcPr>
          <w:p>
            <w:pPr>
              <w:spacing w:line="360" w:lineRule="auto"/>
              <w:rPr>
                <w:sz w:val="21"/>
                <w:szCs w:val="21"/>
              </w:rPr>
            </w:pPr>
          </w:p>
        </w:tc>
        <w:tc>
          <w:tcPr>
            <w:tcW w:w="1600" w:type="dxa"/>
          </w:tcPr>
          <w:p>
            <w:pPr>
              <w:spacing w:line="360" w:lineRule="auto"/>
              <w:rPr>
                <w:sz w:val="21"/>
                <w:szCs w:val="21"/>
              </w:rPr>
            </w:pPr>
          </w:p>
        </w:tc>
      </w:tr>
      <w:tr>
        <w:tc>
          <w:tcPr>
            <w:tcW w:w="2800" w:type="dxa"/>
          </w:tcPr>
          <w:p>
            <w:pPr>
              <w:spacing w:line="360" w:lineRule="auto"/>
              <w:rPr>
                <w:sz w:val="21"/>
                <w:szCs w:val="21"/>
              </w:rPr>
            </w:pPr>
          </w:p>
        </w:tc>
        <w:tc>
          <w:tcPr>
            <w:tcW w:w="2200" w:type="dxa"/>
          </w:tcPr>
          <w:p>
            <w:pPr>
              <w:spacing w:line="360" w:lineRule="auto"/>
              <w:rPr>
                <w:sz w:val="21"/>
                <w:szCs w:val="21"/>
              </w:rPr>
            </w:pPr>
          </w:p>
        </w:tc>
        <w:tc>
          <w:tcPr>
            <w:tcW w:w="3470" w:type="dxa"/>
          </w:tcPr>
          <w:p>
            <w:pPr>
              <w:spacing w:line="360" w:lineRule="auto"/>
              <w:rPr>
                <w:sz w:val="21"/>
                <w:szCs w:val="21"/>
              </w:rPr>
            </w:pPr>
          </w:p>
        </w:tc>
        <w:tc>
          <w:tcPr>
            <w:tcW w:w="1600" w:type="dxa"/>
          </w:tcPr>
          <w:p>
            <w:pPr>
              <w:spacing w:line="360" w:lineRule="auto"/>
              <w:rPr>
                <w:sz w:val="21"/>
                <w:szCs w:val="21"/>
              </w:rPr>
            </w:pPr>
          </w:p>
        </w:tc>
      </w:tr>
    </w:tbl>
    <w:p w14:paraId="44527299" w14:textId="77777777" w:rsidR="001212B0" w:rsidRPr="001212B0" w:rsidRDefault="001212B0" w:rsidP="00A44D4D">
      <w:pPr>
        <w:pStyle w:val="BodyText"/>
      </w:pPr>
      <w:r>
        <w:t>Post-migration validation will confirm:</w:t>
      </w:r>
    </w:p>
    <w:p w14:paraId="2A0328F5" w14:textId="77777777" w:rsidR="001212B0" w:rsidRPr="001212B0" w:rsidRDefault="001212B0" w:rsidP="00A44D4D">
      <w:pPr>
        <w:pStyle w:val="ListTA"/>
      </w:pPr>
      <w:r>
        <w:t>File counts</w:t>
      </w:r>
    </w:p>
    <w:p w14:paraId="5646FC85" w14:textId="77777777" w:rsidR="001212B0" w:rsidRPr="001212B0" w:rsidRDefault="001212B0" w:rsidP="00A44D4D">
      <w:pPr>
        <w:pStyle w:val="ListTA"/>
      </w:pPr>
      <w:r>
        <w:t>Folder structure integrity</w:t>
      </w:r>
    </w:p>
    <w:p w14:paraId="7C525906" w14:textId="77777777" w:rsidR="001212B0" w:rsidRPr="001212B0" w:rsidRDefault="001212B0" w:rsidP="00A44D4D">
      <w:pPr>
        <w:pStyle w:val="ListTA"/>
      </w:pPr>
      <w:r>
        <w:t>Permission inheritance</w:t>
      </w:r>
    </w:p>
    <w:p w14:paraId="7E2E2BCB" w14:textId="77777777" w:rsidR="001212B0" w:rsidRPr="001212B0" w:rsidRDefault="001212B0" w:rsidP="00A44D4D">
      <w:pPr>
        <w:pStyle w:val="ListTA"/>
      </w:pPr>
      <w:r>
        <w:t>External sharing configuration alignment</w:t>
      </w:r>
    </w:p>
    <w:p w14:paraId="4C530B3F" w14:textId="77777777" w:rsidR="00A31358" w:rsidRDefault="00A31358" w:rsidP="006E3D31">
      <w:pPr>
        <w:pStyle w:val="Heading3"/>
      </w:pPr>
      <w:bookmarkStart w:id="2018" w:name="_Toc238470014"/>
      <w:r>
        <w:t>OneDrive</w:t>
      </w:r>
      <w:bookmarkEnd w:id="2018"/>
    </w:p>
    <w:p w14:paraId="28E35D82" w14:textId="77777777" w:rsidR="001212B0" w:rsidRPr="001212B0" w:rsidRDefault="001212B0" w:rsidP="00A44D4D">
      <w:pPr>
        <w:pStyle w:val="BodyText"/>
      </w:pPr>
      <w:r>
        <w:t>User OneDrive content will be migrated with preservation of:</w:t>
      </w:r>
    </w:p>
    <w:p w14:paraId="3587141A" w14:textId="77777777" w:rsidR="001212B0" w:rsidRPr="001212B0" w:rsidRDefault="001212B0" w:rsidP="00A44D4D">
      <w:pPr>
        <w:pStyle w:val="ListTA"/>
      </w:pPr>
      <w:r>
        <w:t>Folder hierarchy</w:t>
      </w:r>
    </w:p>
    <w:p w14:paraId="1A1AF50D" w14:textId="77777777" w:rsidR="001212B0" w:rsidRPr="001212B0" w:rsidRDefault="001212B0" w:rsidP="00A44D4D">
      <w:pPr>
        <w:pStyle w:val="ListTA"/>
      </w:pPr>
      <w:r>
        <w:t>File metadata</w:t>
      </w:r>
    </w:p>
    <w:p w14:paraId="1737B1C4" w14:textId="77777777" w:rsidR="001212B0" w:rsidRPr="001212B0" w:rsidRDefault="001212B0" w:rsidP="00A44D4D">
      <w:pPr>
        <w:pStyle w:val="ListTA"/>
      </w:pPr>
      <w:r>
        <w:t>Version history (as defined in scope)</w:t>
      </w:r>
    </w:p>
    <w:p w14:paraId="4EAB6EF7" w14:textId="77777777" w:rsidR="001212B0" w:rsidRPr="001212B0" w:rsidRDefault="001212B0" w:rsidP="00A44D4D">
      <w:pPr>
        <w:pStyle w:val="ListTA"/>
      </w:pPr>
      <w:r>
        <w:t>Sharing links (where technically supported)</w:t>
      </w:r>
    </w:p>
    <w:p w14:paraId="21CCCD81" w14:textId="77777777" w:rsidR="001212B0" w:rsidRPr="001212B0" w:rsidRDefault="001212B0" w:rsidP="00A44D4D">
      <w:pPr>
        <w:pStyle w:val="BodyText"/>
      </w:pPr>
      <w:r>
        <w:t>User communication will instruct users to avoid large file modifications during final delta sync windows.</w:t>
      </w:r>
    </w:p>
    <w:p w14:paraId="48F48430" w14:textId="77777777" w:rsidR="00A31358" w:rsidRDefault="00A31358" w:rsidP="006E3D31">
      <w:pPr>
        <w:pStyle w:val="Heading3"/>
      </w:pPr>
      <w:bookmarkStart w:id="2019" w:name="_Toc238470015"/>
      <w:r>
        <w:t>Teams</w:t>
      </w:r>
      <w:bookmarkEnd w:id="2019"/>
    </w:p>
    <w:p w14:paraId="677FF35C" w14:textId="77777777" w:rsidR="001212B0" w:rsidRPr="001212B0" w:rsidRDefault="001212B0" w:rsidP="00A44D4D">
      <w:pPr>
        <w:pStyle w:val="BodyText"/>
      </w:pPr>
      <w:r>
        <w:t>Teams migration will include:</w:t>
      </w:r>
    </w:p>
    <w:p w14:paraId="32A80D07" w14:textId="77777777" w:rsidR="001212B0" w:rsidRPr="001212B0" w:rsidRDefault="001212B0" w:rsidP="005411FB">
      <w:pPr>
        <w:pStyle w:val="ListTA"/>
      </w:pPr>
      <w:r>
        <w:t>Team structure</w:t>
      </w:r>
    </w:p>
    <w:p w14:paraId="7408A200" w14:textId="77777777" w:rsidR="001212B0" w:rsidRPr="001212B0" w:rsidRDefault="001212B0" w:rsidP="005411FB">
      <w:pPr>
        <w:pStyle w:val="ListTA"/>
      </w:pPr>
      <w:r>
        <w:lastRenderedPageBreak/>
        <w:t>Channel configuration</w:t>
      </w:r>
    </w:p>
    <w:p w14:paraId="0A3BDFC0" w14:textId="77777777" w:rsidR="001212B0" w:rsidRPr="001212B0" w:rsidRDefault="001212B0" w:rsidP="005411FB">
      <w:pPr>
        <w:pStyle w:val="ListTA"/>
      </w:pPr>
      <w:r>
        <w:t>Associated SharePoint content</w:t>
      </w:r>
    </w:p>
    <w:p w14:paraId="36038511" w14:textId="77777777" w:rsidR="001212B0" w:rsidRDefault="001212B0" w:rsidP="005411FB">
      <w:pPr>
        <w:pStyle w:val="ListTA"/>
      </w:pPr>
      <w:r>
        <w:t>Membership mapping</w:t>
      </w:r>
    </w:p>
    <w:p w14:paraId="4014BF7B" w14:textId="77777777" w:rsidR="00A44D4D" w:rsidRPr="001212B0" w:rsidRDefault="00A44D4D" w:rsidP="005411FB">
      <w:pPr>
        <w:pStyle w:val="ListTA"/>
      </w:pPr>
      <w:r>
        <w:t xml:space="preserve">Chat and channel message history, confirmed supported by AvePoint Fly for this migration</w:t>
      </w:r>
    </w:p>
    <w:p w14:paraId="7702B782" w14:textId="77777777" w:rsidR="004168CE" w:rsidRDefault="004168CE" w:rsidP="006E3D31">
      <w:pPr>
        <w:pStyle w:val="Heading3"/>
      </w:pPr>
      <w:bookmarkStart w:id="2020" w:name="_Toc238470016"/>
      <w:r>
        <w:t>Constraints</w:t>
      </w:r>
      <w:bookmarkEnd w:id="2020"/>
    </w:p>
    <w:p w14:paraId="3E46F0A9" w14:textId="77777777" w:rsidR="00A4540F" w:rsidRPr="00A4540F" w:rsidRDefault="00A4540F" w:rsidP="005411FB">
      <w:pPr>
        <w:pStyle w:val="BodyText"/>
      </w:pPr>
      <w:r>
        <w:t>Key constraints include:</w:t>
      </w:r>
    </w:p>
    <w:p w14:paraId="428B55BE" w14:textId="77777777" w:rsidR="00A4540F" w:rsidRPr="00A4540F" w:rsidRDefault="00A4540F" w:rsidP="005411FB">
      <w:pPr>
        <w:pStyle w:val="ListTA"/>
      </w:pPr>
      <w:r>
        <w:t>Source system health and consistency</w:t>
      </w:r>
    </w:p>
    <w:p w14:paraId="76652566" w14:textId="77777777" w:rsidR="00A4540F" w:rsidRPr="00A4540F" w:rsidRDefault="00A4540F" w:rsidP="005411FB">
      <w:pPr>
        <w:pStyle w:val="ListTA"/>
      </w:pPr>
      <w:r>
        <w:t>API throttling limits within Microsoft 365</w:t>
      </w:r>
    </w:p>
    <w:p w14:paraId="2158AFEB" w14:textId="77777777" w:rsidR="00A4540F" w:rsidRPr="00A4540F" w:rsidRDefault="00A4540F" w:rsidP="005411FB">
      <w:pPr>
        <w:pStyle w:val="ListTA"/>
      </w:pPr>
      <w:r>
        <w:t>Bandwidth availability for large pre-stage transfers</w:t>
      </w:r>
    </w:p>
    <w:p w14:paraId="62619992" w14:textId="77777777" w:rsidR="00A4540F" w:rsidRPr="00A4540F" w:rsidRDefault="00A4540F" w:rsidP="005411FB">
      <w:pPr>
        <w:pStyle w:val="ListTA"/>
      </w:pPr>
      <w:r>
        <w:t>User activity during migration windows</w:t>
      </w:r>
    </w:p>
    <w:p w14:paraId="554D4FA7" w14:textId="77777777" w:rsidR="00A4540F" w:rsidRPr="00A4540F" w:rsidRDefault="00A4540F" w:rsidP="005411FB">
      <w:pPr>
        <w:pStyle w:val="ListTA"/>
      </w:pPr>
      <w:r>
        <w:t>Third-party integrations referencing legacy URLs</w:t>
      </w:r>
    </w:p>
    <w:p w14:paraId="11F59CCD" w14:textId="77777777" w:rsidR="00A4540F" w:rsidRPr="00A4540F" w:rsidRDefault="00A4540F" w:rsidP="005411FB">
      <w:pPr>
        <w:pStyle w:val="BodyText"/>
      </w:pPr>
      <w:r>
        <w:t>Any unsupported artifacts or legacy customizations will be documented prior to execution.</w:t>
      </w:r>
    </w:p>
    <w:p w14:paraId="168D23DD" w14:textId="77777777" w:rsidR="00A31358" w:rsidRDefault="00A31358" w:rsidP="001B68FE">
      <w:pPr>
        <w:pStyle w:val="Heading3"/>
      </w:pPr>
      <w:bookmarkStart w:id="2021" w:name="_Toc238470017"/>
      <w:r>
        <w:t>Approach – Prestage</w:t>
      </w:r>
      <w:bookmarkEnd w:id="2021"/>
    </w:p>
    <w:p w14:paraId="3FA5A263" w14:textId="77777777" w:rsidR="00A4540F" w:rsidRPr="00A4540F" w:rsidRDefault="00A4540F" w:rsidP="005411FB">
      <w:pPr>
        <w:pStyle w:val="BodyText"/>
      </w:pPr>
      <w:r>
        <w:t>The migration approach will follow a staged model:</w:t>
      </w:r>
    </w:p>
    <w:p w14:paraId="50538648" w14:textId="77777777" w:rsidR="00A4540F" w:rsidRPr="00A4540F" w:rsidRDefault="00A4540F" w:rsidP="005411FB">
      <w:pPr>
        <w:pStyle w:val="ListTA"/>
      </w:pPr>
      <w:r>
        <w:t>Discovery and validation</w:t>
      </w:r>
    </w:p>
    <w:p w14:paraId="2F535B96" w14:textId="77777777" w:rsidR="00A4540F" w:rsidRPr="00A4540F" w:rsidRDefault="00A4540F" w:rsidP="005411FB">
      <w:pPr>
        <w:pStyle w:val="ListTA"/>
      </w:pPr>
      <w:r>
        <w:t>Pre-stage bulk data synchronization</w:t>
      </w:r>
    </w:p>
    <w:p w14:paraId="2BED64C2" w14:textId="77777777" w:rsidR="00A4540F" w:rsidRPr="00A4540F" w:rsidRDefault="00A4540F" w:rsidP="005411FB">
      <w:pPr>
        <w:pStyle w:val="ListTA"/>
      </w:pPr>
      <w:r>
        <w:t>User validation of staged data (read-only where applicable)</w:t>
      </w:r>
    </w:p>
    <w:p w14:paraId="4D3F2318" w14:textId="77777777" w:rsidR="00A4540F" w:rsidRPr="00A4540F" w:rsidRDefault="00A4540F" w:rsidP="005411FB">
      <w:pPr>
        <w:pStyle w:val="ListTA"/>
      </w:pPr>
      <w:r>
        <w:t>Final delta synchronization</w:t>
      </w:r>
    </w:p>
    <w:p w14:paraId="0A32278A" w14:textId="77777777" w:rsidR="00A4540F" w:rsidRPr="00A4540F" w:rsidRDefault="00A4540F" w:rsidP="005411FB">
      <w:pPr>
        <w:pStyle w:val="ListTA"/>
      </w:pPr>
      <w:r>
        <w:t>Controlled cutover</w:t>
      </w:r>
    </w:p>
    <w:p w14:paraId="4123881D" w14:textId="77777777" w:rsidR="00A4540F" w:rsidRPr="00A4540F" w:rsidRDefault="00A4540F" w:rsidP="005411FB">
      <w:pPr>
        <w:pStyle w:val="ListTA"/>
      </w:pPr>
      <w:r>
        <w:t>Post-migration support window</w:t>
      </w:r>
    </w:p>
    <w:p w14:paraId="0B29961B" w14:textId="77777777" w:rsidR="00A4540F" w:rsidRPr="00A4540F" w:rsidRDefault="00A4540F" w:rsidP="005411FB">
      <w:pPr>
        <w:pStyle w:val="BodyText"/>
      </w:pPr>
      <w:r>
        <w:t>This model reduces outage time to the minimum necessary for DNS updates, client reconfiguration, and delta processing.</w:t>
      </w:r>
    </w:p>
    <w:p>
      <w:pPr>
        <w:pStyle w:val="Heading2"/>
      </w:pPr>
      <w:bookmarkStart w:id="2447" w:name="_Toc238480047"/>
      <w:r>
        <w:t xml:space="preserve">Device Migration – ForensIT User Profile Wizard</w:t>
      </w:r>
      <w:bookmarkEnd w:id="2447"/>
    </w:p>
    <w:p>
      <w:pPr>
        <w:pStyle w:val="BodyText"/>
      </w:pPr>
      <w:r>
        <w:t xml:space="preserve">Windows devices </w:t>
      </w:r>
      <w:r>
        <w:rPr>
          <w:b/>
          <w:bCs/>
        </w:rPr>
        <w:t xml:space="preserve">remain joined to the on-premises Active Directory domain</w:t>
      </w:r>
      <w:r>
        <w:t xml:space="preserve"> and are </w:t>
      </w:r>
      <w:r>
        <w:rPr>
          <w:b/>
          <w:bCs/>
        </w:rPr>
        <w:t xml:space="preserve">hybrid-joined to the GCC High tenant</w:t>
      </w:r>
      <w:r>
        <w:t xml:space="preserve">. ForensIT User Profile Wizard is used to map each user’s existing local Windows profile from its Microsoft 365 Commercial identity to the corresponding GCC High account, so that user state, settings, and application configuration are preserved without reimaging.</w:t>
      </w:r>
    </w:p>
    <w:p>
      <w:pPr>
        <w:pStyle w:val="BodyText"/>
      </w:pPr>
      <w:r>
        <w:t xml:space="preserve">Conversion is executed in </w:t>
      </w:r>
      <w:r>
        <w:rPr>
          <w:b/>
          <w:bCs/>
        </w:rPr>
        <w:t xml:space="preserve">waves organized by office</w:t>
      </w:r>
      <w:r>
        <w:t xml:space="preserve">. All devices can be brought into the office for the conversion and encryption work, so no remote conversion path is required.</w:t>
      </w:r>
    </w:p>
    <w:p>
      <w:pPr>
        <w:pStyle w:val="BodyText"/>
      </w:pPr>
      <w:r>
        <w:t xml:space="preserve">Per-device activities:</w:t>
      </w:r>
    </w:p>
    <w:p>
      <w:pPr>
        <w:pStyle w:val="ListTA"/>
      </w:pPr>
      <w:r>
        <w:t xml:space="preserve">Pre-migration device health validation, including Windows 11 and TPM eligibility. Devices that cannot meet the compliance requirement are identified before the wave and handled as exceptions.</w:t>
      </w:r>
    </w:p>
    <w:p>
      <w:pPr>
        <w:pStyle w:val="ListTA"/>
      </w:pPr>
      <w:r>
        <w:t xml:space="preserve">Backup of the local profile.</w:t>
      </w:r>
    </w:p>
    <w:p>
      <w:pPr>
        <w:pStyle w:val="ListTA"/>
      </w:pPr>
      <w:r>
        <w:rPr>
          <w:b/>
          <w:bCs/>
        </w:rPr>
        <w:t xml:space="preserve">Full BitLocker decryption</w:t>
      </w:r>
      <w:r>
        <w:t xml:space="preserve"> of the device, followed by </w:t>
      </w:r>
      <w:r>
        <w:rPr>
          <w:b/>
          <w:bCs/>
        </w:rPr>
        <w:t xml:space="preserve">re-encryption under the FIPS-compliant policy</w:t>
      </w:r>
      <w:r>
        <w:t xml:space="preserve"> described under Windows Endpoint Management. Decrypt and re-encrypt time is boxed per wave and is the principal driver of wave sizing.</w:t>
      </w:r>
    </w:p>
    <w:p>
      <w:pPr>
        <w:pStyle w:val="ListTA"/>
      </w:pPr>
      <w:r>
        <w:t xml:space="preserve">Profile reassignment to the GCC High identity with ForensIT.</w:t>
      </w:r>
    </w:p>
    <w:p>
      <w:pPr>
        <w:pStyle w:val="ListTA"/>
      </w:pPr>
      <w:r>
        <w:t xml:space="preserve">Hybrid join registration confirmed against the GCC High tenant, and Intune enrollment confirmed.</w:t>
      </w:r>
    </w:p>
    <w:p>
      <w:pPr>
        <w:pStyle w:val="ListTA"/>
      </w:pPr>
      <w:r>
        <w:t xml:space="preserve">Compliance policy validation.</w:t>
      </w:r>
    </w:p>
    <w:p>
      <w:pPr>
        <w:pStyle w:val="ListTA"/>
      </w:pPr>
      <w:r>
        <w:t xml:space="preserve">Validation of user settings and application configuration.</w:t>
      </w:r>
    </w:p>
    <w:p>
      <w:pPr>
        <w:pStyle w:val="ListTA"/>
      </w:pPr>
      <w:r>
        <w:rPr>
          <w:b/>
          <w:bCs/>
        </w:rPr>
        <w:t xml:space="preserve">Application redeployment through NinjaOne</w:t>
      </w:r>
      <w:r>
        <w:t xml:space="preserve"> where required. Intune is not used for Windows application deployment.</w:t>
      </w:r>
    </w:p>
    <w:p>
      <w:pPr>
        <w:pStyle w:val="BodyText"/>
      </w:pPr>
      <w:r>
        <w:t xml:space="preserve">The conversion is </w:t>
      </w:r>
      <w:r>
        <w:rPr>
          <w:b/>
          <w:bCs/>
        </w:rPr>
        <w:t xml:space="preserve">scripted and driven through NinjaOne</w:t>
      </w:r>
      <w:r>
        <w:t xml:space="preserve">, which pushes the commands and packages for each wave. The Windows device inventory by site and type is collected by WMP during pre-migration device preparation and drives the wave plan.</w:t>
      </w:r>
    </w:p>
    <w:p>
      <w:pPr>
        <w:pStyle w:val="BodyText"/>
      </w:pPr>
      <w:commentRangeStart w:id="2087"/>
      <w:r>
        <w:t xml:space="preserve">The Windows device inventory by site and type is recorded as follows:</w:t>
      </w:r>
      <w:commentRangeEnd w:id="2087"/>
      <w:r>
        <w:rPr>
          <w:rStyle w:val="CommentReference"/>
        </w:rPr>
        <w:commentReference w:id="2087"/>
      </w:r>
    </w:p>
    <w:tbl>
      <w:tblPr>
        <w:tblStyle w:val="TableGrid"/>
        <w:tblW w:w="0" w:type="auto"/>
        <w:tblLook w:val="04A0" w:firstRow="1" w:lastRow="0" w:firstColumn="1" w:lastColumn="0" w:noHBand="0" w:noVBand="1"/>
      </w:tblPr>
      <w:tblGrid>
        <w:gridCol w:w="2400"/>
        <w:gridCol w:w="1500"/>
        <w:gridCol w:w="1500"/>
        <w:gridCol w:w="2200"/>
        <w:gridCol w:w="2470"/>
      </w:tblGrid>
      <w:tr>
        <w:tc>
          <w:tcPr>
            <w:tcW w:w="2400" w:type="dxa"/>
          </w:tcPr>
          <w:p>
            <w:pPr>
              <w:spacing w:line="360" w:lineRule="auto"/>
              <w:rPr>
                <w:b/>
                <w:bCs/>
                <w:sz w:val="21"/>
                <w:szCs w:val="21"/>
              </w:rPr>
            </w:pPr>
            <w:r>
              <w:rPr>
                <w:b/>
                <w:bCs/>
                <w:sz w:val="21"/>
                <w:szCs w:val="21"/>
              </w:rPr>
              <w:t xml:space="preserve">Site</w:t>
            </w:r>
          </w:p>
        </w:tc>
        <w:tc>
          <w:tcPr>
            <w:tcW w:w="1500" w:type="dxa"/>
          </w:tcPr>
          <w:p>
            <w:pPr>
              <w:spacing w:line="360" w:lineRule="auto"/>
              <w:rPr>
                <w:b/>
                <w:bCs/>
                <w:sz w:val="21"/>
                <w:szCs w:val="21"/>
              </w:rPr>
            </w:pPr>
            <w:r>
              <w:rPr>
                <w:b/>
                <w:bCs/>
                <w:sz w:val="21"/>
                <w:szCs w:val="21"/>
              </w:rPr>
              <w:t xml:space="preserve">Desktops</w:t>
            </w:r>
          </w:p>
        </w:tc>
        <w:tc>
          <w:tcPr>
            <w:tcW w:w="1500" w:type="dxa"/>
          </w:tcPr>
          <w:p>
            <w:pPr>
              <w:spacing w:line="360" w:lineRule="auto"/>
              <w:rPr>
                <w:b/>
                <w:bCs/>
                <w:sz w:val="21"/>
                <w:szCs w:val="21"/>
              </w:rPr>
            </w:pPr>
            <w:r>
              <w:rPr>
                <w:b/>
                <w:bCs/>
                <w:sz w:val="21"/>
                <w:szCs w:val="21"/>
              </w:rPr>
              <w:t xml:space="preserve">Laptops</w:t>
            </w:r>
          </w:p>
        </w:tc>
        <w:tc>
          <w:tcPr>
            <w:tcW w:w="2200" w:type="dxa"/>
          </w:tcPr>
          <w:p>
            <w:pPr>
              <w:spacing w:line="360" w:lineRule="auto"/>
              <w:rPr>
                <w:b/>
                <w:bCs/>
                <w:sz w:val="21"/>
                <w:szCs w:val="21"/>
              </w:rPr>
            </w:pPr>
            <w:r>
              <w:rPr>
                <w:b/>
                <w:bCs/>
                <w:sz w:val="21"/>
                <w:szCs w:val="21"/>
              </w:rPr>
              <w:t xml:space="preserve">Shop-floor terminals</w:t>
            </w:r>
          </w:p>
        </w:tc>
        <w:tc>
          <w:tcPr>
            <w:tcW w:w="2470" w:type="dxa"/>
          </w:tcPr>
          <w:p>
            <w:pPr>
              <w:spacing w:line="360" w:lineRule="auto"/>
              <w:rPr>
                <w:b/>
                <w:bCs/>
                <w:sz w:val="21"/>
                <w:szCs w:val="21"/>
              </w:rPr>
            </w:pPr>
            <w:r>
              <w:rPr>
                <w:b/>
                <w:bCs/>
                <w:sz w:val="21"/>
                <w:szCs w:val="21"/>
              </w:rPr>
              <w:t xml:space="preserve">Notes</w:t>
            </w:r>
          </w:p>
        </w:tc>
      </w:tr>
      <w:tr>
        <w:tc>
          <w:tcPr>
            <w:tcW w:w="2400" w:type="dxa"/>
          </w:tcPr>
          <w:p>
            <w:pPr>
              <w:spacing w:line="360" w:lineRule="auto"/>
              <w:rPr>
                <w:i/>
                <w:iCs/>
                <w:sz w:val="21"/>
                <w:szCs w:val="21"/>
              </w:rPr>
            </w:pPr>
            <w:r>
              <w:rPr>
                <w:i/>
                <w:iCs/>
                <w:sz w:val="21"/>
                <w:szCs w:val="21"/>
              </w:rPr>
              <w:t xml:space="preserve">e.g., WMP HQ</w:t>
            </w:r>
          </w:p>
        </w:tc>
        <w:tc>
          <w:tcPr>
            <w:tcW w:w="1500" w:type="dxa"/>
          </w:tcPr>
          <w:p>
            <w:pPr>
              <w:spacing w:line="360" w:lineRule="auto"/>
              <w:rPr>
                <w:i/>
                <w:iCs/>
                <w:sz w:val="21"/>
                <w:szCs w:val="21"/>
              </w:rPr>
            </w:pPr>
            <w:r>
              <w:rPr>
                <w:i/>
                <w:iCs/>
                <w:sz w:val="21"/>
                <w:szCs w:val="21"/>
              </w:rPr>
              <w:t xml:space="preserve">(count)</w:t>
            </w:r>
          </w:p>
        </w:tc>
        <w:tc>
          <w:tcPr>
            <w:tcW w:w="1500" w:type="dxa"/>
          </w:tcPr>
          <w:p>
            <w:pPr>
              <w:spacing w:line="360" w:lineRule="auto"/>
              <w:rPr>
                <w:i/>
                <w:iCs/>
                <w:sz w:val="21"/>
                <w:szCs w:val="21"/>
              </w:rPr>
            </w:pPr>
            <w:r>
              <w:rPr>
                <w:i/>
                <w:iCs/>
                <w:sz w:val="21"/>
                <w:szCs w:val="21"/>
              </w:rPr>
              <w:t xml:space="preserve">(count)</w:t>
            </w:r>
          </w:p>
        </w:tc>
        <w:tc>
          <w:tcPr>
            <w:tcW w:w="2200" w:type="dxa"/>
          </w:tcPr>
          <w:p>
            <w:pPr>
              <w:spacing w:line="360" w:lineRule="auto"/>
              <w:rPr>
                <w:i/>
                <w:iCs/>
                <w:sz w:val="21"/>
                <w:szCs w:val="21"/>
              </w:rPr>
            </w:pPr>
            <w:r>
              <w:rPr>
                <w:i/>
                <w:iCs/>
                <w:sz w:val="21"/>
                <w:szCs w:val="21"/>
              </w:rPr>
              <w:t xml:space="preserve">(count)</w:t>
            </w:r>
          </w:p>
        </w:tc>
        <w:tc>
          <w:tcPr>
            <w:tcW w:w="2470" w:type="dxa"/>
          </w:tcPr>
          <w:p>
            <w:pPr>
              <w:spacing w:line="360" w:lineRule="auto"/>
              <w:rPr>
                <w:i/>
                <w:iCs/>
                <w:sz w:val="21"/>
                <w:szCs w:val="21"/>
              </w:rPr>
            </w:pPr>
            <w:r>
              <w:rPr>
                <w:i/>
                <w:iCs/>
                <w:sz w:val="21"/>
                <w:szCs w:val="21"/>
              </w:rPr>
              <w:t xml:space="preserve">shared shop-floor PCs counted separately</w:t>
            </w:r>
          </w:p>
        </w:tc>
      </w:tr>
      <w:tr>
        <w:tc>
          <w:tcPr>
            <w:tcW w:w="2400" w:type="dxa"/>
          </w:tcPr>
          <w:p>
            <w:pPr>
              <w:spacing w:line="360" w:lineRule="auto"/>
              <w:rPr>
                <w:sz w:val="21"/>
                <w:szCs w:val="21"/>
              </w:rPr>
            </w:pPr>
          </w:p>
        </w:tc>
        <w:tc>
          <w:tcPr>
            <w:tcW w:w="1500" w:type="dxa"/>
          </w:tcPr>
          <w:p>
            <w:pPr>
              <w:spacing w:line="360" w:lineRule="auto"/>
              <w:rPr>
                <w:sz w:val="21"/>
                <w:szCs w:val="21"/>
              </w:rPr>
            </w:pPr>
          </w:p>
        </w:tc>
        <w:tc>
          <w:tcPr>
            <w:tcW w:w="1500" w:type="dxa"/>
          </w:tcPr>
          <w:p>
            <w:pPr>
              <w:spacing w:line="360" w:lineRule="auto"/>
              <w:rPr>
                <w:sz w:val="21"/>
                <w:szCs w:val="21"/>
              </w:rPr>
            </w:pPr>
          </w:p>
        </w:tc>
        <w:tc>
          <w:tcPr>
            <w:tcW w:w="2200" w:type="dxa"/>
          </w:tcPr>
          <w:p>
            <w:pPr>
              <w:spacing w:line="360" w:lineRule="auto"/>
              <w:rPr>
                <w:sz w:val="21"/>
                <w:szCs w:val="21"/>
              </w:rPr>
            </w:pPr>
          </w:p>
        </w:tc>
        <w:tc>
          <w:tcPr>
            <w:tcW w:w="2470" w:type="dxa"/>
          </w:tcPr>
          <w:p>
            <w:pPr>
              <w:spacing w:line="360" w:lineRule="auto"/>
              <w:rPr>
                <w:sz w:val="21"/>
                <w:szCs w:val="21"/>
              </w:rPr>
            </w:pPr>
          </w:p>
        </w:tc>
      </w:tr>
      <w:tr>
        <w:tc>
          <w:tcPr>
            <w:tcW w:w="2400" w:type="dxa"/>
          </w:tcPr>
          <w:p>
            <w:pPr>
              <w:spacing w:line="360" w:lineRule="auto"/>
              <w:rPr>
                <w:sz w:val="21"/>
                <w:szCs w:val="21"/>
              </w:rPr>
            </w:pPr>
          </w:p>
        </w:tc>
        <w:tc>
          <w:tcPr>
            <w:tcW w:w="1500" w:type="dxa"/>
          </w:tcPr>
          <w:p>
            <w:pPr>
              <w:spacing w:line="360" w:lineRule="auto"/>
              <w:rPr>
                <w:sz w:val="21"/>
                <w:szCs w:val="21"/>
              </w:rPr>
            </w:pPr>
          </w:p>
        </w:tc>
        <w:tc>
          <w:tcPr>
            <w:tcW w:w="1500" w:type="dxa"/>
          </w:tcPr>
          <w:p>
            <w:pPr>
              <w:spacing w:line="360" w:lineRule="auto"/>
              <w:rPr>
                <w:sz w:val="21"/>
                <w:szCs w:val="21"/>
              </w:rPr>
            </w:pPr>
          </w:p>
        </w:tc>
        <w:tc>
          <w:tcPr>
            <w:tcW w:w="2200" w:type="dxa"/>
          </w:tcPr>
          <w:p>
            <w:pPr>
              <w:spacing w:line="360" w:lineRule="auto"/>
              <w:rPr>
                <w:sz w:val="21"/>
                <w:szCs w:val="21"/>
              </w:rPr>
            </w:pPr>
          </w:p>
        </w:tc>
        <w:tc>
          <w:tcPr>
            <w:tcW w:w="2470" w:type="dxa"/>
          </w:tcPr>
          <w:p>
            <w:pPr>
              <w:spacing w:line="360" w:lineRule="auto"/>
              <w:rPr>
                <w:sz w:val="21"/>
                <w:szCs w:val="21"/>
              </w:rPr>
            </w:pPr>
          </w:p>
        </w:tc>
      </w:tr>
      <w:tr>
        <w:tc>
          <w:tcPr>
            <w:tcW w:w="2400" w:type="dxa"/>
          </w:tcPr>
          <w:p>
            <w:pPr>
              <w:spacing w:line="360" w:lineRule="auto"/>
              <w:rPr>
                <w:sz w:val="21"/>
                <w:szCs w:val="21"/>
              </w:rPr>
            </w:pPr>
          </w:p>
        </w:tc>
        <w:tc>
          <w:tcPr>
            <w:tcW w:w="1500" w:type="dxa"/>
          </w:tcPr>
          <w:p>
            <w:pPr>
              <w:spacing w:line="360" w:lineRule="auto"/>
              <w:rPr>
                <w:sz w:val="21"/>
                <w:szCs w:val="21"/>
              </w:rPr>
            </w:pPr>
          </w:p>
        </w:tc>
        <w:tc>
          <w:tcPr>
            <w:tcW w:w="1500" w:type="dxa"/>
          </w:tcPr>
          <w:p>
            <w:pPr>
              <w:spacing w:line="360" w:lineRule="auto"/>
              <w:rPr>
                <w:sz w:val="21"/>
                <w:szCs w:val="21"/>
              </w:rPr>
            </w:pPr>
          </w:p>
        </w:tc>
        <w:tc>
          <w:tcPr>
            <w:tcW w:w="2200" w:type="dxa"/>
          </w:tcPr>
          <w:p>
            <w:pPr>
              <w:spacing w:line="360" w:lineRule="auto"/>
              <w:rPr>
                <w:sz w:val="21"/>
                <w:szCs w:val="21"/>
              </w:rPr>
            </w:pPr>
          </w:p>
        </w:tc>
        <w:tc>
          <w:tcPr>
            <w:tcW w:w="2470" w:type="dxa"/>
          </w:tcPr>
          <w:p>
            <w:pPr>
              <w:spacing w:line="360" w:lineRule="auto"/>
              <w:rPr>
                <w:sz w:val="21"/>
                <w:szCs w:val="21"/>
              </w:rPr>
            </w:pPr>
          </w:p>
        </w:tc>
      </w:tr>
    </w:tbl>
    <w:p>
      <w:pPr>
        <w:pStyle w:val="BodyText"/>
      </w:pPr>
      <w:r>
        <w:t xml:space="preserve">This method avoids full device reimaging while preserving user state and minimizing downtime. Note that the earlier plan to move to pure Entra ID join and retire Group Policy is superseded by the hybrid join decision; the affected statement of work items are being re-planned.</w:t>
      </w:r>
    </w:p>
    <w:p>
      <w:pPr>
        <w:pStyle w:val="Heading2"/>
      </w:pPr>
      <w:bookmarkStart w:id="2291" w:name="_Toc238471043"/>
      <w:r>
        <w:t>On-Premises Exchange Decommission</w:t>
      </w:r>
      <w:bookmarkEnd w:id="2291"/>
    </w:p>
    <w:p>
      <w:pPr>
        <w:pStyle w:val="BodyText"/>
      </w:pPr>
      <w:r>
        <w:t xml:space="preserve">The on-premises Exchange 2016 environment </w:t>
      </w:r>
      <w:r>
        <w:rPr>
          <w:b/>
          <w:bCs/>
        </w:rPr>
        <w:t xml:space="preserve">serves as a management platform only</w:t>
      </w:r>
      <w:r>
        <w:t xml:space="preserve">. All mailboxes and mail flow were moved to Microsoft 365 previously, and no production mailboxes are hosted on premises. Decommission therefore removes the </w:t>
      </w:r>
      <w:r>
        <w:rPr>
          <w:b/>
          <w:bCs/>
        </w:rPr>
        <w:t xml:space="preserve">residual hybrid configuration and the Exchange management server</w:t>
      </w:r>
      <w:r>
        <w:t xml:space="preserve">, not live mail services.</w:t>
      </w:r>
    </w:p>
    <w:p>
      <w:pPr>
        <w:pStyle w:val="BodyText"/>
      </w:pPr>
      <w:commentRangeStart w:id="2097"/>
      <w:r>
        <w:rPr>
          <w:b/>
          <w:bCs/>
        </w:rPr>
        <w:t xml:space="preserve">Sequencing is not yet fixed and currently leans to post-cutover</w:t>
      </w:r>
      <w:r>
        <w:t xml:space="preserve">: the workstream does not begin until the GCC High migration is complete and validated, and until WMP has provided written decommission authorization. If WMP elects to sequence the work differently, the validation gate below still applies in full.</w:t>
      </w:r>
      <w:commentRangeEnd w:id="2097"/>
      <w:r>
        <w:rPr>
          <w:rStyle w:val="CommentReference"/>
        </w:rPr>
        <w:commentReference w:id="2097"/>
      </w:r>
    </w:p>
    <w:p>
      <w:pPr>
        <w:pStyle w:val="Heading3"/>
      </w:pPr>
      <w:bookmarkStart w:id="2448" w:name="_Toc238480048"/>
      <w:r>
        <w:t xml:space="preserve">Pre-Decommission Validation Gate</w:t>
      </w:r>
      <w:bookmarkEnd w:id="2448"/>
    </w:p>
    <w:p>
      <w:pPr>
        <w:pStyle w:val="BodyText"/>
      </w:pPr>
      <w:r>
        <w:t xml:space="preserve">Every item below must pass before any decommission activity begins. Failure of any item returns the effort to migration remediation.</w:t>
      </w:r>
    </w:p>
    <w:p>
      <w:pPr>
        <w:pStyle w:val="ListTA"/>
      </w:pPr>
      <w:r>
        <w:t xml:space="preserve">100% of user mailboxes active and accessible in Exchange Online GCC High.</w:t>
      </w:r>
    </w:p>
    <w:p>
      <w:pPr>
        <w:pStyle w:val="ListTA"/>
      </w:pPr>
      <w:r>
        <w:t xml:space="preserve">All shared mailboxes and room resource accounts functional in GCC High.</w:t>
      </w:r>
    </w:p>
    <w:p>
      <w:pPr>
        <w:pStyle w:val="ListTA"/>
      </w:pPr>
      <w:r>
        <w:t xml:space="preserve">Mail flow routing fully through the GCC High tenant. Because production mail flow does not traverse the on-premises organization today, this check confirms that no residual connector, transport, or relay path through the on-premises server remains.</w:t>
      </w:r>
    </w:p>
    <w:p>
      <w:pPr>
        <w:pStyle w:val="ListTA"/>
      </w:pPr>
      <w:r>
        <w:t xml:space="preserve">No applications or services still authenticating against on-premises Exchange, confirmed against SMTP relay clients, the Epicor ERP, the help-desk platform, and line-of-business applications.</w:t>
      </w:r>
    </w:p>
    <w:p>
      <w:pPr>
        <w:pStyle w:val="ListTA"/>
      </w:pPr>
      <w:r>
        <w:t xml:space="preserve">No on-premises SMTP relay dependencies remaining for printers, multifunction devices, or applications. All relay clients are redirected to Exchange Online GCC High at cutover (see Application and Device Mail Flow).</w:t>
      </w:r>
    </w:p>
    <w:p>
      <w:pPr>
        <w:pStyle w:val="ListTA"/>
      </w:pPr>
      <w:r>
        <w:rPr>
          <w:b/>
          <w:bCs/>
        </w:rPr>
        <w:t xml:space="preserve">A seven-day monitored hold completed</w:t>
      </w:r>
      <w:r>
        <w:t xml:space="preserve"> with no residual SMTP connections and no application authentication attempts recorded against the server. Essendis defines the evidence check applied during that window.</w:t>
      </w:r>
    </w:p>
    <w:p>
      <w:pPr>
        <w:pStyle w:val="ListTA"/>
      </w:pPr>
      <w:r>
        <w:rPr>
          <w:b/>
          <w:bCs/>
        </w:rPr>
        <w:t xml:space="preserve">Written decommission authorization signed by Kyle Mandersfield (WMP).</w:t>
      </w:r>
      <w:r>
        <w:t xml:space="preserve"> This authorization is a required gate and the work cannot proceed without it.</w:t>
      </w:r>
    </w:p>
    <w:p>
      <w:pPr>
        <w:pStyle w:val="Heading3"/>
      </w:pPr>
      <w:bookmarkStart w:id="2293" w:name="_Toc238471045"/>
      <w:r>
        <w:t>Mail Flow Cutover</w:t>
      </w:r>
      <w:bookmarkEnd w:id="2293"/>
    </w:p>
    <w:p>
      <w:pPr>
        <w:pStyle w:val="BodyText"/>
      </w:pPr>
      <w:r>
        <w:t>Mail flow cutover is completed as part of the migration workstream, not as part of decommission. MX, SPF, DKIM, DMARC, and Autodiscover records are repointed to GCC High during the DNS cutover window and validated for inbound, outbound, and internal mail before the decommission gate is assessed. Decommission activity begins only after that validation is complete.</w:t>
      </w:r>
    </w:p>
    <w:p>
      <w:pPr>
        <w:pStyle w:val="Heading3"/>
      </w:pPr>
      <w:bookmarkStart w:id="2294" w:name="_Toc238471046"/>
      <w:r>
        <w:t>Hybrid Configuration and Directory Services</w:t>
      </w:r>
      <w:bookmarkEnd w:id="2294"/>
    </w:p>
    <w:p>
      <w:pPr>
        <w:pStyle w:val="ListTA"/>
      </w:pPr>
      <w:r>
        <w:t>Hybrid mail flow connectors, send and receive, will be removed from Exchange.</w:t>
      </w:r>
    </w:p>
    <w:p>
      <w:pPr>
        <w:pStyle w:val="ListTA"/>
      </w:pPr>
      <w:r>
        <w:t>The Exchange Hybrid Configuration Wizard will be run to remove hybrid configuration objects.</w:t>
      </w:r>
    </w:p>
    <w:p>
      <w:pPr>
        <w:pStyle w:val="ListTA"/>
      </w:pPr>
      <w:r>
        <w:t>Exchange federation trust and organization relationships will be removed where present.</w:t>
      </w:r>
    </w:p>
    <w:p>
      <w:pPr>
        <w:pStyle w:val="ListTA"/>
      </w:pPr>
      <w:r>
        <w:t>Entra ID Connect will be verified as no longer requiring Exchange attributes from the on-premises organization.</w:t>
      </w:r>
    </w:p>
    <w:p>
      <w:pPr>
        <w:pStyle w:val="BodyText"/>
      </w:pPr>
      <w:r>
        <w:t xml:space="preserve">Entra ID Connect remains in place and directory synchronization from Active Directory continues after decommission. No Exchange server and no Exchange management server is retained. Exchange-related Active Directory attributes, including proxyAddresses and the msExch attribute set, will be cleaned up through Entra ID Connect or PowerShell, and the cleanup validated so that mail routing and directory synchronization are unaffected. The global address list will be confirmed accurate and complete in GCC High following cleanup.</w:t>
      </w:r>
    </w:p>
    <w:p>
      <w:pPr>
        <w:pStyle w:val="BodyText"/>
      </w:pPr>
      <w:r>
        <w:rPr>
          <w:b/>
          <w:bCs/>
        </w:rPr>
        <w:t xml:space="preserve">Ongoing recipient attribute management after decommission is WMP-owned.</w:t>
      </w:r>
      <w:r>
        <w:t xml:space="preserve"> Recipient changes are made against Active Directory attributes and synchronized through Entra ID Connect, rather than through Exchange management tools. The mechanism is recorded in the Configuration Document; </w:t>
      </w:r>
      <w:r>
        <w:rPr>
          <w:b/>
          <w:bCs/>
        </w:rPr>
        <w:t xml:space="preserve">Essendis does not deliver PowerShell runbooks or an operational procedure set for day-2 recipient management</w:t>
      </w:r>
      <w:r>
        <w:t xml:space="preserve">, and WMP owns those processes.</w:t>
      </w:r>
    </w:p>
    <w:p>
      <w:pPr>
        <w:pStyle w:val="Heading3"/>
      </w:pPr>
      <w:bookmarkStart w:id="2449" w:name="_Toc238480049"/>
      <w:r>
        <w:t xml:space="preserve">Monitored Hold and Server Removal</w:t>
      </w:r>
      <w:bookmarkEnd w:id="2449"/>
    </w:p>
    <w:p>
      <w:pPr>
        <w:pStyle w:val="BodyText"/>
      </w:pPr>
      <w:r>
        <w:t xml:space="preserve">Following hybrid and attribute cleanup, the Exchange management server remains in place and is monitored for </w:t>
      </w:r>
      <w:r>
        <w:rPr>
          <w:b/>
          <w:bCs/>
        </w:rPr>
        <w:t xml:space="preserve">seven days</w:t>
      </w:r>
      <w:r>
        <w:t xml:space="preserve"> for residual SMTP connections and application authentication attempts. Removal proceeds only once the server is confirmed idle for the full hold period and WMP’s written authorization is in hand.</w:t>
      </w:r>
    </w:p>
    <w:p>
      <w:pPr>
        <w:pStyle w:val="ListTA"/>
      </w:pPr>
      <w:r>
        <w:t xml:space="preserve">WMP will take a final backup of the Exchange server configuration and databases.</w:t>
      </w:r>
    </w:p>
    <w:p>
      <w:pPr>
        <w:pStyle w:val="ListTA"/>
      </w:pPr>
      <w:r>
        <w:t xml:space="preserve">The Exchange Server role will be uninstalled from the server.</w:t>
      </w:r>
    </w:p>
    <w:p>
      <w:pPr>
        <w:pStyle w:val="ListTA"/>
      </w:pPr>
      <w:r>
        <w:t xml:space="preserve">The Exchange server will be removed from Active Directory, including Sites and Services and schema-resident objects.</w:t>
      </w:r>
    </w:p>
    <w:p>
      <w:pPr>
        <w:pStyle w:val="ListTA"/>
      </w:pPr>
      <w:r>
        <w:t xml:space="preserve">Decommission of the server virtual machine or physical hardware is WMP-managed. Essendis scope ends at Exchange role removal.</w:t>
      </w:r>
    </w:p>
    <w:p>
      <w:pPr>
        <w:pStyle w:val="Heading3"/>
      </w:pPr>
      <w:bookmarkStart w:id="2296" w:name="_Toc238471048"/>
      <w:r>
        <w:t>Post-Decommission Validation</w:t>
      </w:r>
      <w:bookmarkEnd w:id="2296"/>
    </w:p>
    <w:p>
      <w:pPr>
        <w:pStyle w:val="ListTA"/>
      </w:pPr>
      <w:r>
        <w:t>Mail flow validated for inbound, outbound, and internal delivery with no on-premises dependency.</w:t>
      </w:r>
    </w:p>
    <w:p>
      <w:pPr>
        <w:pStyle w:val="ListTA"/>
      </w:pPr>
      <w:r>
        <w:t>Global address list validated as accurate and complete in GCC High.</w:t>
      </w:r>
    </w:p>
    <w:p>
      <w:pPr>
        <w:pStyle w:val="ListTA"/>
      </w:pPr>
      <w:r>
        <w:t>Entra ID Connect confirmed to no longer synchronize Exchange attributes from the removed server.</w:t>
      </w:r>
    </w:p>
    <w:p>
      <w:pPr>
        <w:pStyle w:val="ListTA"/>
      </w:pPr>
      <w:r>
        <w:t>No remaining SMTP relay or application dependency on Exchange.</w:t>
      </w:r>
    </w:p>
    <w:p>
      <w:pPr>
        <w:pStyle w:val="ListTA"/>
      </w:pPr>
      <w:r>
        <w:t>Decommission completion documented and delivered to WMP as the Exchange decommission sign-off.</w:t>
      </w:r>
    </w:p>
    <w:p>
      <w:pPr>
        <w:pStyle w:val="Heading3"/>
      </w:pPr>
      <w:bookmarkStart w:id="2450" w:name="_Toc238480050"/>
      <w:r>
        <w:t xml:space="preserve">Rollback Posture</w:t>
      </w:r>
      <w:bookmarkEnd w:id="2450"/>
    </w:p>
    <w:p>
      <w:pPr>
        <w:pStyle w:val="BodyText"/>
      </w:pPr>
      <w:r>
        <w:t xml:space="preserve">Through the validation gate period, the on-premises Exchange organization remains intact and serviceable as a management platform. Because </w:t>
      </w:r>
      <w:r>
        <w:rPr>
          <w:b/>
          <w:bCs/>
        </w:rPr>
        <w:t xml:space="preserve">no mailboxes are hosted on premises</w:t>
      </w:r>
      <w:r>
        <w:t xml:space="preserve">, mail service cannot be reverted to the on-premises organization: the rollback position for mail during the migration window is the Microsoft 365 Commercial tenant, which is retained until WMP decommissions it, and the DNS records changed at cutover are the mechanism for that reversion. Once hybrid configuration removal and Exchange role uninstall begin, the operation is one-way and the final backup is the only recovery point. WMP’s decommission authorization is therefore the point of no return, and it is withheld until every gate item passes.</w:t>
      </w:r>
    </w:p>
    <w:p w14:paraId="6A5F9FCC" w14:textId="77777777" w:rsidR="00413700" w:rsidRDefault="00413700" w:rsidP="00413700">
      <w:pPr>
        <w:pStyle w:val="Heading2"/>
      </w:pPr>
      <w:bookmarkStart w:id="2071" w:name="_Toc238470019"/>
      <w:r>
        <w:t>Schedule</w:t>
      </w:r>
      <w:bookmarkEnd w:id="2071"/>
    </w:p>
    <w:p>
      <w:pPr>
        <w:pStyle w:val="BodyText"/>
      </w:pPr>
      <w:r>
        <w:t xml:space="preserve">The cutover goal is </w:t>
      </w:r>
      <w:r>
        <w:rPr>
          <w:b/>
          <w:bCs/>
        </w:rPr>
        <w:t xml:space="preserve">mid-November</w:t>
      </w:r>
      <w:r>
        <w:t xml:space="preserve">, executed as a </w:t>
      </w:r>
      <w:r>
        <w:rPr>
          <w:b/>
          <w:bCs/>
        </w:rPr>
        <w:t xml:space="preserve">single cutover weekend</w:t>
      </w:r>
      <w:commentRangeStart w:id="2082"/>
      <w:r>
        <w:rPr>
          <w:highlight w:val="yellow"/>
        </w:rPr>
        <w:t xml:space="preserve"> [TBD: cutover weekend — mid-November, avoid Thanksgiving week]</w:t>
      </w:r>
      <w:commentRangeEnd w:id="2082"/>
      <w:r>
        <w:rPr>
          <w:rStyle w:val="CommentReference"/>
        </w:rPr>
        <w:commentReference w:id="2082"/>
      </w:r>
      <w:r>
        <w:t xml:space="preserve">. The schedule anchors to delivery of the GCC High licenses and creation of the tenant (see Licensing); implementation work runs from tenant creation to the cutover weekend.</w:t>
      </w:r>
    </w:p>
    <w:p>
      <w:pPr>
        <w:pStyle w:val="BodyText"/>
      </w:pPr>
      <w:r>
        <w:t xml:space="preserve">Essendis proposes candidate cutover weekends and WMP confirms the date. </w:t>
      </w:r>
      <w:r>
        <w:rPr>
          <w:b/>
          <w:bCs/>
        </w:rPr>
        <w:t xml:space="preserve">Thanksgiving week is avoided.</w:t>
      </w:r>
      <w:r>
        <w:t xml:space="preserve"> Operational readiness of the third site is targeted for mid-November and is tracked against the cutover date, since that site’s corporate network and Wi-Fi come online in the same window.</w:t>
      </w:r>
    </w:p>
    <w:p>
      <w:pPr>
        <w:pStyle w:val="BodyText"/>
      </w:pPr>
      <w:r>
        <w:t xml:space="preserve">Cutover window mechanics:</w:t>
      </w:r>
    </w:p>
    <w:p>
      <w:pPr>
        <w:pStyle w:val="ListTA"/>
      </w:pPr>
      <w:r>
        <w:t xml:space="preserve">DNS for wisconsinmetalparts.com is hosted at </w:t>
      </w:r>
      <w:r>
        <w:rPr>
          <w:b/>
          <w:bCs/>
        </w:rPr>
        <w:t xml:space="preserve">AWS</w:t>
      </w:r>
      <w:r>
        <w:t xml:space="preserve">. Administrative access to the AWS DNS zone is confirmed before the cutover weekend.</w:t>
      </w:r>
      <w:commentRangeStart w:id="2096"/>
      <w:r>
        <w:rPr>
          <w:highlight w:val="yellow"/>
        </w:rPr>
        <w:t xml:space="preserve"> [TBD: AWS DNS administrative access owner for cutover weekend]</w:t>
      </w:r>
      <w:commentRangeEnd w:id="2096"/>
      <w:r>
        <w:rPr>
          <w:rStyle w:val="CommentReference"/>
        </w:rPr>
        <w:commentReference w:id="2096"/>
      </w:r>
    </w:p>
    <w:p>
      <w:pPr>
        <w:pStyle w:val="ListTA"/>
      </w:pPr>
      <w:r>
        <w:rPr>
          <w:b/>
          <w:bCs/>
        </w:rPr>
        <w:t xml:space="preserve">TTLs on the affected records are reduced to 30 minutes five days before cutover.</w:t>
      </w:r>
    </w:p>
    <w:p>
      <w:pPr>
        <w:pStyle w:val="ListTA"/>
      </w:pPr>
      <w:r>
        <w:t xml:space="preserve">The domain must be released from the Microsoft 365 Commercial tenant before it can be verified in the GCC High tenant. That release-and-verify sequence produces a </w:t>
      </w:r>
      <w:r>
        <w:rPr>
          <w:b/>
          <w:bCs/>
        </w:rPr>
        <w:t xml:space="preserve">mail-flow gap of less than one hour</w:t>
      </w:r>
      <w:r>
        <w:t xml:space="preserve">, absorbed inside the cutover window; inbound mail queues at the sending servers and delivers when the domain resolves in the new tenant.</w:t>
      </w:r>
    </w:p>
    <w:p>
      <w:pPr>
        <w:pStyle w:val="ListTA"/>
      </w:pPr>
      <w:r>
        <w:t xml:space="preserve">Number porting with CallTower is scheduled so that number transitions and DNS changes do not overlap disruptively (see Prerequisites and Cutover Sequencing).</w:t>
      </w:r>
    </w:p>
    <w:p>
      <w:pPr>
        <w:pStyle w:val="BodyText"/>
      </w:pPr>
      <w:r>
        <w:t xml:space="preserve">Possible cutover dates:</w:t>
      </w:r>
    </w:p>
    <w:p w14:paraId="1484811D" w14:textId="3B1EB46E" w:rsidR="00557053" w:rsidRPr="002F350E" w:rsidRDefault="00557053" w:rsidP="00A44EFE">
      <w:pPr>
        <w:pStyle w:val="ListParagraph"/>
        <w:numPr>
          <w:ilvl w:val="0"/>
          <w:numId w:val="22"/>
        </w:numPr>
      </w:pPr>
      <w:commentRangeStart w:id="2073"/>
      <w:r>
        <w:t>TBD</w:t>
      </w:r>
      <w:commentRangeEnd w:id="2073"/>
      <w:r>
        <w:rPr>
          <w:rStyle w:val="CommentReference"/>
          <w:sz w:val="20"/>
          <w:szCs w:val="24"/>
        </w:rPr>
        <w:commentReference w:id="2073"/>
      </w:r>
    </w:p>
    <w:p w14:paraId="3A59FB98" w14:textId="77777777" w:rsidR="00413700" w:rsidRDefault="00413700" w:rsidP="00413700">
      <w:pPr>
        <w:pStyle w:val="Heading2"/>
      </w:pPr>
      <w:bookmarkStart w:id="2079" w:name="_Toc238470020"/>
      <w:r>
        <w:t>Communications</w:t>
      </w:r>
      <w:bookmarkEnd w:id="2079"/>
    </w:p>
    <w:p>
      <w:pPr>
        <w:pStyle w:val="BodyText"/>
      </w:pPr>
      <w:r>
        <w:t xml:space="preserve">A structured communication plan will be implemented. </w:t>
      </w:r>
      <w:r>
        <w:rPr>
          <w:b/>
          <w:bCs/>
        </w:rPr>
        <w:t xml:space="preserve">Essendis writes the communications; WMP approves them and sends them</w:t>
      </w:r>
      <w:r>
        <w:t xml:space="preserve"> from a WMP sender. The communications schedule is set once the cutover weekend is fixed (see Schedule). The package includes:</w:t>
      </w:r>
    </w:p>
    <w:p>
      <w:pPr>
        <w:pStyle w:val="ListTA"/>
      </w:pPr>
      <w:r>
        <w:t xml:space="preserve">Executive migration announcement</w:t>
      </w:r>
    </w:p>
    <w:p>
      <w:pPr>
        <w:pStyle w:val="ListTA"/>
      </w:pPr>
      <w:r>
        <w:t xml:space="preserve">End-user readiness notifications</w:t>
      </w:r>
    </w:p>
    <w:p>
      <w:pPr>
        <w:pStyle w:val="ListTA"/>
      </w:pPr>
      <w:r>
        <w:t xml:space="preserve">Multifactor authentication registration instructions, issued before cutover</w:t>
      </w:r>
    </w:p>
    <w:p>
      <w:pPr>
        <w:pStyle w:val="ListTA"/>
      </w:pPr>
      <w:r>
        <w:t xml:space="preserve">Cutover schedule reminders</w:t>
      </w:r>
    </w:p>
    <w:p>
      <w:pPr>
        <w:pStyle w:val="ListTA"/>
      </w:pPr>
      <w:r>
        <w:t xml:space="preserve">Day-of-cutover instructions, covering what users should expect, what will be unavailable, and what to do first on Monday</w:t>
      </w:r>
    </w:p>
    <w:p>
      <w:pPr>
        <w:pStyle w:val="ListTA"/>
      </w:pPr>
      <w:r>
        <w:t xml:space="preserve">Post-migration support guidance</w:t>
      </w:r>
    </w:p>
    <w:p>
      <w:pPr>
        <w:pStyle w:val="BodyText"/>
      </w:pPr>
      <w:r>
        <w:rPr>
          <w:b/>
          <w:bCs/>
        </w:rPr>
        <w:t xml:space="preserve">End-user training is not in scope</w:t>
      </w:r>
      <w:r>
        <w:t xml:space="preserve">, including CUI labeling training, which is WMP’s responsibility.</w:t>
      </w:r>
    </w:p>
    <w:p w14:paraId="15E7BC96" w14:textId="77777777" w:rsidR="0004046D" w:rsidRDefault="005339AD" w:rsidP="00644A8A">
      <w:pPr>
        <w:pStyle w:val="BodyText"/>
        <w:rPr>
          <w:rFonts w:asciiTheme="majorHAnsi" w:eastAsiaTheme="majorEastAsia" w:hAnsiTheme="majorHAnsi" w:cstheme="majorBidi"/>
          <w:color w:val="21487C" w:themeColor="accent1" w:themeShade="BF"/>
          <w:sz w:val="40"/>
          <w:szCs w:val="40"/>
        </w:rPr>
      </w:pPr>
      <w:commentRangeStart w:id="2080"/>
      <w:r>
        <w:rPr>
          <w:rFonts w:eastAsiaTheme="majorEastAsia"/>
        </w:rPr>
        <w:t>Support channels will be clearly defined during the hypercare period, including escalation paths and expected response times.</w:t>
      </w:r>
      <w:commentRangeEnd w:id="2080"/>
      <w:r>
        <w:rPr>
          <w:rStyle w:val="CommentReference"/>
          <w:rFonts w:asciiTheme="majorHAnsi" w:eastAsiaTheme="majorEastAsia" w:hAnsiTheme="majorHAnsi" w:cstheme="majorBidi"/>
          <w:color w:val="21487C" w:themeColor="accent1" w:themeShade="BF"/>
          <w:sz w:val="40"/>
          <w:szCs w:val="40"/>
        </w:rPr>
        <w:commentReference w:id="2080"/>
      </w:r>
    </w:p>
    <w:p>
      <w:pPr>
        <w:pStyle w:val="Heading3"/>
      </w:pPr>
      <w:bookmarkStart w:id="2451" w:name="_Toc238480051"/>
      <w:r>
        <w:t xml:space="preserve">Hypercare and Support</w:t>
      </w:r>
      <w:bookmarkEnd w:id="2451"/>
    </w:p>
    <w:p>
      <w:pPr>
        <w:pStyle w:val="ListTA"/>
      </w:pPr>
      <w:r>
        <w:rPr>
          <w:b/>
          <w:bCs/>
        </w:rPr>
        <w:t xml:space="preserve">Hypercare runs for one week following migration.</w:t>
      </w:r>
    </w:p>
    <w:p>
      <w:pPr>
        <w:pStyle w:val="ListTA"/>
      </w:pPr>
      <w:r>
        <w:rPr>
          <w:b/>
          <w:bCs/>
        </w:rPr>
        <w:t xml:space="preserve">Response objective: two hours</w:t>
      </w:r>
      <w:r>
        <w:t xml:space="preserve"> for requests raised during the hypercare window.</w:t>
      </w:r>
    </w:p>
    <w:p>
      <w:pPr>
        <w:pStyle w:val="ListTA"/>
      </w:pPr>
      <w:r>
        <w:rPr>
          <w:b/>
          <w:bCs/>
        </w:rPr>
        <w:t xml:space="preserve">Intake is by email and Microsoft Teams.</w:t>
      </w:r>
    </w:p>
    <w:p>
      <w:pPr>
        <w:pStyle w:val="ListTA"/>
      </w:pPr>
      <w:r>
        <w:rPr>
          <w:b/>
          <w:bCs/>
        </w:rPr>
        <w:t xml:space="preserve">WMP handles user-facing support</w:t>
      </w:r>
      <w:r>
        <w:t xml:space="preserve"> during and after hypercare; Essendis handles platform-level issues arising from the migration and configuration.</w:t>
      </w:r>
    </w:p>
    <w:p>
      <w:pPr>
        <w:pStyle w:val="ListTA"/>
      </w:pPr>
      <w:r>
        <w:t xml:space="preserve">After the hypercare window closes, WMP operates the tenant. Change control, recurring renewals and reviews, and ongoing operations are WMP-owned; the renewal list is included in the handoff documentation.</w:t>
      </w:r>
    </w:p>
    <w:p w14:paraId="763A752B" w14:textId="77777777" w:rsidR="00C41E57" w:rsidRDefault="00C41E57">
      <w:pPr>
        <w:rPr>
          <w:rFonts w:asciiTheme="majorHAnsi" w:hAnsiTheme="majorHAnsi" w:cstheme="majorHAnsi"/>
          <w:color w:val="494949" w:themeColor="text2" w:themeTint="BF"/>
          <w:sz w:val="40"/>
          <w:szCs w:val="48"/>
        </w:rPr>
      </w:pPr>
      <w:r>
        <w:br w:type="page"/>
      </w:r>
    </w:p>
    <w:p w14:paraId="3BADF90B" w14:textId="77777777" w:rsidR="009D700C" w:rsidRDefault="009D700C" w:rsidP="003E5329">
      <w:pPr>
        <w:pStyle w:val="Heading1"/>
      </w:pPr>
      <w:bookmarkStart w:id="2081" w:name="_Toc238470021"/>
      <w:r>
        <w:lastRenderedPageBreak/>
        <w:t>Deployment Approach</w:t>
      </w:r>
      <w:bookmarkEnd w:id="2081"/>
    </w:p>
    <w:p w14:paraId="1C37EFBE" w14:textId="77777777" w:rsidR="009D700C" w:rsidRPr="00844C2C" w:rsidRDefault="007A3464" w:rsidP="00644A8A">
      <w:pPr>
        <w:pStyle w:val="BodyText"/>
        <w:rPr>
          <w:rFonts w:eastAsiaTheme="minorHAnsi"/>
        </w:rPr>
      </w:pPr>
      <w:r>
        <w:t>The deployment will follow a structured sequence to establish core governance and connectivity controls prior to introducing dependent services and workloads.</w:t>
      </w:r>
    </w:p>
    <w:p>
      <w:pPr>
        <w:pStyle w:val="Heading2"/>
      </w:pPr>
      <w:bookmarkStart w:id="2452" w:name="_Toc238480052"/>
      <w:r>
        <w:t xml:space="preserve">1. Identity &amp; Access Foundation</w:t>
      </w:r>
      <w:bookmarkEnd w:id="2452"/>
    </w:p>
    <w:p>
      <w:pPr>
        <w:pStyle w:val="BodyText"/>
        <w:rPr>
          <w:rFonts w:eastAsiaTheme="majorEastAsia"/>
        </w:rPr>
      </w:pPr>
      <w:r>
        <w:rPr>
          <w:rFonts w:eastAsiaTheme="majorEastAsia"/>
        </w:rPr>
        <w:t xml:space="preserve">Identity controls will be established first to define the security boundary for all subsequent configuration.</w:t>
      </w:r>
    </w:p>
    <w:p>
      <w:pPr>
        <w:pStyle w:val="BodyText"/>
        <w:numPr>
          <w:ilvl w:val="0"/>
          <w:numId w:val="4"/>
        </w:numPr>
        <w:rPr>
          <w:rFonts w:eastAsiaTheme="majorEastAsia"/>
        </w:rPr>
      </w:pPr>
      <w:r>
        <w:rPr>
          <w:rFonts w:eastAsiaTheme="majorEastAsia"/>
        </w:rPr>
        <w:t xml:space="preserve">Configure Microsoft Entra ID tenant settings. </w:t>
      </w:r>
      <w:r>
        <w:rPr>
          <w:b/>
          <w:bCs/>
          <w:rFonts w:eastAsiaTheme="majorEastAsia"/>
        </w:rPr>
        <w:t xml:space="preserve">Security defaults are disabled; enforcement is delivered through Conditional Access policies.</w:t>
      </w:r>
    </w:p>
    <w:p>
      <w:pPr>
        <w:pStyle w:val="BodyText"/>
        <w:numPr>
          <w:ilvl w:val="0"/>
          <w:numId w:val="4"/>
        </w:numPr>
        <w:rPr>
          <w:rFonts w:eastAsiaTheme="majorEastAsia"/>
        </w:rPr>
      </w:pPr>
      <w:r>
        <w:rPr>
          <w:b/>
          <w:bCs/>
          <w:rFonts w:eastAsiaTheme="majorEastAsia"/>
        </w:rPr>
        <w:t xml:space="preserve">Define the Entra ID administrative role model and the cadm- administrative account model</w:t>
      </w:r>
      <w:r>
        <w:rPr>
          <w:rFonts w:eastAsiaTheme="majorEastAsia"/>
        </w:rPr>
        <w:t xml:space="preserve">, with no standing Global Administrators.</w:t>
      </w:r>
    </w:p>
    <w:p>
      <w:pPr>
        <w:pStyle w:val="BodyText"/>
        <w:numPr>
          <w:ilvl w:val="0"/>
          <w:numId w:val="4"/>
        </w:numPr>
        <w:rPr>
          <w:rFonts w:eastAsiaTheme="majorEastAsia"/>
        </w:rPr>
      </w:pPr>
      <w:r>
        <w:rPr>
          <w:rFonts w:eastAsiaTheme="majorEastAsia"/>
        </w:rPr>
        <w:t xml:space="preserve">Implement Privileged Identity Management (PIM) with just-in-time elevation.</w:t>
      </w:r>
    </w:p>
    <w:p>
      <w:pPr>
        <w:pStyle w:val="BodyText"/>
        <w:numPr>
          <w:ilvl w:val="0"/>
          <w:numId w:val="4"/>
        </w:numPr>
        <w:rPr>
          <w:rFonts w:eastAsiaTheme="majorEastAsia"/>
        </w:rPr>
      </w:pPr>
      <w:r>
        <w:rPr>
          <w:rFonts w:eastAsiaTheme="majorEastAsia"/>
        </w:rPr>
        <w:t xml:space="preserve">Configure Conditional Access policies and MFA enforcement, </w:t>
      </w:r>
      <w:r>
        <w:rPr>
          <w:b/>
          <w:bCs/>
          <w:rFonts w:eastAsiaTheme="majorEastAsia"/>
        </w:rPr>
        <w:t xml:space="preserve">deployed in report-only mode and activated once verified</w:t>
      </w:r>
      <w:r>
        <w:rPr>
          <w:rFonts w:eastAsiaTheme="majorEastAsia"/>
        </w:rPr>
        <w:t xml:space="preserve">.</w:t>
      </w:r>
    </w:p>
    <w:p>
      <w:pPr>
        <w:pStyle w:val="BodyText"/>
        <w:numPr>
          <w:ilvl w:val="0"/>
          <w:numId w:val="4"/>
        </w:numPr>
        <w:rPr>
          <w:rFonts w:eastAsiaTheme="majorEastAsia"/>
        </w:rPr>
      </w:pPr>
      <w:r>
        <w:rPr>
          <w:rFonts w:eastAsiaTheme="majorEastAsia"/>
        </w:rPr>
        <w:t xml:space="preserve">Configure named locations from the site egress IP ranges.</w:t>
      </w:r>
    </w:p>
    <w:p>
      <w:pPr>
        <w:pStyle w:val="BodyText"/>
        <w:numPr>
          <w:ilvl w:val="0"/>
          <w:numId w:val="4"/>
        </w:numPr>
        <w:rPr>
          <w:rFonts w:eastAsiaTheme="majorEastAsia"/>
        </w:rPr>
      </w:pPr>
      <w:r>
        <w:rPr>
          <w:rFonts w:eastAsiaTheme="majorEastAsia"/>
        </w:rPr>
        <w:t xml:space="preserve">Publish the Terms of Use and the Conditional Access policy that grants on its acceptance.</w:t>
      </w:r>
    </w:p>
    <w:p>
      <w:pPr>
        <w:pStyle w:val="BodyText"/>
        <w:numPr>
          <w:ilvl w:val="0"/>
          <w:numId w:val="4"/>
        </w:numPr>
        <w:rPr>
          <w:rFonts w:eastAsiaTheme="majorEastAsia"/>
        </w:rPr>
      </w:pPr>
      <w:r>
        <w:rPr>
          <w:rFonts w:eastAsiaTheme="majorEastAsia"/>
        </w:rPr>
        <w:t xml:space="preserve">Establish baseline security groups, including the license groups, the break-glass group, the Travelers group, and policy exception groups.</w:t>
      </w:r>
    </w:p>
    <w:p>
      <w:pPr>
        <w:pStyle w:val="BodyText"/>
        <w:numPr>
          <w:ilvl w:val="0"/>
          <w:numId w:val="4"/>
        </w:numPr>
        <w:rPr>
          <w:rFonts w:eastAsiaTheme="majorEastAsia"/>
        </w:rPr>
      </w:pPr>
      <w:r>
        <w:rPr>
          <w:rFonts w:eastAsiaTheme="majorEastAsia"/>
        </w:rPr>
        <w:t xml:space="preserve">Enable unified audit logging and mailbox auditing.</w:t>
      </w:r>
    </w:p>
    <w:p>
      <w:pPr>
        <w:pStyle w:val="BodyText"/>
        <w:rPr>
          <w:rFonts w:eastAsiaTheme="majorEastAsia"/>
        </w:rPr>
      </w:pPr>
      <w:r>
        <w:rPr>
          <w:rFonts w:eastAsiaTheme="majorEastAsia"/>
        </w:rPr>
        <w:t xml:space="preserve">This phase ensures that all subsequent resource deployment occurs under governed and least-privilege controls.</w:t>
      </w:r>
    </w:p>
    <w:p>
      <w:pPr>
        <w:pStyle w:val="Heading2"/>
      </w:pPr>
      <w:bookmarkStart w:id="2453" w:name="_Toc238480053"/>
      <w:r>
        <w:t xml:space="preserve">2. Microsoft 365 Configuration</w:t>
      </w:r>
      <w:bookmarkEnd w:id="2453"/>
    </w:p>
    <w:p>
      <w:pPr>
        <w:pStyle w:val="BodyText"/>
        <w:rPr>
          <w:rFonts w:eastAsiaTheme="majorEastAsia"/>
        </w:rPr>
      </w:pPr>
      <w:r>
        <w:rPr>
          <w:rFonts w:eastAsiaTheme="majorEastAsia"/>
        </w:rPr>
        <w:t xml:space="preserve">Core Microsoft 365 services will be configured in preparation for workload migration.</w:t>
      </w:r>
    </w:p>
    <w:p>
      <w:pPr>
        <w:pStyle w:val="BodyText"/>
        <w:numPr>
          <w:ilvl w:val="0"/>
          <w:numId w:val="8"/>
        </w:numPr>
        <w:rPr>
          <w:rFonts w:eastAsiaTheme="majorEastAsia"/>
        </w:rPr>
      </w:pPr>
      <w:r>
        <w:rPr>
          <w:rFonts w:eastAsiaTheme="majorEastAsia"/>
        </w:rPr>
        <w:t xml:space="preserve">Configure Exchange Online, including Defender for Office 365 Strict preset policies and the SMTP relay path for printers, the Epicor ERP, and the help-desk platform.</w:t>
      </w:r>
    </w:p>
    <w:p>
      <w:pPr>
        <w:pStyle w:val="BodyText"/>
        <w:numPr>
          <w:ilvl w:val="0"/>
          <w:numId w:val="8"/>
        </w:numPr>
        <w:rPr>
          <w:rFonts w:eastAsiaTheme="majorEastAsia"/>
        </w:rPr>
      </w:pPr>
      <w:r>
        <w:rPr>
          <w:rFonts w:eastAsiaTheme="majorEastAsia"/>
        </w:rPr>
        <w:t xml:space="preserve">Create room and equipment mailboxes.</w:t>
      </w:r>
    </w:p>
    <w:p>
      <w:pPr>
        <w:pStyle w:val="BodyText"/>
        <w:numPr>
          <w:ilvl w:val="0"/>
          <w:numId w:val="8"/>
        </w:numPr>
        <w:rPr>
          <w:rFonts w:eastAsiaTheme="majorEastAsia"/>
        </w:rPr>
      </w:pPr>
      <w:r>
        <w:rPr>
          <w:rFonts w:eastAsiaTheme="majorEastAsia"/>
        </w:rPr>
        <w:t xml:space="preserve">Configure SharePoint Online and OneDrive, including the sync client tenant restriction and Known Folder Move.</w:t>
      </w:r>
    </w:p>
    <w:p>
      <w:pPr>
        <w:pStyle w:val="BodyText"/>
        <w:numPr>
          <w:ilvl w:val="0"/>
          <w:numId w:val="8"/>
        </w:numPr>
        <w:rPr>
          <w:rFonts w:eastAsiaTheme="majorEastAsia"/>
        </w:rPr>
      </w:pPr>
      <w:r>
        <w:rPr>
          <w:rFonts w:eastAsiaTheme="majorEastAsia"/>
        </w:rPr>
        <w:t xml:space="preserve">Configure Microsoft Teams, including the external access allow list.</w:t>
      </w:r>
    </w:p>
    <w:p>
      <w:pPr>
        <w:pStyle w:val="BodyText"/>
        <w:numPr>
          <w:ilvl w:val="0"/>
          <w:numId w:val="8"/>
        </w:numPr>
        <w:rPr>
          <w:rFonts w:eastAsiaTheme="majorEastAsia"/>
        </w:rPr>
      </w:pPr>
      <w:r>
        <w:rPr>
          <w:b/>
          <w:bCs/>
          <w:rFonts w:eastAsiaTheme="majorEastAsia"/>
        </w:rPr>
        <w:t xml:space="preserve">Apply information protection: the CUI sensitivity label, data loss prevention across Exchange, Teams, SharePoint, and OneDrive, Endpoint DLP, and external sharing controls.</w:t>
      </w:r>
      <w:r>
        <w:rPr>
          <w:rFonts w:eastAsiaTheme="majorEastAsia"/>
        </w:rPr>
        <w:t xml:space="preserve"> Organization-wide retention design is out of scope.</w:t>
      </w:r>
    </w:p>
    <w:p>
      <w:pPr>
        <w:pStyle w:val="BodyText"/>
        <w:numPr>
          <w:ilvl w:val="0"/>
          <w:numId w:val="8"/>
        </w:numPr>
        <w:rPr>
          <w:rFonts w:eastAsiaTheme="majorEastAsia"/>
        </w:rPr>
      </w:pPr>
      <w:r>
        <w:rPr>
          <w:rFonts w:eastAsiaTheme="majorEastAsia"/>
        </w:rPr>
        <w:t xml:space="preserve">Validate administrative and user access controls.</w:t>
      </w:r>
    </w:p>
    <w:p>
      <w:pPr>
        <w:pStyle w:val="Heading2"/>
      </w:pPr>
      <w:bookmarkStart w:id="2454" w:name="_Toc238480054"/>
      <w:r>
        <w:t xml:space="preserve">3. Endpoint Management</w:t>
      </w:r>
      <w:bookmarkEnd w:id="2454"/>
    </w:p>
    <w:p>
      <w:pPr>
        <w:pStyle w:val="BodyText"/>
        <w:rPr>
          <w:rFonts w:eastAsiaTheme="majorEastAsia"/>
        </w:rPr>
      </w:pPr>
      <w:r>
        <w:rPr>
          <w:rFonts w:eastAsiaTheme="majorEastAsia"/>
        </w:rPr>
        <w:t xml:space="preserve">Windows and mobile endpoint configuration is built before workload migration, so that access to migrated data is governed from first sign-in and so that device conversion lands on a configured management platform.</w:t>
      </w:r>
    </w:p>
    <w:p>
      <w:pPr>
        <w:pStyle w:val="BodyText"/>
        <w:numPr>
          <w:ilvl w:val="0"/>
          <w:numId w:val="5"/>
        </w:numPr>
        <w:rPr>
          <w:rFonts w:eastAsiaTheme="majorEastAsia"/>
        </w:rPr>
      </w:pPr>
      <w:r>
        <w:rPr>
          <w:rFonts w:eastAsiaTheme="majorEastAsia"/>
        </w:rPr>
        <w:t xml:space="preserve">Deploy the Microsoft Security Compliance Toolkit baselines, BitLocker policy, removable media policy, Windows Update rings, and the Windows compliance policy, to a pilot ring first.</w:t>
      </w:r>
    </w:p>
    <w:p>
      <w:pPr>
        <w:pStyle w:val="BodyText"/>
        <w:numPr>
          <w:ilvl w:val="0"/>
          <w:numId w:val="5"/>
        </w:numPr>
        <w:rPr>
          <w:rFonts w:eastAsiaTheme="majorEastAsia"/>
        </w:rPr>
      </w:pPr>
      <w:r>
        <w:rPr>
          <w:rFonts w:eastAsiaTheme="majorEastAsia"/>
        </w:rPr>
        <w:t xml:space="preserve">Configure Windows LAPS for the WMPAdmin local account and remove standing local administrator rights.</w:t>
      </w:r>
    </w:p>
    <w:p>
      <w:pPr>
        <w:pStyle w:val="BodyText"/>
        <w:numPr>
          <w:ilvl w:val="0"/>
          <w:numId w:val="5"/>
        </w:numPr>
        <w:rPr>
          <w:rFonts w:eastAsiaTheme="majorEastAsia"/>
        </w:rPr>
      </w:pPr>
      <w:r>
        <w:rPr>
          <w:rFonts w:eastAsiaTheme="majorEastAsia"/>
        </w:rPr>
        <w:t xml:space="preserve">Onboard Windows endpoints to Microsoft Defender for Endpoint P2 with EDR in block mode and tamper protection, and deploy WDAC in audit mode.</w:t>
      </w:r>
    </w:p>
    <w:p>
      <w:pPr>
        <w:pStyle w:val="BodyText"/>
        <w:numPr>
          <w:ilvl w:val="0"/>
          <w:numId w:val="5"/>
        </w:numPr>
        <w:rPr>
          <w:rFonts w:eastAsiaTheme="majorEastAsia"/>
        </w:rPr>
      </w:pPr>
      <w:r>
        <w:rPr>
          <w:rFonts w:eastAsiaTheme="majorEastAsia"/>
        </w:rPr>
        <w:t xml:space="preserve">Configure Apple MDM Push Certificate, Apple Business Manager integration, and Android Enterprise corporate-owned fully managed enrollment.</w:t>
      </w:r>
    </w:p>
    <w:p>
      <w:pPr>
        <w:pStyle w:val="BodyText"/>
        <w:numPr>
          <w:ilvl w:val="0"/>
          <w:numId w:val="5"/>
        </w:numPr>
        <w:rPr>
          <w:rFonts w:eastAsiaTheme="majorEastAsia"/>
        </w:rPr>
      </w:pPr>
      <w:r>
        <w:rPr>
          <w:rFonts w:eastAsiaTheme="majorEastAsia"/>
        </w:rPr>
        <w:t xml:space="preserve">Apply enrollment restrictions blocking personal device enrollment.</w:t>
      </w:r>
    </w:p>
    <w:p>
      <w:pPr>
        <w:pStyle w:val="BodyText"/>
        <w:numPr>
          <w:ilvl w:val="0"/>
          <w:numId w:val="5"/>
        </w:numPr>
        <w:rPr>
          <w:rFonts w:eastAsiaTheme="majorEastAsia"/>
        </w:rPr>
      </w:pPr>
      <w:r>
        <w:rPr>
          <w:rFonts w:eastAsiaTheme="majorEastAsia"/>
        </w:rPr>
        <w:t xml:space="preserve">Deploy mobile compliance policies, configuration profiles, and the managed applications (Outlook, Teams, OneDrive, RSA Authenticator, Keeper).</w:t>
      </w:r>
    </w:p>
    <w:p>
      <w:pPr>
        <w:pStyle w:val="BodyText"/>
        <w:numPr>
          <w:ilvl w:val="0"/>
          <w:numId w:val="5"/>
        </w:numPr>
        <w:rPr>
          <w:rFonts w:eastAsiaTheme="majorEastAsia"/>
        </w:rPr>
      </w:pPr>
      <w:r>
        <w:rPr>
          <w:rFonts w:eastAsiaTheme="majorEastAsia"/>
        </w:rPr>
        <w:t xml:space="preserve">Validate enrollment, compliance, and Conditional Access on pilot devices before full rollout.</w:t>
      </w:r>
    </w:p>
    <w:p>
      <w:pPr>
        <w:pStyle w:val="Heading2"/>
      </w:pPr>
      <w:bookmarkStart w:id="2455" w:name="_Toc238480055"/>
      <w:r>
        <w:t xml:space="preserve">4. User &amp; Data Migration</w:t>
      </w:r>
      <w:bookmarkEnd w:id="2455"/>
    </w:p>
    <w:p>
      <w:pPr>
        <w:pStyle w:val="BodyText"/>
        <w:rPr>
          <w:rFonts w:eastAsiaTheme="majorEastAsia"/>
        </w:rPr>
      </w:pPr>
      <w:r>
        <w:rPr>
          <w:rFonts w:eastAsiaTheme="majorEastAsia"/>
        </w:rPr>
        <w:t xml:space="preserve">User identities and collaboration data will be migrated following platform stabilization.</w:t>
      </w:r>
    </w:p>
    <w:p>
      <w:pPr>
        <w:pStyle w:val="BodyText"/>
        <w:numPr>
          <w:ilvl w:val="0"/>
          <w:numId w:val="11"/>
        </w:numPr>
        <w:rPr>
          <w:rFonts w:eastAsiaTheme="majorEastAsia"/>
        </w:rPr>
      </w:pPr>
      <w:r>
        <w:rPr>
          <w:rFonts w:eastAsiaTheme="majorEastAsia"/>
        </w:rPr>
        <w:t xml:space="preserve">Run the AvePoint discovery scan and finalize migration batches.</w:t>
      </w:r>
    </w:p>
    <w:p>
      <w:pPr>
        <w:pStyle w:val="BodyText"/>
        <w:numPr>
          <w:ilvl w:val="0"/>
          <w:numId w:val="11"/>
        </w:numPr>
        <w:rPr>
          <w:rFonts w:eastAsiaTheme="majorEastAsia"/>
        </w:rPr>
      </w:pPr>
      <w:r>
        <w:rPr>
          <w:rFonts w:eastAsiaTheme="majorEastAsia"/>
        </w:rPr>
        <w:t xml:space="preserve">Migrate mailboxes, OneDrive, SharePoint, and Teams data, and ingest the PST archives into the target mailboxes.</w:t>
      </w:r>
    </w:p>
    <w:p>
      <w:pPr>
        <w:pStyle w:val="BodyText"/>
        <w:numPr>
          <w:ilvl w:val="0"/>
          <w:numId w:val="11"/>
        </w:numPr>
        <w:rPr>
          <w:rFonts w:eastAsiaTheme="majorEastAsia"/>
        </w:rPr>
      </w:pPr>
      <w:r>
        <w:rPr>
          <w:rFonts w:eastAsiaTheme="majorEastAsia"/>
        </w:rPr>
        <w:t xml:space="preserve">Perform delta synchronization.</w:t>
      </w:r>
    </w:p>
    <w:p>
      <w:pPr>
        <w:pStyle w:val="BodyText"/>
        <w:numPr>
          <w:ilvl w:val="0"/>
          <w:numId w:val="11"/>
        </w:numPr>
        <w:rPr>
          <w:rFonts w:eastAsiaTheme="majorEastAsia"/>
        </w:rPr>
      </w:pPr>
      <w:r>
        <w:rPr>
          <w:b/>
          <w:bCs/>
          <w:rFonts w:eastAsiaTheme="majorEastAsia"/>
        </w:rPr>
        <w:t xml:space="preserve">Re-point Entra ID Connect to the GCC High tenant per the migration plan sequencing, and disable synchronization against the commercial tenant.</w:t>
      </w:r>
    </w:p>
    <w:p>
      <w:pPr>
        <w:pStyle w:val="BodyText"/>
        <w:numPr>
          <w:ilvl w:val="0"/>
          <w:numId w:val="11"/>
        </w:numPr>
        <w:rPr>
          <w:rFonts w:eastAsiaTheme="majorEastAsia"/>
        </w:rPr>
      </w:pPr>
      <w:r>
        <w:rPr>
          <w:rFonts w:eastAsiaTheme="majorEastAsia"/>
        </w:rPr>
        <w:t xml:space="preserve">Execute cutover as a single event, including the domain release, DNS changes, and mail flow validation.</w:t>
      </w:r>
    </w:p>
    <w:p>
      <w:pPr>
        <w:pStyle w:val="BodyText"/>
        <w:numPr>
          <w:ilvl w:val="0"/>
          <w:numId w:val="11"/>
        </w:numPr>
        <w:rPr>
          <w:rFonts w:eastAsiaTheme="majorEastAsia"/>
        </w:rPr>
      </w:pPr>
      <w:r>
        <w:rPr>
          <w:b/>
          <w:bCs/>
          <w:rFonts w:eastAsiaTheme="majorEastAsia"/>
        </w:rPr>
        <w:t xml:space="preserve">Re-consent the NinjaOne, Keeper, and Fortra integrations against the GCC High tenant and validate them</w:t>
      </w:r>
      <w:r>
        <w:rPr>
          <w:rFonts w:eastAsiaTheme="majorEastAsia"/>
        </w:rPr>
        <w:t xml:space="preserve">, together with the Pipedrive sending integration.</w:t>
      </w:r>
    </w:p>
    <w:p>
      <w:pPr>
        <w:pStyle w:val="BodyText"/>
        <w:numPr>
          <w:ilvl w:val="0"/>
          <w:numId w:val="11"/>
        </w:numPr>
        <w:rPr>
          <w:rFonts w:eastAsiaTheme="majorEastAsia"/>
        </w:rPr>
      </w:pPr>
      <w:r>
        <w:rPr>
          <w:rFonts w:eastAsiaTheme="majorEastAsia"/>
        </w:rPr>
        <w:t xml:space="preserve">Validate user access and permissions.</w:t>
      </w:r>
    </w:p>
    <w:p>
      <w:pPr>
        <w:pStyle w:val="Heading2"/>
      </w:pPr>
      <w:bookmarkStart w:id="2456" w:name="_Toc238480056"/>
      <w:r>
        <w:t xml:space="preserve">5. Device Migration</w:t>
      </w:r>
      <w:bookmarkEnd w:id="2456"/>
    </w:p>
    <w:p>
      <w:pPr>
        <w:pStyle w:val="BodyText"/>
        <w:rPr>
          <w:rFonts w:eastAsiaTheme="majorEastAsia"/>
        </w:rPr>
      </w:pPr>
      <w:r>
        <w:rPr>
          <w:rFonts w:eastAsiaTheme="majorEastAsia"/>
        </w:rPr>
        <w:t xml:space="preserve">Endpoint devices will be converted after user identities and services are fully operational.</w:t>
      </w:r>
    </w:p>
    <w:p>
      <w:pPr>
        <w:pStyle w:val="BodyText"/>
        <w:numPr>
          <w:ilvl w:val="0"/>
          <w:numId w:val="12"/>
        </w:numPr>
        <w:rPr>
          <w:rFonts w:eastAsiaTheme="majorEastAsia"/>
        </w:rPr>
      </w:pPr>
      <w:r>
        <w:rPr>
          <w:rFonts w:eastAsiaTheme="majorEastAsia"/>
        </w:rPr>
        <w:t xml:space="preserve">Convert Windows devices with ForensIT User Profile Wizard in office-based waves, scripted through NinjaOne.</w:t>
      </w:r>
    </w:p>
    <w:p>
      <w:pPr>
        <w:pStyle w:val="BodyText"/>
        <w:numPr>
          <w:ilvl w:val="0"/>
          <w:numId w:val="12"/>
        </w:numPr>
        <w:rPr>
          <w:rFonts w:eastAsiaTheme="majorEastAsia"/>
        </w:rPr>
      </w:pPr>
      <w:r>
        <w:rPr>
          <w:rFonts w:eastAsiaTheme="majorEastAsia"/>
        </w:rPr>
        <w:t xml:space="preserve">Decrypt each device fully and re-encrypt under the FIPS-compliant BitLocker policy.</w:t>
      </w:r>
    </w:p>
    <w:p>
      <w:pPr>
        <w:pStyle w:val="BodyText"/>
        <w:numPr>
          <w:ilvl w:val="0"/>
          <w:numId w:val="12"/>
        </w:numPr>
        <w:rPr>
          <w:rFonts w:eastAsiaTheme="majorEastAsia"/>
        </w:rPr>
      </w:pPr>
      <w:r>
        <w:rPr>
          <w:rFonts w:eastAsiaTheme="majorEastAsia"/>
        </w:rPr>
        <w:t xml:space="preserve">Confirm hybrid join to the GCC High tenant and Intune enrollment.</w:t>
      </w:r>
    </w:p>
    <w:p>
      <w:pPr>
        <w:pStyle w:val="BodyText"/>
        <w:numPr>
          <w:ilvl w:val="0"/>
          <w:numId w:val="12"/>
        </w:numPr>
        <w:rPr>
          <w:rFonts w:eastAsiaTheme="majorEastAsia"/>
        </w:rPr>
      </w:pPr>
      <w:r>
        <w:rPr>
          <w:rFonts w:eastAsiaTheme="majorEastAsia"/>
        </w:rPr>
        <w:t xml:space="preserve">Apply compliance and configuration policies, and redeploy applications through NinjaOne where required.</w:t>
      </w:r>
    </w:p>
    <w:p>
      <w:pPr>
        <w:pStyle w:val="BodyText"/>
        <w:numPr>
          <w:ilvl w:val="0"/>
          <w:numId w:val="12"/>
        </w:numPr>
        <w:rPr>
          <w:rFonts w:eastAsiaTheme="majorEastAsia"/>
        </w:rPr>
      </w:pPr>
      <w:r>
        <w:rPr>
          <w:rFonts w:eastAsiaTheme="majorEastAsia"/>
        </w:rPr>
        <w:t xml:space="preserve">Validate user profile integrity and application functionality.</w:t>
      </w:r>
    </w:p>
    <w:p>
      <w:pPr>
        <w:pStyle w:val="BodyText"/>
        <w:numPr>
          <w:ilvl w:val="0"/>
          <w:numId w:val="12"/>
        </w:numPr>
        <w:rPr>
          <w:rFonts w:eastAsiaTheme="majorEastAsia"/>
        </w:rPr>
      </w:pPr>
      <w:r>
        <w:rPr>
          <w:rFonts w:eastAsiaTheme="majorEastAsia"/>
        </w:rPr>
        <w:t xml:space="preserve">Provision net-new and rebuilt devices with Autopilot device preparation.</w:t>
      </w:r>
    </w:p>
    <w:p>
      <w:pPr>
        <w:pStyle w:val="Heading2"/>
      </w:pPr>
      <w:bookmarkStart w:id="2457" w:name="_Toc238480057"/>
      <w:r>
        <w:t xml:space="preserve">6. CallTower Integration</w:t>
      </w:r>
      <w:bookmarkEnd w:id="2457"/>
    </w:p>
    <w:p>
      <w:pPr>
        <w:pStyle w:val="BodyText"/>
        <w:rPr>
          <w:rFonts w:eastAsiaTheme="majorEastAsia"/>
        </w:rPr>
      </w:pPr>
      <w:r>
        <w:rPr>
          <w:rFonts w:eastAsiaTheme="majorEastAsia"/>
        </w:rPr>
        <w:t xml:space="preserve">Teams Phone will be integrated with CallTower using Direct Routing once Teams is provisioned and users are operating in the GCC High tenant.</w:t>
      </w:r>
    </w:p>
    <w:p>
      <w:pPr>
        <w:pStyle w:val="BodyText"/>
        <w:numPr>
          <w:ilvl w:val="0"/>
          <w:numId w:val="6"/>
        </w:numPr>
        <w:rPr>
          <w:rFonts w:eastAsiaTheme="majorEastAsia"/>
        </w:rPr>
      </w:pPr>
      <w:r>
        <w:rPr>
          <w:rFonts w:eastAsiaTheme="majorEastAsia"/>
        </w:rPr>
        <w:t xml:space="preserve">Obtain CallTower’s GCC High Direct Routing specification and settle the SBC FQDN domain and certificate ownership.</w:t>
      </w:r>
    </w:p>
    <w:p>
      <w:pPr>
        <w:pStyle w:val="BodyText"/>
        <w:numPr>
          <w:ilvl w:val="0"/>
          <w:numId w:val="6"/>
        </w:numPr>
        <w:rPr>
          <w:rFonts w:eastAsiaTheme="majorEastAsia"/>
        </w:rPr>
      </w:pPr>
      <w:r>
        <w:rPr>
          <w:rFonts w:eastAsiaTheme="majorEastAsia"/>
        </w:rPr>
        <w:t xml:space="preserve">Produce the number and DID inventory and the porting Letter of Agency during pre-integration planning.</w:t>
      </w:r>
    </w:p>
    <w:p>
      <w:pPr>
        <w:pStyle w:val="BodyText"/>
        <w:numPr>
          <w:ilvl w:val="0"/>
          <w:numId w:val="6"/>
        </w:numPr>
        <w:rPr>
          <w:rFonts w:eastAsiaTheme="majorEastAsia"/>
        </w:rPr>
      </w:pPr>
      <w:r>
        <w:rPr>
          <w:rFonts w:eastAsiaTheme="majorEastAsia"/>
        </w:rPr>
        <w:t xml:space="preserve">Configure Teams Phone licensing, dial plans, and voice routing policies for the 70 licensed phone users.</w:t>
      </w:r>
    </w:p>
    <w:p>
      <w:pPr>
        <w:pStyle w:val="BodyText"/>
        <w:numPr>
          <w:ilvl w:val="0"/>
          <w:numId w:val="6"/>
        </w:numPr>
        <w:rPr>
          <w:rFonts w:eastAsiaTheme="majorEastAsia"/>
        </w:rPr>
      </w:pPr>
      <w:r>
        <w:rPr>
          <w:rFonts w:eastAsiaTheme="majorEastAsia"/>
        </w:rPr>
        <w:t xml:space="preserve">Port existing numbers and assign DIDs to users and shared calling resources.</w:t>
      </w:r>
    </w:p>
    <w:p>
      <w:pPr>
        <w:pStyle w:val="BodyText"/>
        <w:numPr>
          <w:ilvl w:val="0"/>
          <w:numId w:val="6"/>
        </w:numPr>
        <w:rPr>
          <w:rFonts w:eastAsiaTheme="majorEastAsia"/>
        </w:rPr>
      </w:pPr>
      <w:r>
        <w:rPr>
          <w:b/>
          <w:bCs/>
          <w:rFonts w:eastAsiaTheme="majorEastAsia"/>
        </w:rPr>
        <w:t xml:space="preserve">Confirm CallTower’s emergency calling configuration for each location</w:t>
      </w:r>
      <w:r>
        <w:rPr>
          <w:rFonts w:eastAsiaTheme="majorEastAsia"/>
        </w:rPr>
        <w:t xml:space="preserve"> and coordinate number cutover with the migration DNS cutover window.</w:t>
      </w:r>
    </w:p>
    <w:p>
      <w:pPr>
        <w:pStyle w:val="BodyText"/>
        <w:numPr>
          <w:ilvl w:val="0"/>
          <w:numId w:val="6"/>
        </w:numPr>
        <w:rPr>
          <w:rFonts w:eastAsiaTheme="majorEastAsia"/>
        </w:rPr>
      </w:pPr>
      <w:r>
        <w:rPr>
          <w:rFonts w:eastAsiaTheme="majorEastAsia"/>
        </w:rPr>
        <w:t xml:space="preserve">Validate inbound and outbound PSTN calling, voicemail, call routing, and a test emergency call from each location before closing the phase.</w:t>
      </w:r>
    </w:p>
    <w:p>
      <w:pPr>
        <w:pStyle w:val="Heading2"/>
      </w:pPr>
      <w:bookmarkStart w:id="2458" w:name="_Toc238480058"/>
      <w:r>
        <w:t xml:space="preserve">7. Exchange Decommission</w:t>
      </w:r>
      <w:bookmarkEnd w:id="2458"/>
    </w:p>
    <w:p>
      <w:pPr>
        <w:pStyle w:val="BodyText"/>
        <w:rPr>
          <w:rFonts w:eastAsiaTheme="majorEastAsia"/>
        </w:rPr>
      </w:pPr>
      <w:r>
        <w:rPr>
          <w:rFonts w:eastAsiaTheme="majorEastAsia"/>
        </w:rPr>
        <w:t xml:space="preserve">The on-premises Exchange 2016 management server and the residual hybrid configuration will be removed after migration and mail flow are fully validated. Sequencing leans to post-cutover and is confirmed with WMP.</w:t>
      </w:r>
    </w:p>
    <w:p>
      <w:pPr>
        <w:pStyle w:val="BodyText"/>
        <w:numPr>
          <w:ilvl w:val="0"/>
          <w:numId w:val="7"/>
        </w:numPr>
        <w:rPr>
          <w:rFonts w:eastAsiaTheme="majorEastAsia"/>
        </w:rPr>
      </w:pPr>
      <w:r>
        <w:rPr>
          <w:rFonts w:eastAsiaTheme="majorEastAsia"/>
        </w:rPr>
        <w:t xml:space="preserve">Complete the pre-decommission validation gate, including the seven-day monitored hold, and obtain written authorization signed by Kyle Mandersfield.</w:t>
      </w:r>
    </w:p>
    <w:p>
      <w:pPr>
        <w:pStyle w:val="BodyText"/>
        <w:numPr>
          <w:ilvl w:val="0"/>
          <w:numId w:val="7"/>
        </w:numPr>
        <w:rPr>
          <w:rFonts w:eastAsiaTheme="majorEastAsia"/>
        </w:rPr>
      </w:pPr>
      <w:r>
        <w:rPr>
          <w:rFonts w:eastAsiaTheme="majorEastAsia"/>
        </w:rPr>
        <w:t xml:space="preserve">Remove hybrid mail flow connectors and hybrid configuration objects.</w:t>
      </w:r>
    </w:p>
    <w:p>
      <w:pPr>
        <w:pStyle w:val="BodyText"/>
        <w:numPr>
          <w:ilvl w:val="0"/>
          <w:numId w:val="7"/>
        </w:numPr>
        <w:rPr>
          <w:rFonts w:eastAsiaTheme="majorEastAsia"/>
        </w:rPr>
      </w:pPr>
      <w:r>
        <w:rPr>
          <w:rFonts w:eastAsiaTheme="majorEastAsia"/>
        </w:rPr>
        <w:t xml:space="preserve">Clean up Exchange-related Active Directory attributes and confirm global address list accuracy.</w:t>
      </w:r>
    </w:p>
    <w:p>
      <w:pPr>
        <w:pStyle w:val="BodyText"/>
        <w:numPr>
          <w:ilvl w:val="0"/>
          <w:numId w:val="7"/>
        </w:numPr>
        <w:rPr>
          <w:rFonts w:eastAsiaTheme="majorEastAsia"/>
        </w:rPr>
      </w:pPr>
      <w:r>
        <w:rPr>
          <w:rFonts w:eastAsiaTheme="majorEastAsia"/>
        </w:rPr>
        <w:t xml:space="preserve">Uninstall the Exchange Server role and remove the server from Active Directory.</w:t>
      </w:r>
    </w:p>
    <w:p>
      <w:pPr>
        <w:pStyle w:val="BodyText"/>
        <w:numPr>
          <w:ilvl w:val="0"/>
          <w:numId w:val="7"/>
        </w:numPr>
        <w:rPr>
          <w:rFonts w:eastAsiaTheme="majorEastAsia"/>
        </w:rPr>
      </w:pPr>
      <w:r>
        <w:rPr>
          <w:rFonts w:eastAsiaTheme="majorEastAsia"/>
        </w:rPr>
        <w:t xml:space="preserve">Validate mail flow, directory synchronization, and the absence of residual relay dependencies.</w:t>
      </w:r>
    </w:p>
    <w:p>
      <w:pPr>
        <w:pStyle w:val="BodyText"/>
        <w:numPr>
          <w:ilvl w:val="0"/>
          <w:numId w:val="7"/>
        </w:numPr>
        <w:rPr>
          <w:rFonts w:eastAsiaTheme="majorEastAsia"/>
        </w:rPr>
      </w:pPr>
      <w:r>
        <w:rPr>
          <w:rFonts w:eastAsiaTheme="majorEastAsia"/>
        </w:rPr>
        <w:t xml:space="preserve">Hand over recipient management, which is performed thereafter by WMP through Entra ID Connect and Active Directory attributes.</w:t>
      </w:r>
    </w:p>
    <w:p w14:paraId="1DB3C835" w14:textId="77777777" w:rsidR="008753E0" w:rsidRDefault="008753E0" w:rsidP="00644A8A">
      <w:pPr>
        <w:pStyle w:val="BodyText"/>
      </w:pPr>
    </w:p>
    <w:p w14:paraId="151461B6" w14:textId="77777777" w:rsidR="00D06FFE" w:rsidRDefault="00D06FFE">
      <w:pPr>
        <w:rPr>
          <w:rFonts w:asciiTheme="majorHAnsi" w:hAnsiTheme="majorHAnsi" w:cstheme="majorHAnsi"/>
          <w:color w:val="494949" w:themeColor="text2" w:themeTint="BF"/>
          <w:sz w:val="40"/>
          <w:szCs w:val="48"/>
        </w:rPr>
      </w:pPr>
      <w:r>
        <w:br w:type="page"/>
      </w:r>
    </w:p>
    <w:p w14:paraId="49F54F65" w14:textId="77777777" w:rsidR="007F566F" w:rsidRDefault="007F566F" w:rsidP="007F566F">
      <w:pPr>
        <w:pStyle w:val="Heading1"/>
      </w:pPr>
      <w:commentRangeStart w:id="2100"/>
      <w:bookmarkStart w:id="2162" w:name="_Toc222995652"/>
      <w:bookmarkStart w:id="2163" w:name="_Toc238470026"/>
      <w:r>
        <w:lastRenderedPageBreak/>
        <w:t>Appendix A – Password Policy Matrix</w:t>
      </w:r>
      <w:bookmarkEnd w:id="2162"/>
      <w:bookmarkEnd w:id="2163"/>
      <w:commentRangeEnd w:id="2100"/>
      <w:r>
        <w:rPr>
          <w:rStyle w:val="CommentReference"/>
        </w:rPr>
        <w:commentReference w:id="2100"/>
      </w:r>
    </w:p>
    <w:tbl>
      <w:tblPr>
        <w:tblStyle w:val="TableGrid"/>
        <w:tblW w:w="9180" w:type="dxa"/>
        <w:tblLook w:val="04A0" w:firstRow="1" w:lastRow="0" w:firstColumn="1" w:lastColumn="0" w:noHBand="0" w:noVBand="1"/>
      </w:tblPr>
      <w:tblGrid>
        <w:gridCol w:w="2700"/>
        <w:gridCol w:w="6480"/>
      </w:tblGrid>
      <w:tr w:rsidR="007F566F" w:rsidRPr="007F566F" w14:paraId="3D91BFAF" w14:textId="77777777" w:rsidTr="007F566F">
        <w:trPr>
          <w:trHeight w:val="300"/>
        </w:trPr>
        <w:tc>
          <w:tcPr>
            <w:tcW w:w="2700" w:type="dxa"/>
            <w:shd w:val="clear" w:color="auto" w:fill="D1D1D1" w:themeFill="background2" w:themeFillShade="E6"/>
            <w:hideMark/>
          </w:tcPr>
          <w:p w14:paraId="62F3AC15" w14:textId="77777777" w:rsidR="007F566F" w:rsidRPr="007F566F" w:rsidRDefault="007F566F" w:rsidP="00360470">
            <w:pPr>
              <w:widowControl w:val="0"/>
              <w:spacing w:line="360" w:lineRule="auto"/>
              <w:textAlignment w:val="baseline"/>
              <w:rPr>
                <w:rFonts w:eastAsia="Times New Roman" w:cs="Segoe UI"/>
                <w:b/>
                <w:bCs/>
                <w:color w:val="auto"/>
                <w:sz w:val="21"/>
                <w:szCs w:val="21"/>
                <w:lang w:bidi="kok-IN"/>
              </w:rPr>
            </w:pPr>
            <w:r>
              <w:rPr>
                <w:rFonts w:eastAsia="Times New Roman" w:cs="Calibri"/>
                <w:b/>
                <w:bCs/>
                <w:color w:val="auto"/>
                <w:sz w:val="21"/>
                <w:szCs w:val="21"/>
                <w:lang w:bidi="kok-IN"/>
              </w:rPr>
              <w:t>Property </w:t>
            </w:r>
          </w:p>
        </w:tc>
        <w:tc>
          <w:tcPr>
            <w:tcW w:w="6480" w:type="dxa"/>
            <w:shd w:val="clear" w:color="auto" w:fill="D1D1D1" w:themeFill="background2" w:themeFillShade="E6"/>
            <w:hideMark/>
          </w:tcPr>
          <w:p w14:paraId="391D8C07" w14:textId="77777777" w:rsidR="007F566F" w:rsidRPr="007F566F" w:rsidRDefault="007F566F" w:rsidP="00360470">
            <w:pPr>
              <w:widowControl w:val="0"/>
              <w:spacing w:line="360" w:lineRule="auto"/>
              <w:textAlignment w:val="baseline"/>
              <w:rPr>
                <w:rFonts w:eastAsia="Times New Roman" w:cs="Segoe UI"/>
                <w:b/>
                <w:bCs/>
                <w:color w:val="auto"/>
                <w:sz w:val="21"/>
                <w:szCs w:val="21"/>
                <w:lang w:bidi="kok-IN"/>
              </w:rPr>
            </w:pPr>
            <w:r>
              <w:rPr>
                <w:rFonts w:eastAsia="Times New Roman" w:cs="Calibri"/>
                <w:b/>
                <w:bCs/>
                <w:color w:val="auto"/>
                <w:sz w:val="21"/>
                <w:szCs w:val="21"/>
                <w:lang w:bidi="kok-IN"/>
              </w:rPr>
              <w:t>Requirements </w:t>
            </w:r>
          </w:p>
        </w:tc>
      </w:tr>
      <w:tr w:rsidR="007F566F" w:rsidRPr="009257B0" w14:paraId="36AD0C37" w14:textId="77777777" w:rsidTr="007F566F">
        <w:trPr>
          <w:trHeight w:val="300"/>
        </w:trPr>
        <w:tc>
          <w:tcPr>
            <w:tcW w:w="2700" w:type="dxa"/>
            <w:hideMark/>
          </w:tcPr>
          <w:p w14:paraId="1B737FEF" w14:textId="77777777" w:rsidR="007F566F" w:rsidRPr="00644A8A" w:rsidRDefault="007F566F" w:rsidP="00644A8A">
            <w:pPr>
              <w:pStyle w:val="BodyText"/>
              <w:rPr>
                <w:rFonts w:cs="Segoe UI"/>
              </w:rPr>
            </w:pPr>
            <w:r>
              <w:t>Characters allowed </w:t>
            </w:r>
          </w:p>
        </w:tc>
        <w:tc>
          <w:tcPr>
            <w:tcW w:w="6480" w:type="dxa"/>
            <w:hideMark/>
          </w:tcPr>
          <w:p w14:paraId="38FFA1C2"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A – Z </w:t>
            </w:r>
          </w:p>
          <w:p w14:paraId="41ED5037"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a - z </w:t>
            </w:r>
          </w:p>
          <w:p w14:paraId="482B256C"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0 – 9 </w:t>
            </w:r>
          </w:p>
          <w:p w14:paraId="3A47791A"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 # $ % ^ &amp; * - _ ! + = [ ] { } | \ : ' , . ? / ` ~ " ( ) ; </w:t>
            </w:r>
          </w:p>
          <w:p w14:paraId="62FD9E41"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blank space </w:t>
            </w:r>
          </w:p>
        </w:tc>
      </w:tr>
      <w:tr w:rsidR="007F566F" w:rsidRPr="009257B0" w14:paraId="6DE686CF" w14:textId="77777777" w:rsidTr="007F566F">
        <w:trPr>
          <w:trHeight w:val="300"/>
        </w:trPr>
        <w:tc>
          <w:tcPr>
            <w:tcW w:w="2700" w:type="dxa"/>
            <w:hideMark/>
          </w:tcPr>
          <w:p w14:paraId="27BA6356" w14:textId="77777777" w:rsidR="007F566F" w:rsidRPr="00644A8A" w:rsidRDefault="007F566F" w:rsidP="00644A8A">
            <w:pPr>
              <w:pStyle w:val="BodyText"/>
              <w:rPr>
                <w:rFonts w:cs="Segoe UI"/>
              </w:rPr>
            </w:pPr>
            <w:r>
              <w:t>Characters not allowed </w:t>
            </w:r>
          </w:p>
        </w:tc>
        <w:tc>
          <w:tcPr>
            <w:tcW w:w="6480" w:type="dxa"/>
            <w:hideMark/>
          </w:tcPr>
          <w:p w14:paraId="3481AD6A" w14:textId="77777777" w:rsidR="007F566F" w:rsidRPr="000F3962" w:rsidRDefault="007F566F" w:rsidP="00360470">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Unicode characters. </w:t>
            </w:r>
          </w:p>
        </w:tc>
      </w:tr>
      <w:tr w:rsidR="007F566F" w:rsidRPr="009257B0" w14:paraId="63DE535B" w14:textId="77777777" w:rsidTr="007F566F">
        <w:trPr>
          <w:trHeight w:val="300"/>
        </w:trPr>
        <w:tc>
          <w:tcPr>
            <w:tcW w:w="2700" w:type="dxa"/>
            <w:hideMark/>
          </w:tcPr>
          <w:p w14:paraId="3FCEA218" w14:textId="77777777" w:rsidR="007F566F" w:rsidRPr="00644A8A" w:rsidRDefault="007F566F" w:rsidP="00644A8A">
            <w:pPr>
              <w:pStyle w:val="BodyText"/>
              <w:rPr>
                <w:rFonts w:cs="Segoe UI"/>
              </w:rPr>
            </w:pPr>
            <w:r>
              <w:t>Password restrictions </w:t>
            </w:r>
          </w:p>
        </w:tc>
        <w:tc>
          <w:tcPr>
            <w:tcW w:w="6480" w:type="dxa"/>
            <w:hideMark/>
          </w:tcPr>
          <w:p w14:paraId="752D45F6" w14:textId="77777777" w:rsidR="007F566F" w:rsidRPr="000F3962" w:rsidRDefault="007F566F" w:rsidP="00921BA0">
            <w:pPr>
              <w:pStyle w:val="ListParagraph"/>
              <w:widowControl w:val="0"/>
              <w:numPr>
                <w:ilvl w:val="0"/>
                <w:numId w:val="31"/>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A minimum of 14 characters and a maximum of 256 - characters. </w:t>
            </w:r>
          </w:p>
          <w:p w14:paraId="64E1E700" w14:textId="77777777" w:rsidR="007F566F" w:rsidRPr="000F3962" w:rsidRDefault="007F566F" w:rsidP="00921BA0">
            <w:pPr>
              <w:pStyle w:val="ListParagraph"/>
              <w:widowControl w:val="0"/>
              <w:numPr>
                <w:ilvl w:val="0"/>
                <w:numId w:val="31"/>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Requires three out of four of the following: </w:t>
            </w:r>
          </w:p>
          <w:p w14:paraId="4967D5EC"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Lowercase characters. </w:t>
            </w:r>
          </w:p>
          <w:p w14:paraId="2F86A04B"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Uppercase characters. </w:t>
            </w:r>
          </w:p>
          <w:p w14:paraId="5AC023C1"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Numbers (0-9). </w:t>
            </w:r>
          </w:p>
          <w:p w14:paraId="18287A08"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Symbols (see the previous password restrictions). </w:t>
            </w:r>
          </w:p>
        </w:tc>
      </w:tr>
      <w:tr w:rsidR="007F566F" w:rsidRPr="009257B0" w14:paraId="50DEA18B" w14:textId="77777777" w:rsidTr="007F566F">
        <w:trPr>
          <w:trHeight w:val="300"/>
        </w:trPr>
        <w:tc>
          <w:tcPr>
            <w:tcW w:w="2700" w:type="dxa"/>
            <w:hideMark/>
          </w:tcPr>
          <w:p w14:paraId="6330AAB7" w14:textId="77777777" w:rsidR="007F566F" w:rsidRPr="00644A8A" w:rsidRDefault="007F566F" w:rsidP="00644A8A">
            <w:pPr>
              <w:pStyle w:val="BodyText"/>
              <w:rPr>
                <w:rFonts w:cs="Segoe UI"/>
              </w:rPr>
            </w:pPr>
            <w:r>
              <w:t>Password expiry duration (Maximum password age) </w:t>
            </w:r>
          </w:p>
        </w:tc>
        <w:tc>
          <w:tcPr>
            <w:tcW w:w="6480" w:type="dxa"/>
            <w:hideMark/>
          </w:tcPr>
          <w:p w14:paraId="5D121475" w14:textId="77777777" w:rsidR="007F566F" w:rsidRPr="000F3962" w:rsidRDefault="007F566F" w:rsidP="00921BA0">
            <w:pPr>
              <w:pStyle w:val="ListParagraph"/>
              <w:widowControl w:val="0"/>
              <w:numPr>
                <w:ilvl w:val="0"/>
                <w:numId w:val="33"/>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Value: 365 days. </w:t>
            </w:r>
          </w:p>
          <w:p w14:paraId="19A7AE83" w14:textId="77777777" w:rsidR="007F566F" w:rsidRPr="000F3962" w:rsidRDefault="007F566F" w:rsidP="00921BA0">
            <w:pPr>
              <w:pStyle w:val="ListParagraph"/>
              <w:widowControl w:val="0"/>
              <w:numPr>
                <w:ilvl w:val="0"/>
                <w:numId w:val="33"/>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The value is configurable by using the Set-</w:t>
            </w:r>
            <w:r>
              <w:rPr>
                <w:rFonts w:asciiTheme="minorHAnsi" w:eastAsia="Times New Roman" w:hAnsiTheme="minorHAnsi" w:cstheme="minorHAnsi"/>
                <w:i/>
                <w:iCs/>
                <w:sz w:val="21"/>
                <w:szCs w:val="21"/>
                <w:lang w:bidi="kok-IN"/>
              </w:rPr>
              <w:t>MsolPasswordPolicy cmdlet</w:t>
            </w:r>
            <w:r>
              <w:rPr>
                <w:rFonts w:asciiTheme="minorHAnsi" w:eastAsia="Times New Roman" w:hAnsiTheme="minorHAnsi" w:cstheme="minorHAnsi"/>
                <w:sz w:val="21"/>
                <w:szCs w:val="21"/>
                <w:lang w:bidi="kok-IN"/>
              </w:rPr>
              <w:t xml:space="preserve"> from the Azure Active Directory Module for Windows PowerShell. </w:t>
            </w:r>
          </w:p>
        </w:tc>
      </w:tr>
      <w:tr w:rsidR="007F566F" w:rsidRPr="009257B0" w14:paraId="77141146" w14:textId="77777777" w:rsidTr="007F566F">
        <w:trPr>
          <w:trHeight w:val="300"/>
        </w:trPr>
        <w:tc>
          <w:tcPr>
            <w:tcW w:w="2700" w:type="dxa"/>
            <w:hideMark/>
          </w:tcPr>
          <w:p w14:paraId="07E8360E" w14:textId="77777777" w:rsidR="007F566F" w:rsidRPr="00644A8A" w:rsidRDefault="007F566F" w:rsidP="00644A8A">
            <w:pPr>
              <w:pStyle w:val="BodyText"/>
              <w:rPr>
                <w:rFonts w:cs="Segoe UI"/>
              </w:rPr>
            </w:pPr>
            <w:r>
              <w:t>Password expiry notification (When users are notified of password expiration) </w:t>
            </w:r>
          </w:p>
        </w:tc>
        <w:tc>
          <w:tcPr>
            <w:tcW w:w="6480" w:type="dxa"/>
            <w:hideMark/>
          </w:tcPr>
          <w:p w14:paraId="726E616B" w14:textId="77777777" w:rsidR="007F566F" w:rsidRPr="000F3962" w:rsidRDefault="007F566F" w:rsidP="00921BA0">
            <w:pPr>
              <w:pStyle w:val="ListParagraph"/>
              <w:widowControl w:val="0"/>
              <w:numPr>
                <w:ilvl w:val="0"/>
                <w:numId w:val="34"/>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Default value: 14 days (before password expires). </w:t>
            </w:r>
          </w:p>
          <w:p w14:paraId="0F9C37C4" w14:textId="77777777" w:rsidR="007F566F" w:rsidRPr="000F3962" w:rsidRDefault="007F566F" w:rsidP="00921BA0">
            <w:pPr>
              <w:pStyle w:val="ListParagraph"/>
              <w:widowControl w:val="0"/>
              <w:numPr>
                <w:ilvl w:val="0"/>
                <w:numId w:val="34"/>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 xml:space="preserve">The value is configurable by using </w:t>
            </w:r>
            <w:r>
              <w:rPr>
                <w:rFonts w:asciiTheme="minorHAnsi" w:eastAsia="Times New Roman" w:hAnsiTheme="minorHAnsi" w:cstheme="minorHAnsi"/>
                <w:i/>
                <w:iCs/>
                <w:sz w:val="21"/>
                <w:szCs w:val="21"/>
                <w:lang w:bidi="kok-IN"/>
              </w:rPr>
              <w:t>the Set-MsolPasswordPolicy </w:t>
            </w:r>
            <w:r>
              <w:rPr>
                <w:rFonts w:asciiTheme="minorHAnsi" w:eastAsia="Times New Roman" w:hAnsiTheme="minorHAnsi" w:cstheme="minorHAnsi"/>
                <w:sz w:val="21"/>
                <w:szCs w:val="21"/>
                <w:lang w:bidi="kok-IN"/>
              </w:rPr>
              <w:t>cmdlet. </w:t>
            </w:r>
          </w:p>
        </w:tc>
      </w:tr>
      <w:tr w:rsidR="007F566F" w:rsidRPr="009257B0" w14:paraId="60A9B13E" w14:textId="77777777" w:rsidTr="007F566F">
        <w:trPr>
          <w:trHeight w:val="300"/>
        </w:trPr>
        <w:tc>
          <w:tcPr>
            <w:tcW w:w="2700" w:type="dxa"/>
            <w:hideMark/>
          </w:tcPr>
          <w:p w14:paraId="57E797AD" w14:textId="77777777" w:rsidR="007F566F" w:rsidRPr="00644A8A" w:rsidRDefault="007F566F" w:rsidP="00644A8A">
            <w:pPr>
              <w:pStyle w:val="BodyText"/>
              <w:rPr>
                <w:rFonts w:cs="Segoe UI"/>
              </w:rPr>
            </w:pPr>
            <w:r>
              <w:t>Password expiry (Let passwords never expire) </w:t>
            </w:r>
          </w:p>
        </w:tc>
        <w:tc>
          <w:tcPr>
            <w:tcW w:w="6480" w:type="dxa"/>
            <w:hideMark/>
          </w:tcPr>
          <w:p w14:paraId="6AB29B64" w14:textId="77777777" w:rsidR="007F566F" w:rsidRPr="000F3962" w:rsidRDefault="007F566F" w:rsidP="00921BA0">
            <w:pPr>
              <w:pStyle w:val="ListParagraph"/>
              <w:widowControl w:val="0"/>
              <w:numPr>
                <w:ilvl w:val="0"/>
                <w:numId w:val="35"/>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Default value: false (indicates that passwords have an expiration date). </w:t>
            </w:r>
          </w:p>
          <w:p w14:paraId="61003979" w14:textId="77777777" w:rsidR="007F566F" w:rsidRPr="000F3962" w:rsidRDefault="007F566F" w:rsidP="00921BA0">
            <w:pPr>
              <w:pStyle w:val="ListParagraph"/>
              <w:widowControl w:val="0"/>
              <w:numPr>
                <w:ilvl w:val="0"/>
                <w:numId w:val="35"/>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The value can be configured for individual user accounts by using the </w:t>
            </w:r>
            <w:r>
              <w:rPr>
                <w:rFonts w:asciiTheme="minorHAnsi" w:eastAsia="Times New Roman" w:hAnsiTheme="minorHAnsi" w:cstheme="minorHAnsi"/>
                <w:i/>
                <w:iCs/>
                <w:sz w:val="21"/>
                <w:szCs w:val="21"/>
                <w:lang w:bidi="kok-IN"/>
              </w:rPr>
              <w:t>Set</w:t>
            </w:r>
            <w:r>
              <w:rPr>
                <w:rFonts w:asciiTheme="minorHAnsi" w:eastAsia="Times New Roman" w:hAnsiTheme="minorHAnsi" w:cstheme="minorHAnsi"/>
                <w:sz w:val="21"/>
                <w:szCs w:val="21"/>
                <w:lang w:bidi="kok-IN"/>
              </w:rPr>
              <w:t>-</w:t>
            </w:r>
            <w:r>
              <w:rPr>
                <w:rFonts w:asciiTheme="minorHAnsi" w:eastAsia="Times New Roman" w:hAnsiTheme="minorHAnsi" w:cstheme="minorHAnsi"/>
                <w:i/>
                <w:iCs/>
                <w:sz w:val="21"/>
                <w:szCs w:val="21"/>
                <w:lang w:bidi="kok-IN"/>
              </w:rPr>
              <w:t>MsolUser</w:t>
            </w:r>
            <w:r>
              <w:rPr>
                <w:rFonts w:asciiTheme="minorHAnsi" w:eastAsia="Times New Roman" w:hAnsiTheme="minorHAnsi" w:cstheme="minorHAnsi"/>
                <w:sz w:val="21"/>
                <w:szCs w:val="21"/>
                <w:lang w:bidi="kok-IN"/>
              </w:rPr>
              <w:t> cmdlet. </w:t>
            </w:r>
          </w:p>
        </w:tc>
      </w:tr>
      <w:tr w:rsidR="007F566F" w:rsidRPr="009257B0" w14:paraId="278AF0CE" w14:textId="77777777" w:rsidTr="007F566F">
        <w:trPr>
          <w:trHeight w:val="300"/>
        </w:trPr>
        <w:tc>
          <w:tcPr>
            <w:tcW w:w="2700" w:type="dxa"/>
            <w:hideMark/>
          </w:tcPr>
          <w:p w14:paraId="69019301" w14:textId="77777777" w:rsidR="007F566F" w:rsidRPr="00644A8A" w:rsidRDefault="007F566F" w:rsidP="00644A8A">
            <w:pPr>
              <w:pStyle w:val="BodyText"/>
              <w:rPr>
                <w:rFonts w:cs="Segoe UI"/>
              </w:rPr>
            </w:pPr>
            <w:r>
              <w:t>Password change history </w:t>
            </w:r>
          </w:p>
        </w:tc>
        <w:tc>
          <w:tcPr>
            <w:tcW w:w="6480" w:type="dxa"/>
            <w:hideMark/>
          </w:tcPr>
          <w:p w14:paraId="7C717463" w14:textId="77777777" w:rsidR="007F566F" w:rsidRPr="000F3962" w:rsidRDefault="007F566F" w:rsidP="00360470">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The last 24 passwords </w:t>
            </w:r>
            <w:r>
              <w:rPr>
                <w:rFonts w:eastAsia="Times New Roman" w:cstheme="minorHAnsi"/>
                <w:i/>
                <w:iCs/>
                <w:sz w:val="21"/>
                <w:szCs w:val="21"/>
                <w:lang w:bidi="kok-IN"/>
              </w:rPr>
              <w:t>can't</w:t>
            </w:r>
            <w:r>
              <w:rPr>
                <w:rFonts w:eastAsia="Times New Roman" w:cstheme="minorHAnsi"/>
                <w:sz w:val="21"/>
                <w:szCs w:val="21"/>
                <w:lang w:bidi="kok-IN"/>
              </w:rPr>
              <w:t> be used again when the user changes a password. </w:t>
            </w:r>
          </w:p>
        </w:tc>
      </w:tr>
      <w:tr w:rsidR="007F566F" w:rsidRPr="009257B0" w14:paraId="251060E1" w14:textId="77777777" w:rsidTr="007F566F">
        <w:trPr>
          <w:trHeight w:val="300"/>
        </w:trPr>
        <w:tc>
          <w:tcPr>
            <w:tcW w:w="2700" w:type="dxa"/>
            <w:hideMark/>
          </w:tcPr>
          <w:p w14:paraId="1844C59C" w14:textId="77777777" w:rsidR="007F566F" w:rsidRPr="00644A8A" w:rsidRDefault="007F566F" w:rsidP="00644A8A">
            <w:pPr>
              <w:pStyle w:val="BodyText"/>
              <w:rPr>
                <w:rFonts w:cs="Segoe UI"/>
              </w:rPr>
            </w:pPr>
            <w:r>
              <w:lastRenderedPageBreak/>
              <w:t>Password reset history </w:t>
            </w:r>
          </w:p>
        </w:tc>
        <w:tc>
          <w:tcPr>
            <w:tcW w:w="6480" w:type="dxa"/>
            <w:hideMark/>
          </w:tcPr>
          <w:p w14:paraId="215DC30C" w14:textId="77777777" w:rsidR="007F566F" w:rsidRPr="000F3962" w:rsidRDefault="007F566F" w:rsidP="00360470">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The last password </w:t>
            </w:r>
            <w:r>
              <w:rPr>
                <w:rFonts w:eastAsia="Times New Roman" w:cstheme="minorHAnsi"/>
                <w:i/>
                <w:iCs/>
                <w:sz w:val="21"/>
                <w:szCs w:val="21"/>
                <w:lang w:bidi="kok-IN"/>
              </w:rPr>
              <w:t>can</w:t>
            </w:r>
            <w:r>
              <w:rPr>
                <w:rFonts w:eastAsia="Times New Roman" w:cstheme="minorHAnsi"/>
                <w:sz w:val="21"/>
                <w:szCs w:val="21"/>
                <w:lang w:bidi="kok-IN"/>
              </w:rPr>
              <w:t> be used again when the user resets a forgotten password. </w:t>
            </w:r>
          </w:p>
        </w:tc>
      </w:tr>
    </w:tbl>
    <w:p w14:paraId="304A263F" w14:textId="77777777" w:rsidR="00243DF5" w:rsidRDefault="00243DF5">
      <w:r>
        <w:br w:type="page"/>
      </w:r>
    </w:p>
    <w:p w14:paraId="27AA18F4" w14:textId="77777777" w:rsidR="00243DF5" w:rsidRPr="009E1A44" w:rsidRDefault="00243DF5" w:rsidP="00243DF5">
      <w:pPr>
        <w:pStyle w:val="Heading1"/>
      </w:pPr>
      <w:bookmarkStart w:id="2164" w:name="_Toc222995654"/>
      <w:bookmarkStart w:id="2165" w:name="_Toc238470027"/>
      <w:r>
        <w:lastRenderedPageBreak/>
        <w:t>Appendix B - Terms of Use &amp; CUI Warning</w:t>
      </w:r>
      <w:bookmarkEnd w:id="2164"/>
      <w:bookmarkEnd w:id="2165"/>
      <w:r>
        <w:t xml:space="preserve"> </w:t>
      </w:r>
    </w:p>
    <w:p w14:paraId="438C173E" w14:textId="77777777" w:rsidR="00243DF5" w:rsidRPr="006A5C9C" w:rsidRDefault="00243DF5" w:rsidP="00D72481">
      <w:pPr>
        <w:pStyle w:val="BodyText"/>
      </w:pPr>
      <w:r>
        <w:t>The following Terms of Use and CUI warning messages will be used:</w:t>
      </w:r>
    </w:p>
    <w:p w14:paraId="70646DC0" w14:textId="77777777" w:rsidR="00243DF5" w:rsidRPr="00D72481" w:rsidRDefault="00243DF5" w:rsidP="00D72481">
      <w:pPr>
        <w:pStyle w:val="BodyText"/>
        <w:rPr>
          <w:b/>
          <w:bCs/>
        </w:rPr>
      </w:pPr>
      <w:r>
        <w:rPr>
          <w:b/>
          <w:bCs/>
        </w:rPr>
        <w:t>1. Authorized Use</w:t>
      </w:r>
    </w:p>
    <w:p w14:paraId="57D362D9" w14:textId="25388D0C" w:rsidR="00243DF5" w:rsidRPr="00D72481" w:rsidRDefault="00243DF5" w:rsidP="00D72481">
      <w:pPr>
        <w:pStyle w:val="BodyText"/>
      </w:pPr>
      <w:r>
        <w:t xml:space="preserve">By accessing this system, you confirm that you are an authorized user acting solely for </w:t>
      </w:r>
      <w:sdt>
        <w:sdtPr>
          <w:alias w:val="Client Abbreviation"/>
          <w:tag w:val=""/>
          <w:id w:val="1001242916"/>
          <w:placeholder>
            <w:docPart w:val="2B1D09EF8BBC4C77BE8E17590BB1F050"/>
          </w:placeholder>
          <w:dataBinding w:prefixMappings="xmlns:ec='urn:essendis:engagement-profile' " w:xpath="/ec:engagement[1]/ec:ClientAbbr[1]" w:storeItemID="{E55E11D8-6A7D-4C25-9E68-2A3B8F0C4D91}"/>
          <w:text/>
        </w:sdtPr>
        <w:sdtEndPr/>
        <w:sdtContent>
          <w:r>
            <w:t>WMP</w:t>
          </w:r>
        </w:sdtContent>
      </w:sdt>
      <w:r>
        <w:t>’s business. Personal use, shared credentials, or third‑party access is prohibited.</w:t>
      </w:r>
    </w:p>
    <w:p w14:paraId="638401A9" w14:textId="77777777" w:rsidR="00243DF5" w:rsidRPr="00D72481" w:rsidRDefault="00243DF5" w:rsidP="00D72481">
      <w:pPr>
        <w:pStyle w:val="BodyText"/>
        <w:rPr>
          <w:b/>
          <w:bCs/>
        </w:rPr>
      </w:pPr>
      <w:r>
        <w:rPr>
          <w:b/>
          <w:bCs/>
        </w:rPr>
        <w:t>2. Data Protection &amp; Confidentiality</w:t>
      </w:r>
    </w:p>
    <w:p w14:paraId="5A40A0A3" w14:textId="77777777" w:rsidR="00243DF5" w:rsidRPr="00D72481" w:rsidRDefault="00243DF5" w:rsidP="00D72481">
      <w:pPr>
        <w:pStyle w:val="BodyText"/>
      </w:pPr>
      <w:r>
        <w:t>All information processed, stored, or transmitted—including Controlled Unclassified Information (CUI)—is company‑confidential. You must:</w:t>
      </w:r>
    </w:p>
    <w:p w14:paraId="7C5F6ACC" w14:textId="77777777" w:rsidR="00243DF5" w:rsidRPr="00D72481" w:rsidRDefault="00243DF5" w:rsidP="00D72481">
      <w:pPr>
        <w:pStyle w:val="BodyText"/>
      </w:pPr>
      <w:r>
        <w:t>Handle CUI in accordance with DFARS 252.204‑7012, NIST SP 800‑171, and company policy.</w:t>
      </w:r>
    </w:p>
    <w:p w14:paraId="73910F4A" w14:textId="77777777" w:rsidR="00243DF5" w:rsidRPr="00D72481" w:rsidRDefault="00243DF5" w:rsidP="00D72481">
      <w:pPr>
        <w:pStyle w:val="BodyText"/>
      </w:pPr>
      <w:r>
        <w:t>Encrypt CUI at rest and in transit; never export it to personal devices or public cloud services.</w:t>
      </w:r>
    </w:p>
    <w:p w14:paraId="1F047B67" w14:textId="77777777" w:rsidR="00243DF5" w:rsidRPr="00D72481" w:rsidRDefault="00243DF5" w:rsidP="00D72481">
      <w:pPr>
        <w:pStyle w:val="BodyText"/>
      </w:pPr>
      <w:r>
        <w:t>Share CUI only with individuals who have a demonstrable “need to know.”</w:t>
      </w:r>
    </w:p>
    <w:p w14:paraId="09FED917" w14:textId="77777777" w:rsidR="00243DF5" w:rsidRPr="00D72481" w:rsidRDefault="00243DF5" w:rsidP="00D72481">
      <w:pPr>
        <w:pStyle w:val="BodyText"/>
        <w:rPr>
          <w:b/>
          <w:bCs/>
        </w:rPr>
      </w:pPr>
      <w:r>
        <w:rPr>
          <w:b/>
          <w:bCs/>
        </w:rPr>
        <w:t>3. Security Requirements</w:t>
      </w:r>
    </w:p>
    <w:p w14:paraId="10DB0373" w14:textId="77777777" w:rsidR="00243DF5" w:rsidRPr="00D72481" w:rsidRDefault="00243DF5" w:rsidP="00D72481">
      <w:pPr>
        <w:pStyle w:val="BodyText"/>
      </w:pPr>
      <w:r>
        <w:t>Maintain strong, unique passwords and complete multifactor authentication (MFA) when prompted.</w:t>
      </w:r>
    </w:p>
    <w:p w14:paraId="3D20202E" w14:textId="77777777" w:rsidR="00243DF5" w:rsidRPr="00D72481" w:rsidRDefault="00243DF5" w:rsidP="00D72481">
      <w:pPr>
        <w:pStyle w:val="BodyText"/>
      </w:pPr>
      <w:r>
        <w:t>Use only company‑managed, compliant, or hybrid‑joined devices for access.</w:t>
      </w:r>
    </w:p>
    <w:p w14:paraId="147F508B" w14:textId="741ED858" w:rsidR="00243DF5" w:rsidRPr="00D72481" w:rsidRDefault="00243DF5" w:rsidP="00D72481">
      <w:pPr>
        <w:pStyle w:val="BodyText"/>
      </w:pPr>
      <w:commentRangeStart w:id="2101"/>
      <w:r>
        <w:t xml:space="preserve">Immediately report lost devices, suspected breaches, or phishing attempts to the Security Operations Center (SOC) at </w:t>
      </w:r>
      <w:r>
        <w:rPr>
          <w:highlight w:val="yellow"/>
        </w:rPr>
        <w:t xml:space="preserve">[To-Be-Determined]</w:t>
      </w:r>
      <w:r>
        <w:t xml:space="preserve">@</w:t>
      </w:r>
      <w:sdt>
        <w:sdtPr>
          <w:alias w:val="Client Primary Domain"/>
          <w:tag w:val=""/>
          <w:id w:val="423781895"/>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or +1‑800</w:t>
      </w:r>
      <w:r>
        <w:rPr>
          <w:highlight w:val="yellow"/>
        </w:rPr>
        <w:t xml:space="preserve">[To BE DETERMINED]</w:t>
      </w:r>
      <w:r>
        <w:t xml:space="preserve">.</w:t>
      </w:r>
      <w:commentRangeEnd w:id="2101"/>
      <w:r>
        <w:rPr>
          <w:rStyle w:val="CommentReference"/>
        </w:rPr>
        <w:commentReference w:id="2101"/>
      </w:r>
    </w:p>
    <w:p w14:paraId="73419113" w14:textId="77777777" w:rsidR="00243DF5" w:rsidRPr="00D72481" w:rsidRDefault="00243DF5" w:rsidP="00D72481">
      <w:pPr>
        <w:pStyle w:val="BodyText"/>
        <w:rPr>
          <w:b/>
          <w:bCs/>
        </w:rPr>
      </w:pPr>
      <w:r>
        <w:rPr>
          <w:b/>
          <w:bCs/>
        </w:rPr>
        <w:t>4. Monitoring &amp; Privacy</w:t>
      </w:r>
    </w:p>
    <w:p w14:paraId="35678907" w14:textId="77777777" w:rsidR="00243DF5" w:rsidRPr="00D72481" w:rsidRDefault="00243DF5" w:rsidP="00D72481">
      <w:pPr>
        <w:pStyle w:val="BodyText"/>
      </w:pPr>
      <w:r>
        <w:t>System usage—including email, chat, and file activity—may be logged, monitored, and reviewed at any time. There is no expectation of personal privacy on this network.</w:t>
      </w:r>
    </w:p>
    <w:p w14:paraId="6000A696" w14:textId="77777777" w:rsidR="00243DF5" w:rsidRPr="00D72481" w:rsidRDefault="00243DF5" w:rsidP="00D72481">
      <w:pPr>
        <w:pStyle w:val="BodyText"/>
        <w:rPr>
          <w:b/>
          <w:bCs/>
        </w:rPr>
      </w:pPr>
      <w:r>
        <w:rPr>
          <w:b/>
          <w:bCs/>
        </w:rPr>
        <w:t>5. Consequences of Misuse</w:t>
      </w:r>
    </w:p>
    <w:p w14:paraId="1403A88E" w14:textId="77777777" w:rsidR="00243DF5" w:rsidRPr="00D72481" w:rsidRDefault="00243DF5" w:rsidP="00D72481">
      <w:pPr>
        <w:pStyle w:val="BodyText"/>
      </w:pPr>
      <w:r>
        <w:t>Unauthorized or negligent handling of company data or CUI may lead to disciplinary action, loss of access, termination, civil liability, and/or criminal prosecution under applicable law.</w:t>
      </w:r>
    </w:p>
    <w:p w14:paraId="6B65FDD0" w14:textId="77777777" w:rsidR="001F68D4" w:rsidRPr="00D72481" w:rsidRDefault="00243DF5" w:rsidP="00D72481">
      <w:pPr>
        <w:pStyle w:val="BodyText"/>
      </w:pPr>
      <w:r>
        <w:t>By selecting Accept, you acknowledge that you have read, understand, and agree to abide by these terms and all referenced policies. If you do not agree, select Decline and disconnect immediately.</w:t>
      </w:r>
    </w:p>
    <w:p w14:paraId="73DD5B14" w14:textId="77777777" w:rsidR="007F566F" w:rsidRDefault="00C36EF6" w:rsidP="00C36EF6">
      <w:pPr>
        <w:pStyle w:val="Heading1"/>
      </w:pPr>
      <w:bookmarkStart w:id="2176" w:name="_Toc238470028"/>
      <w:r>
        <w:t>Change Log</w:t>
      </w:r>
      <w:bookmarkEnd w:id="2176"/>
    </w:p>
    <w:tbl>
      <w:tblPr>
        <w:tblStyle w:val="TableGrid"/>
        <w:tblW w:w="0" w:type="auto"/>
        <w:tblLook w:val="04A0" w:firstRow="1" w:lastRow="0" w:firstColumn="1" w:lastColumn="0" w:noHBand="0" w:noVBand="1"/>
      </w:tblPr>
      <w:tblGrid>
        <w:gridCol w:w="1796"/>
        <w:gridCol w:w="1893"/>
        <w:gridCol w:w="6381"/>
      </w:tblGrid>
      <w:tr w:rsidR="00B00090" w:rsidRPr="0030125E" w14:paraId="468EBD8A" w14:textId="77777777" w:rsidTr="00B00090">
        <w:tc>
          <w:tcPr>
            <w:tcW w:w="1796" w:type="dxa"/>
          </w:tcPr>
          <w:p w14:paraId="0DFBFF1D" w14:textId="77777777" w:rsidR="00B00090" w:rsidRPr="0030125E" w:rsidRDefault="00B00090" w:rsidP="00360470">
            <w:pPr>
              <w:spacing w:line="360" w:lineRule="auto"/>
              <w:rPr>
                <w:b/>
                <w:bCs/>
                <w:sz w:val="21"/>
                <w:szCs w:val="21"/>
              </w:rPr>
            </w:pPr>
            <w:r>
              <w:rPr>
                <w:b/>
                <w:bCs/>
                <w:sz w:val="21"/>
                <w:szCs w:val="21"/>
              </w:rPr>
              <w:t>Date</w:t>
            </w:r>
          </w:p>
        </w:tc>
        <w:tc>
          <w:tcPr>
            <w:tcW w:w="1893" w:type="dxa"/>
          </w:tcPr>
          <w:p w14:paraId="1776A952" w14:textId="77777777" w:rsidR="00B00090" w:rsidRPr="0030125E" w:rsidRDefault="00B00090" w:rsidP="00360470">
            <w:pPr>
              <w:spacing w:line="360" w:lineRule="auto"/>
              <w:rPr>
                <w:b/>
                <w:bCs/>
                <w:sz w:val="21"/>
                <w:szCs w:val="21"/>
              </w:rPr>
            </w:pPr>
            <w:r>
              <w:rPr>
                <w:b/>
                <w:bCs/>
                <w:sz w:val="21"/>
                <w:szCs w:val="21"/>
              </w:rPr>
              <w:t>Version</w:t>
            </w:r>
          </w:p>
        </w:tc>
        <w:tc>
          <w:tcPr>
            <w:tcW w:w="6381" w:type="dxa"/>
          </w:tcPr>
          <w:p w14:paraId="3E4A6197" w14:textId="77777777" w:rsidR="00B00090" w:rsidRPr="0030125E" w:rsidRDefault="00B00090" w:rsidP="00360470">
            <w:pPr>
              <w:spacing w:line="360" w:lineRule="auto"/>
              <w:rPr>
                <w:b/>
                <w:bCs/>
                <w:sz w:val="21"/>
                <w:szCs w:val="21"/>
              </w:rPr>
            </w:pPr>
            <w:r>
              <w:rPr>
                <w:b/>
                <w:bCs/>
                <w:sz w:val="21"/>
                <w:szCs w:val="21"/>
              </w:rPr>
              <w:t>Comment</w:t>
            </w:r>
          </w:p>
        </w:tc>
      </w:tr>
      <w:tr w:rsidR="00B00090" w14:paraId="2B0563AC" w14:textId="77777777" w:rsidTr="00B00090">
        <w:tc>
          <w:tcPr>
            <w:tcW w:w="1796" w:type="dxa"/>
          </w:tcPr>
          <w:p w14:paraId="6D0A2F3F" w14:textId="4B962FAD" w:rsidR="00B00090" w:rsidRDefault="00B00090" w:rsidP="00360470">
            <w:pPr>
              <w:spacing w:line="360" w:lineRule="auto"/>
              <w:rPr>
                <w:sz w:val="21"/>
                <w:szCs w:val="21"/>
              </w:rPr>
            </w:pPr>
            <w:r>
              <w:rPr>
                <w:sz w:val="21"/>
                <w:szCs w:val="21"/>
              </w:rPr>
              <w:t>8/24/2026</w:t>
            </w:r>
          </w:p>
        </w:tc>
        <w:tc>
          <w:tcPr>
            <w:tcW w:w="1893" w:type="dxa"/>
          </w:tcPr>
          <w:p w14:paraId="3AC3751B" w14:textId="15146C94" w:rsidR="00B00090" w:rsidRPr="00AE370B" w:rsidRDefault="00B00090" w:rsidP="00360470">
            <w:pPr>
              <w:spacing w:line="360" w:lineRule="auto"/>
              <w:rPr>
                <w:sz w:val="21"/>
                <w:szCs w:val="21"/>
              </w:rPr>
            </w:pPr>
            <w:r>
              <w:rPr>
                <w:sz w:val="21"/>
                <w:szCs w:val="21"/>
              </w:rPr>
              <w:t>1.1</w:t>
            </w:r>
          </w:p>
        </w:tc>
        <w:tc>
          <w:tcPr>
            <w:tcW w:w="6381" w:type="dxa"/>
          </w:tcPr>
          <w:p w14:paraId="777051F7" w14:textId="0150D552" w:rsidR="00B00090" w:rsidRPr="00AE370B" w:rsidRDefault="00B00090" w:rsidP="00360470">
            <w:pPr>
              <w:spacing w:line="360" w:lineRule="auto"/>
              <w:rPr>
                <w:sz w:val="21"/>
                <w:szCs w:val="21"/>
              </w:rPr>
            </w:pPr>
            <w:r>
              <w:rPr>
                <w:sz w:val="21"/>
                <w:szCs w:val="21"/>
              </w:rPr>
              <w:t>Removed out-of-scope sections; renumbered deployment phases; added Teams Voice – CallTower Integration, Mobile Device Management (Intune), and On-Premises Exchange Decommission.</w:t>
            </w:r>
          </w:p>
        </w:tc>
      </w:tr>
      <w:tr>
        <w:tc>
          <w:tcPr>
            <w:tcW w:w="1796" w:type="dxa"/>
          </w:tcPr>
          <w:p>
            <w:pPr>
              <w:spacing w:line="360" w:lineRule="auto"/>
              <w:rPr>
                <w:sz w:val="21"/>
                <w:szCs w:val="21"/>
              </w:rPr>
            </w:pPr>
            <w:r>
              <w:rPr>
                <w:sz w:val="21"/>
                <w:szCs w:val="21"/>
              </w:rPr>
              <w:t xml:space="preserve">8/25/2026</w:t>
            </w:r>
          </w:p>
        </w:tc>
        <w:tc>
          <w:tcPr>
            <w:tcW w:w="1893" w:type="dxa"/>
          </w:tcPr>
          <w:p>
            <w:pPr>
              <w:spacing w:line="360" w:lineRule="auto"/>
              <w:rPr>
                <w:sz w:val="21"/>
                <w:szCs w:val="21"/>
              </w:rPr>
            </w:pPr>
            <w:r>
              <w:rPr>
                <w:sz w:val="21"/>
                <w:szCs w:val="21"/>
              </w:rPr>
              <w:t xml:space="preserve">1.2</w:t>
            </w:r>
          </w:p>
        </w:tc>
        <w:tc>
          <w:tcPr>
            <w:tcW w:w="6381" w:type="dxa"/>
          </w:tcPr>
          <w:p>
            <w:pPr>
              <w:spacing w:line="360" w:lineRule="auto"/>
              <w:rPr>
                <w:sz w:val="21"/>
                <w:szCs w:val="21"/>
              </w:rPr>
            </w:pPr>
            <w:r>
              <w:rPr>
                <w:sz w:val="21"/>
                <w:szCs w:val="21"/>
              </w:rPr>
              <w:t xml:space="preserve">Incorporated resolved gap-register decisions and discovery-session facts throughout; added Licensing, Hybrid Identity, SMTP Relay, and Windows Endpoint Management sections; reframed Exchange decommission.</w:t>
            </w:r>
          </w:p>
        </w:tc>
      </w:tr>
      <w:tr w:rsidR="00B00090" w14:paraId="5EF962E9" w14:textId="77777777" w:rsidTr="00B00090">
        <w:tc>
          <w:tcPr>
            <w:tcW w:w="1796" w:type="dxa"/>
          </w:tcPr>
          <w:p w14:paraId="08CD898A" w14:textId="639A5DF9" w:rsidR="00B00090" w:rsidRDefault="00B00090" w:rsidP="00360470">
            <w:pPr>
              <w:spacing w:line="360" w:lineRule="auto"/>
              <w:rPr>
                <w:sz w:val="21"/>
                <w:szCs w:val="21"/>
              </w:rPr>
            </w:pPr>
          </w:p>
        </w:tc>
        <w:tc>
          <w:tcPr>
            <w:tcW w:w="1893" w:type="dxa"/>
          </w:tcPr>
          <w:p w14:paraId="5022349F" w14:textId="02ED45C6" w:rsidR="00B00090" w:rsidRPr="00AE370B" w:rsidRDefault="00B00090" w:rsidP="00360470">
            <w:pPr>
              <w:spacing w:line="360" w:lineRule="auto"/>
              <w:rPr>
                <w:sz w:val="21"/>
                <w:szCs w:val="21"/>
              </w:rPr>
            </w:pPr>
          </w:p>
        </w:tc>
        <w:tc>
          <w:tcPr>
            <w:tcW w:w="6381" w:type="dxa"/>
          </w:tcPr>
          <w:p w14:paraId="4B498829" w14:textId="5BAFD0E2" w:rsidR="00B00090" w:rsidRDefault="00B00090" w:rsidP="00360470">
            <w:pPr>
              <w:spacing w:line="360" w:lineRule="auto"/>
              <w:rPr>
                <w:sz w:val="21"/>
                <w:szCs w:val="21"/>
              </w:rPr>
            </w:pPr>
          </w:p>
        </w:tc>
      </w:tr>
    </w:tbl>
    <w:p w14:paraId="4A8819B9" w14:textId="77777777" w:rsidR="003A385B" w:rsidRDefault="003A385B">
      <w:pPr>
        <w:pStyle w:val="BodyText"/>
      </w:pPr>
    </w:p>
    <w:sectPr w:rsidR="003A385B" w:rsidSect="00991148">
      <w:headerReference w:type="default" r:id="rId28"/>
      <w:footerReference w:type="default" r:id="rId29"/>
      <w:headerReference w:type="first" r:id="rId30"/>
      <w:pgSz w:w="12240" w:h="15840"/>
      <w:pgMar w:top="1440" w:right="1080" w:bottom="1440" w:left="1080" w:header="720" w:footer="720"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73" w:author="Michael Schraepfer" w:date="2026-08-24T13:19:00Z" w:initials="MS">
    <w:p w14:paraId="20043B06" w14:textId="77777777" w:rsidR="007111C0" w:rsidRDefault="007111C0" w:rsidP="007111C0">
      <w:pPr>
        <w:pStyle w:val="CommentText"/>
      </w:pPr>
      <w:r>
        <w:rPr>
          <w:rStyle w:val="CommentReference"/>
        </w:rPr>
        <w:annotationRef/>
      </w:r>
      <w:r>
        <w:t>TBD</w:t>
      </w:r>
    </w:p>
  </w:comment>
  <w:comment w:id="2080" w:author="Michael Schraepfer" w:date="2026-08-24T13:20:00Z" w:initials="MS">
    <w:p w14:paraId="6EBA5F1E" w14:textId="77777777" w:rsidR="002F3929" w:rsidRDefault="002F3929" w:rsidP="002F3929">
      <w:pPr>
        <w:pStyle w:val="CommentText"/>
      </w:pPr>
      <w:r>
        <w:rPr>
          <w:rStyle w:val="CommentReference"/>
        </w:rPr>
        <w:annotationRef/>
      </w:r>
      <w:r>
        <w:t>Define here</w:t>
      </w:r>
    </w:p>
  </w:comment>
  <w:comment w:id="2081" w:author="Claude" w:date="2026-08-26T01:44:59Z" w:initials="C">
    <w:p w14:paraId="7A68A208" w14:textId="77777777">
      <w:r>
        <w:rPr>
          <w:rStyle w:val="CommentReference"/>
        </w:rPr>
        <w:annotationRef/>
      </w:r>
      <w:r>
        <w:rPr>
          <w:color w:val="000000"/>
          <w:sz w:val="20"/>
          <w:szCs w:val="20"/>
        </w:rPr>
        <w:t xml:space="preserve">WMP to provide the three site names and static egress ranges; two sites are guest-wireless only today.</w:t>
      </w:r>
    </w:p>
  </w:comment>
  <w:comment w:id="2082" w:author="Claude" w:date="2026-08-26T01:44:59Z" w:initials="C">
    <w:p w14:paraId="4FFF4A74" w14:textId="77777777">
      <w:r>
        <w:rPr>
          <w:rStyle w:val="CommentReference"/>
        </w:rPr>
        <w:annotationRef/>
      </w:r>
      <w:r>
        <w:rPr>
          <w:color w:val="000000"/>
          <w:sz w:val="20"/>
          <w:szCs w:val="20"/>
        </w:rPr>
        <w:t xml:space="preserve">Essendis to propose candidate weekends; WMP confirms. Drives CallTower porting and comms dates.</w:t>
      </w:r>
    </w:p>
  </w:comment>
  <w:comment w:id="2083" w:author="Claude" w:date="2026-08-26T01:44:59Z" w:initials="C">
    <w:p w14:paraId="301E686A" w14:textId="77777777">
      <w:r>
        <w:rPr>
          <w:rStyle w:val="CommentReference"/>
        </w:rPr>
        <w:annotationRef/>
      </w:r>
      <w:r>
        <w:rPr>
          <w:color w:val="000000"/>
          <w:sz w:val="20"/>
          <w:szCs w:val="20"/>
        </w:rPr>
        <w:t xml:space="preserve">WMP to name admin role holders (user lists recorded as TBD); no standing Global Admins.</w:t>
      </w:r>
    </w:p>
  </w:comment>
  <w:comment w:id="2084" w:author="Claude" w:date="2026-08-26T01:44:59Z" w:initials="C">
    <w:p w14:paraId="2F688A3D" w14:textId="77777777">
      <w:r>
        <w:rPr>
          <w:rStyle w:val="CommentReference"/>
        </w:rPr>
        <w:annotationRef/>
      </w:r>
      <w:r>
        <w:rPr>
          <w:color w:val="000000"/>
          <w:sz w:val="20"/>
          <w:szCs w:val="20"/>
        </w:rPr>
        <w:t xml:space="preserve">Five sites confirmed; departments still evaluating additions.</w:t>
      </w:r>
    </w:p>
  </w:comment>
  <w:comment w:id="2085" w:author="Claude" w:date="2026-08-26T01:44:59Z" w:initials="C">
    <w:p w14:paraId="1FE841BD" w14:textId="77777777">
      <w:r>
        <w:rPr>
          <w:rStyle w:val="CommentReference"/>
        </w:rPr>
        <w:annotationRef/>
      </w:r>
      <w:r>
        <w:rPr>
          <w:color w:val="000000"/>
          <w:sz w:val="20"/>
          <w:szCs w:val="20"/>
        </w:rPr>
        <w:t xml:space="preserve">WMP to inventory every sending device/app (printers, Epicor, help desk); method chosen per device class.</w:t>
      </w:r>
    </w:p>
  </w:comment>
  <w:comment w:id="2086" w:author="Claude" w:date="2026-08-26T01:44:59Z" w:initials="C">
    <w:p w14:paraId="5FFA971D" w14:textId="77777777">
      <w:r>
        <w:rPr>
          <w:rStyle w:val="CommentReference"/>
        </w:rPr>
        <w:annotationRef/>
      </w:r>
      <w:r>
        <w:rPr>
          <w:color w:val="000000"/>
          <w:sz w:val="20"/>
          <w:szCs w:val="20"/>
        </w:rPr>
        <w:t xml:space="preserve">Produced with the carrier CSR during CallTower pre-integration; WMP signs the porting LOA.</w:t>
      </w:r>
    </w:p>
  </w:comment>
  <w:comment w:id="2087" w:author="Claude" w:date="2026-08-26T01:44:59Z" w:initials="C">
    <w:p w14:paraId="32B0F4AF" w14:textId="77777777">
      <w:r>
        <w:rPr>
          <w:rStyle w:val="CommentReference"/>
        </w:rPr>
        <w:annotationRef/>
      </w:r>
      <w:r>
        <w:rPr>
          <w:color w:val="000000"/>
          <w:sz w:val="20"/>
          <w:szCs w:val="20"/>
        </w:rPr>
        <w:t xml:space="preserve">WMP provides counts by site/type (WBS 7.1.1); drives wave sizing and Windows 11/TPM exception handling.</w:t>
      </w:r>
    </w:p>
  </w:comment>
  <w:comment w:id="2088" w:author="Claude" w:date="2026-08-26T01:44:59Z" w:initials="C">
    <w:p w14:paraId="716F6702" w14:textId="77777777">
      <w:r>
        <w:rPr>
          <w:rStyle w:val="CommentReference"/>
        </w:rPr>
        <w:annotationRef/>
      </w:r>
      <w:r>
        <w:rPr>
          <w:color w:val="000000"/>
          <w:sz w:val="20"/>
          <w:szCs w:val="20"/>
        </w:rPr>
        <w:t xml:space="preserve">WMP names pilot devices/users before policy rollout.</w:t>
      </w:r>
    </w:p>
  </w:comment>
  <w:comment w:id="2089" w:author="Claude" w:date="2026-08-26T01:44:59Z" w:initials="C">
    <w:p w14:paraId="71AA9656" w14:textId="77777777">
      <w:r>
        <w:rPr>
          <w:rStyle w:val="CommentReference"/>
        </w:rPr>
        <w:annotationRef/>
      </w:r>
      <w:r>
        <w:rPr>
          <w:color w:val="000000"/>
          <w:sz w:val="20"/>
          <w:szCs w:val="20"/>
        </w:rPr>
        <w:t xml:space="preserve">WMP to produce the fallback-user list and name the YubiKey procurement owner before MFA registration begins.</w:t>
      </w:r>
    </w:p>
  </w:comment>
  <w:comment w:id="2090" w:author="Claude" w:date="2026-08-26T01:44:59Z" w:initials="C">
    <w:p w14:paraId="25817A6D" w14:textId="77777777">
      <w:r>
        <w:rPr>
          <w:rStyle w:val="CommentReference"/>
        </w:rPr>
        <w:annotationRef/>
      </w:r>
      <w:r>
        <w:rPr>
          <w:color w:val="000000"/>
          <w:sz w:val="20"/>
          <w:szCs w:val="20"/>
        </w:rPr>
        <w:t xml:space="preserve">Fleet under 40 total; ABM and Android Enterprise must exist before rollout.</w:t>
      </w:r>
    </w:p>
  </w:comment>
  <w:comment w:id="2091" w:author="Claude" w:date="2026-08-26T01:44:59Z" w:initials="C">
    <w:p w14:paraId="3F093298" w14:textId="77777777">
      <w:r>
        <w:rPr>
          <w:rStyle w:val="CommentReference"/>
        </w:rPr>
        <w:annotationRef/>
      </w:r>
      <w:r>
        <w:rPr>
          <w:color w:val="000000"/>
          <w:sz w:val="20"/>
          <w:szCs w:val="20"/>
        </w:rPr>
        <w:t xml:space="preserve">WMP to name the two sister organisations and any partner domains; free/busy feasibility across clouds under research.</w:t>
      </w:r>
    </w:p>
  </w:comment>
  <w:comment w:id="2092" w:author="Claude" w:date="2026-08-26T01:44:59Z" w:initials="C">
    <w:p w14:paraId="7AA64A4A" w14:textId="77777777">
      <w:r>
        <w:rPr>
          <w:rStyle w:val="CommentReference"/>
        </w:rPr>
        <w:annotationRef/>
      </w:r>
      <w:r>
        <w:rPr>
          <w:color w:val="000000"/>
          <w:sz w:val="20"/>
          <w:szCs w:val="20"/>
        </w:rPr>
        <w:t xml:space="preserve">WMP network decision for the new facility.</w:t>
      </w:r>
    </w:p>
  </w:comment>
  <w:comment w:id="2093" w:author="Claude" w:date="2026-08-26T01:44:59Z" w:initials="C">
    <w:p w14:paraId="3831D16F" w14:textId="77777777">
      <w:r>
        <w:rPr>
          <w:rStyle w:val="CommentReference"/>
        </w:rPr>
        <w:annotationRef/>
      </w:r>
      <w:r>
        <w:rPr>
          <w:color w:val="000000"/>
          <w:sz w:val="20"/>
          <w:szCs w:val="20"/>
        </w:rPr>
        <w:t xml:space="preserve">Final SSPR tooling under evaluation (M365 vs Netwrix vs ManageEngine) — Essendis recommendation pending.</w:t>
      </w:r>
    </w:p>
  </w:comment>
  <w:comment w:id="2094" w:author="Claude" w:date="2026-08-26T01:44:59Z" w:initials="C">
    <w:p w14:paraId="020EAC22" w14:textId="77777777">
      <w:r>
        <w:rPr>
          <w:rStyle w:val="CommentReference"/>
        </w:rPr>
        <w:annotationRef/>
      </w:r>
      <w:r>
        <w:rPr>
          <w:color w:val="000000"/>
          <w:sz w:val="20"/>
          <w:szCs w:val="20"/>
        </w:rPr>
        <w:t xml:space="preserve">SharePoint-based CUI external sharing design to be validated as the Kiteworks replacement (Asana research).</w:t>
      </w:r>
    </w:p>
  </w:comment>
  <w:comment w:id="2095" w:author="Claude" w:date="2026-08-26T01:44:59Z" w:initials="C">
    <w:p w14:paraId="5F5BBFD7" w14:textId="77777777">
      <w:r>
        <w:rPr>
          <w:rStyle w:val="CommentReference"/>
        </w:rPr>
        <w:annotationRef/>
      </w:r>
      <w:r>
        <w:rPr>
          <w:color w:val="000000"/>
          <w:sz w:val="20"/>
          <w:szCs w:val="20"/>
        </w:rPr>
        <w:t xml:space="preserve">Open decision: keep the Epicor Azure Government tenant separate or combine; Epicor to supply architecture/ownership detail.</w:t>
      </w:r>
    </w:p>
  </w:comment>
  <w:comment w:id="2096" w:author="Claude" w:date="2026-08-26T01:44:59Z" w:initials="C">
    <w:p w14:paraId="73AB69D0" w14:textId="77777777">
      <w:r>
        <w:rPr>
          <w:rStyle w:val="CommentReference"/>
        </w:rPr>
        <w:annotationRef/>
      </w:r>
      <w:r>
        <w:rPr>
          <w:color w:val="000000"/>
          <w:sz w:val="20"/>
          <w:szCs w:val="20"/>
        </w:rPr>
        <w:t xml:space="preserve">WMP to confirm who holds administrative access to the AWS-hosted DNS zone and their availability across the cutover weekend.</w:t>
      </w:r>
    </w:p>
  </w:comment>
  <w:comment w:id="2097" w:author="Claude" w:date="2026-08-26T01:44:59Z" w:initials="C">
    <w:p w14:paraId="72831DD9" w14:textId="77777777">
      <w:r>
        <w:rPr>
          <w:rStyle w:val="CommentReference"/>
        </w:rPr>
        <w:annotationRef/>
      </w:r>
      <w:r>
        <w:rPr>
          <w:color w:val="000000"/>
          <w:sz w:val="20"/>
          <w:szCs w:val="20"/>
        </w:rPr>
        <w:t xml:space="preserve">Sequencing in flux — currently leaning post-cutover; confirm before the migration plan is finalised.</w:t>
      </w:r>
    </w:p>
  </w:comment>
  <w:comment w:id="2098" w:author="Claude" w:date="2026-08-26T01:44:59Z" w:initials="C">
    <w:p w14:paraId="2EF04F97" w14:textId="77777777">
      <w:r>
        <w:rPr>
          <w:rStyle w:val="CommentReference"/>
        </w:rPr>
        <w:annotationRef/>
      </w:r>
      <w:r>
        <w:rPr>
          <w:color w:val="000000"/>
          <w:sz w:val="20"/>
          <w:szCs w:val="20"/>
        </w:rPr>
        <w:t xml:space="preserve">WMP decision: Log Analytics (Azure subscription exists) or M365-native alerting; monitoring is WMP-owned.</w:t>
      </w:r>
    </w:p>
  </w:comment>
  <w:comment w:id="2099" w:author="Claude" w:date="2026-08-26T01:44:59Z" w:initials="C">
    <w:p w14:paraId="42443FE4" w14:textId="77777777">
      <w:r>
        <w:rPr>
          <w:rStyle w:val="CommentReference"/>
        </w:rPr>
        <w:annotationRef/>
      </w:r>
      <w:r>
        <w:rPr>
          <w:color w:val="000000"/>
          <w:sz w:val="20"/>
          <w:szCs w:val="20"/>
        </w:rPr>
        <w:t xml:space="preserve">Naming collision to resolve: tenant account WMPADMIN vs LAPS-managed local WMPAdmin — recommend renaming one. Also note this UPN’s domain exists only after domain verification.</w:t>
      </w:r>
    </w:p>
  </w:comment>
  <w:comment w:id="2100" w:author="Claude" w:date="2026-08-26T01:44:59Z" w:initials="C">
    <w:p w14:paraId="73D70CA0" w14:textId="77777777">
      <w:r>
        <w:rPr>
          <w:rStyle w:val="CommentReference"/>
        </w:rPr>
        <w:annotationRef/>
      </w:r>
      <w:r>
        <w:rPr>
          <w:color w:val="000000"/>
          <w:sz w:val="20"/>
          <w:szCs w:val="20"/>
        </w:rPr>
        <w:t xml:space="preserve">References the retired MSOL PowerShell module — update to Microsoft Graph PowerShell before delivery.</w:t>
      </w:r>
    </w:p>
  </w:comment>
  <w:comment w:id="2101" w:author="Claude" w:date="2026-08-26T01:44:59Z" w:initials="C">
    <w:p w14:paraId="4195A85B" w14:textId="77777777">
      <w:r>
        <w:rPr>
          <w:rStyle w:val="CommentReference"/>
        </w:rPr>
        <w:annotationRef/>
      </w:r>
      <w:r>
        <w:rPr>
          <w:color w:val="000000"/>
          <w:sz w:val="20"/>
          <w:szCs w:val="20"/>
        </w:rPr>
        <w:t xml:space="preserve">WMP to supply the monitored SOC email and phone before delivery.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43B06" w15:done="0"/>
  <w15:commentEx w15:paraId="6EBA5F1E" w15:done="0"/>
  <w15:commentEx w15:paraId="7A68A208" w15:done="0"/>
  <w15:commentEx w15:paraId="4FFF4A74" w15:done="0"/>
  <w15:commentEx w15:paraId="301E686A" w15:done="0"/>
  <w15:commentEx w15:paraId="2F688A3D" w15:done="0"/>
  <w15:commentEx w15:paraId="1FE841BD" w15:done="0"/>
  <w15:commentEx w15:paraId="5FFA971D" w15:done="0"/>
  <w15:commentEx w15:paraId="32B0F4AF" w15:done="0"/>
  <w15:commentEx w15:paraId="716F6702" w15:done="0"/>
  <w15:commentEx w15:paraId="71AA9656" w15:done="0"/>
  <w15:commentEx w15:paraId="25817A6D" w15:done="0"/>
  <w15:commentEx w15:paraId="3F093298" w15:done="0"/>
  <w15:commentEx w15:paraId="7AA64A4A" w15:done="0"/>
  <w15:commentEx w15:paraId="3831D16F" w15:done="0"/>
  <w15:commentEx w15:paraId="020EAC22" w15:done="0"/>
  <w15:commentEx w15:paraId="5F5BBFD7" w15:done="0"/>
  <w15:commentEx w15:paraId="73AB69D0" w15:done="0"/>
  <w15:commentEx w15:paraId="72831DD9" w15:done="0"/>
  <w15:commentEx w15:paraId="2EF04F97" w15:done="0"/>
  <w15:commentEx w15:paraId="42443FE4" w15:done="0"/>
  <w15:commentEx w15:paraId="73D70CA0" w15:done="0"/>
  <w15:commentEx w15:paraId="4195A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4290F2" w16cex:dateUtc="2026-08-24T17:19:00Z"/>
  <w16cex:commentExtensible w16cex:durableId="11D5F821" w16cex:dateUtc="2026-08-24T17:20:00Z"/>
  <w16cex:commentExtensible w16cex:durableId="5836B112" w16cex:dateUtc="2026-08-26T01:44:59Z"/>
  <w16cex:commentExtensible w16cex:durableId="6920D4B6" w16cex:dateUtc="2026-08-26T01:44:59Z"/>
  <w16cex:commentExtensible w16cex:durableId="2740177A" w16cex:dateUtc="2026-08-26T01:44:59Z"/>
  <w16cex:commentExtensible w16cex:durableId="7724AE59" w16cex:dateUtc="2026-08-26T01:44:59Z"/>
  <w16cex:commentExtensible w16cex:durableId="6466509A" w16cex:dateUtc="2026-08-26T01:44:59Z"/>
  <w16cex:commentExtensible w16cex:durableId="45A8803E" w16cex:dateUtc="2026-08-26T01:44:59Z"/>
  <w16cex:commentExtensible w16cex:durableId="017D2FB6" w16cex:dateUtc="2026-08-26T01:44:59Z"/>
  <w16cex:commentExtensible w16cex:durableId="61D48FE3" w16cex:dateUtc="2026-08-26T01:44:59Z"/>
  <w16cex:commentExtensible w16cex:durableId="32411BFB" w16cex:dateUtc="2026-08-26T01:44:59Z"/>
  <w16cex:commentExtensible w16cex:durableId="3B125733" w16cex:dateUtc="2026-08-26T01:44:59Z"/>
  <w16cex:commentExtensible w16cex:durableId="04C1CE68" w16cex:dateUtc="2026-08-26T01:44:59Z"/>
  <w16cex:commentExtensible w16cex:durableId="443A8427" w16cex:dateUtc="2026-08-26T01:44:59Z"/>
  <w16cex:commentExtensible w16cex:durableId="12EB39DE" w16cex:dateUtc="2026-08-26T01:44:59Z"/>
  <w16cex:commentExtensible w16cex:durableId="20AD69E7" w16cex:dateUtc="2026-08-26T01:44:59Z"/>
  <w16cex:commentExtensible w16cex:durableId="084E52A9" w16cex:dateUtc="2026-08-26T01:44:59Z"/>
  <w16cex:commentExtensible w16cex:durableId="71CE5263" w16cex:dateUtc="2026-08-26T01:44:59Z"/>
  <w16cex:commentExtensible w16cex:durableId="1D5A7370" w16cex:dateUtc="2026-08-26T01:44:59Z"/>
  <w16cex:commentExtensible w16cex:durableId="4D3C5C25" w16cex:dateUtc="2026-08-26T01:44:59Z"/>
  <w16cex:commentExtensible w16cex:durableId="5DB0CA35" w16cex:dateUtc="2026-08-26T01:44:59Z"/>
  <w16cex:commentExtensible w16cex:durableId="1E9BC0BC" w16cex:dateUtc="2026-08-26T01:44:59Z"/>
  <w16cex:commentExtensible w16cex:durableId="6687E2D5" w16cex:dateUtc="2026-08-26T01:44:5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43B06" w16cid:durableId="0F4290F2"/>
  <w16cid:commentId w16cid:paraId="6EBA5F1E" w16cid:durableId="11D5F821"/>
  <w16cid:commentId w16cid:paraId="7A68A208" w16cid:durableId="5836B112"/>
  <w16cid:commentId w16cid:paraId="4FFF4A74" w16cid:durableId="6920D4B6"/>
  <w16cid:commentId w16cid:paraId="301E686A" w16cid:durableId="2740177A"/>
  <w16cid:commentId w16cid:paraId="2F688A3D" w16cid:durableId="7724AE59"/>
  <w16cid:commentId w16cid:paraId="1FE841BD" w16cid:durableId="6466509A"/>
  <w16cid:commentId w16cid:paraId="5FFA971D" w16cid:durableId="45A8803E"/>
  <w16cid:commentId w16cid:paraId="32B0F4AF" w16cid:durableId="017D2FB6"/>
  <w16cid:commentId w16cid:paraId="716F6702" w16cid:durableId="61D48FE3"/>
  <w16cid:commentId w16cid:paraId="71AA9656" w16cid:durableId="32411BFB"/>
  <w16cid:commentId w16cid:paraId="25817A6D" w16cid:durableId="3B125733"/>
  <w16cid:commentId w16cid:paraId="3F093298" w16cid:durableId="04C1CE68"/>
  <w16cid:commentId w16cid:paraId="7AA64A4A" w16cid:durableId="443A8427"/>
  <w16cid:commentId w16cid:paraId="3831D16F" w16cid:durableId="12EB39DE"/>
  <w16cid:commentId w16cid:paraId="020EAC22" w16cid:durableId="20AD69E7"/>
  <w16cid:commentId w16cid:paraId="5F5BBFD7" w16cid:durableId="084E52A9"/>
  <w16cid:commentId w16cid:paraId="73AB69D0" w16cid:durableId="71CE5263"/>
  <w16cid:commentId w16cid:paraId="72831DD9" w16cid:durableId="1D5A7370"/>
  <w16cid:commentId w16cid:paraId="2EF04F97" w16cid:durableId="4D3C5C25"/>
  <w16cid:commentId w16cid:paraId="42443FE4" w16cid:durableId="5DB0CA35"/>
  <w16cid:commentId w16cid:paraId="73D70CA0" w16cid:durableId="1E9BC0BC"/>
  <w16cid:commentId w16cid:paraId="4195A85B" w16cid:durableId="6687E2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B872" w14:textId="77777777" w:rsidR="00B34CA2" w:rsidRDefault="00B34CA2" w:rsidP="00F86F3A">
      <w:pPr>
        <w:spacing w:before="0" w:after="0"/>
      </w:pPr>
      <w:r>
        <w:separator/>
      </w:r>
    </w:p>
  </w:endnote>
  <w:endnote w:type="continuationSeparator" w:id="0">
    <w:p w14:paraId="5B2EB0AD" w14:textId="77777777" w:rsidR="00B34CA2" w:rsidRDefault="00B34CA2" w:rsidP="00F86F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embedRegular r:id="rId1" w:fontKey="{54C77538-9AFF-447E-A081-D59AEA445FB1}"/>
    <w:embedBold r:id="rId2" w:fontKey="{2E2EB660-10E6-4C99-9029-8192F2963836}"/>
    <w:embedItalic r:id="rId3" w:fontKey="{9B68F759-FE92-46DE-9E4D-3E8BF92DC274}"/>
  </w:font>
  <w:font w:name="Aptos">
    <w:charset w:val="00"/>
    <w:family w:val="swiss"/>
    <w:pitch w:val="variable"/>
    <w:sig w:usb0="20000287" w:usb1="00000003" w:usb2="00000000" w:usb3="00000000" w:csb0="0000019F" w:csb1="00000000"/>
    <w:embedItalic r:id="rId4" w:subsetted="1" w:fontKey="{F080730C-F4BF-41F8-94AD-2EF59149C7A8}"/>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embedRegular r:id="rId5" w:fontKey="{580BF130-15CB-43BF-8AF6-7DA3B4968C05}"/>
    <w:embedBold r:id="rId6" w:fontKey="{06D65EBD-6E6A-4CCA-AF57-227B3F176873}"/>
    <w:embedItalic r:id="rId7" w:fontKey="{6B45A6F6-4DC3-43C9-8B34-A43D9BF25DBC}"/>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embedRegular r:id="rId8" w:subsetted="1" w:fontKey="{8628E27F-8F04-4843-BD68-58E85C8D5C63}"/>
  </w:font>
  <w:font w:name="Work Sans SemiBold">
    <w:charset w:val="00"/>
    <w:family w:val="auto"/>
    <w:pitch w:val="variable"/>
    <w:sig w:usb0="A00000FF" w:usb1="5000E07B" w:usb2="00000000" w:usb3="00000000" w:csb0="00000193" w:csb1="00000000"/>
    <w:embedRegular r:id="rId9" w:subsetted="1" w:fontKey="{C540C9DE-6081-4F36-9F05-2A45C541F8EB}"/>
  </w:font>
  <w:font w:name="Georgia">
    <w:panose1 w:val="02040502050405020303"/>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embedRegular r:id="rId10" w:fontKey="{16FA419C-2BB7-4C21-A205-8D7C6A7FD057}"/>
    <w:embedBold r:id="rId11" w:fontKey="{9DA514D1-589F-4A8E-92DE-0D2222FAA3C4}"/>
  </w:font>
  <w:font w:name="Arial">
    <w:panose1 w:val="020B0604020202020204"/>
    <w:charset w:val="00"/>
    <w:family w:val="swiss"/>
    <w:pitch w:val="variable"/>
    <w:sig w:usb0="E0002EFF" w:usb1="C000785B" w:usb2="00000009" w:usb3="00000000" w:csb0="000001FF" w:csb1="00000000"/>
    <w:embedRegular r:id="rId12" w:subsetted="1" w:fontKey="{FF76775C-7A2D-45EF-8C98-A51E18A5EFE4}"/>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912A" w14:textId="77777777" w:rsidR="00BD712D" w:rsidRDefault="00BD7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0661" w14:textId="77777777" w:rsidR="00894DD0" w:rsidRPr="00244A73" w:rsidRDefault="002F3A2C" w:rsidP="006D74BD">
    <w:pPr>
      <w:pStyle w:val="Footer"/>
      <w:spacing w:before="120"/>
    </w:pPr>
    <w:r>
      <w:rPr>
        <w:noProof/>
      </w:rPr>
      <mc:AlternateContent>
        <mc:Choice Requires="wps">
          <w:drawing>
            <wp:anchor distT="0" distB="0" distL="0" distR="0" simplePos="0" relativeHeight="251658241" behindDoc="1" locked="0" layoutInCell="1" allowOverlap="1" wp14:anchorId="25C12FAD" wp14:editId="64F7D04B">
              <wp:simplePos x="0" y="0"/>
              <wp:positionH relativeFrom="margin">
                <wp:posOffset>-22860</wp:posOffset>
              </wp:positionH>
              <wp:positionV relativeFrom="page">
                <wp:posOffset>9639300</wp:posOffset>
              </wp:positionV>
              <wp:extent cx="914400" cy="268941"/>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14:paraId="367C10F9" w14:textId="77777777" w:rsidR="00244A73" w:rsidRPr="000D6DE8" w:rsidRDefault="00244A73" w:rsidP="00244A73">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0528BC8">
            <v:shapetype id="_x0000_t202" coordsize="21600,21600" o:spt="202" path="m,l,21600r21600,l21600,xe" w14:anchorId="25C12FAD">
              <v:stroke joinstyle="miter"/>
              <v:path gradientshapeok="t" o:connecttype="rect"/>
            </v:shapetype>
            <v:shape id="Textbox 12" style="position:absolute;margin-left:-1.8pt;margin-top:759pt;width:1in;height:21.2pt;z-index:-251658239;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qpPmAEAACEDAAAOAAAAZHJzL2Uyb0RvYy54bWysUsFuGyEQvVfKPyDuMWvHipKV11HbqFWl&#10;qK2U9AMwC17UhSEM9q7/vgNe21V7i3KBYWZ4vPeG1cPoerbXES34hs9nFWfaK2it3zb818uX6zvO&#10;MEnfyh68bvhBI39YX31YDaHWC+igb3VkBOKxHkLDu5RCLQSqTjuJMwjaU9FAdDLRMW5FG+VA6K4X&#10;i6q6FQPENkRQGpGyj8ciXxd8Y7RKP4xBnVjfcOKWyhrLusmrWK9kvY0ydFZNNOQbWDhpPT16hnqU&#10;SbJdtP9BOasiIJg0U+AEGGOVLhpIzbz6R81zJ4MuWsgcDGeb8P1g1ff9c/gZWRo/wUgDLCIwPIH6&#10;jeSNGALWU0/2FGuk7ix0NNHlnSQwukjeHs5+6jExRcn7+XJZUUVRaXF7d7+cZ7/F5XKImL5qcCwH&#10;DY80rkJA7p8wHVtPLROX4/OZSBo3I7Ntw28yaM5soD2QlIGm2XB83cmoOeu/ebIrj/4UxFOwOQUx&#10;9Z+hfJCsyMPHXQJjC4EL7kSA5lAkTH8mD/rvc+m6/Oz1HwAAAP//AwBQSwMEFAAGAAgAAAAhAK34&#10;Nm3fAAAADAEAAA8AAABkcnMvZG93bnJldi54bWxMj0FPwzAMhe9I/IfISNy2dDCqUZpOE4ITEqIr&#10;B45p47XRGqc02Vb+Pe4Jbvbz0/P38u3kenHGMVhPClbLBARS442lVsFn9brYgAhRk9G9J1TwgwG2&#10;xfVVrjPjL1TieR9bwSEUMq2gi3HIpAxNh06HpR+Q+Hbwo9OR17GVZtQXDne9vEuSVDptiT90esDn&#10;Dpvj/uQU7L6ofLHf7/VHeShtVT0m9JYelbq9mXZPICJO8c8MMz6jQ8FMtT+RCaJXsLhP2cn6w2rD&#10;pWbHOlmDqGcp5UkWufxfovgFAAD//wMAUEsBAi0AFAAGAAgAAAAhALaDOJL+AAAA4QEAABMAAAAA&#10;AAAAAAAAAAAAAAAAAFtDb250ZW50X1R5cGVzXS54bWxQSwECLQAUAAYACAAAACEAOP0h/9YAAACU&#10;AQAACwAAAAAAAAAAAAAAAAAvAQAAX3JlbHMvLnJlbHNQSwECLQAUAAYACAAAACEA8tKqT5gBAAAh&#10;AwAADgAAAAAAAAAAAAAAAAAuAgAAZHJzL2Uyb0RvYy54bWxQSwECLQAUAAYACAAAACEArfg2bd8A&#10;AAAMAQAADwAAAAAAAAAAAAAAAADyAwAAZHJzL2Rvd25yZXYueG1sUEsFBgAAAAAEAAQA8wAAAP4E&#10;AAAAAA==&#10;">
              <v:textbox inset="0,0,0,0">
                <w:txbxContent>
                  <w:p w:rsidRPr="000D6DE8" w:rsidR="00244A73" w:rsidP="00244A73" w:rsidRDefault="00244A73" w14:paraId="3FC38D11" w14:textId="77777777">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v:textbox>
              <w10:wrap anchorx="margin" anchory="page"/>
            </v:shape>
          </w:pict>
        </mc:Fallback>
      </mc:AlternateContent>
    </w:r>
    <w:r>
      <w:rPr>
        <w:noProof/>
      </w:rPr>
      <mc:AlternateContent>
        <mc:Choice Requires="wps">
          <w:drawing>
            <wp:anchor distT="0" distB="0" distL="0" distR="0" simplePos="0" relativeHeight="251658242" behindDoc="1" locked="0" layoutInCell="1" allowOverlap="1" wp14:anchorId="2229D633" wp14:editId="0062501B">
              <wp:simplePos x="0" y="0"/>
              <wp:positionH relativeFrom="margin">
                <wp:align>center</wp:align>
              </wp:positionH>
              <wp:positionV relativeFrom="page">
                <wp:posOffset>9639300</wp:posOffset>
              </wp:positionV>
              <wp:extent cx="3352800" cy="238125"/>
              <wp:effectExtent l="0" t="0" r="0" b="0"/>
              <wp:wrapNone/>
              <wp:docPr id="69232526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14:paraId="3EF99972" w14:textId="77777777" w:rsidR="000C1F0B" w:rsidRPr="00660D2D" w:rsidRDefault="00E95061" w:rsidP="000C1F0B">
                          <w:pPr>
                            <w:spacing w:before="16"/>
                            <w:ind w:left="20"/>
                            <w:jc w:val="center"/>
                            <w:rPr>
                              <w:rStyle w:val="IntenseReference"/>
                            </w:rPr>
                          </w:pPr>
                          <w:r w:rsidRPr="00660D2D">
                            <w:rPr>
                              <w:rStyle w:val="IntenseReference"/>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C1990F9">
            <v:shape id="Textbox 11" style="position:absolute;margin-left:0;margin-top:759pt;width:264pt;height:18.75pt;z-index:-251658238;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JzpQEAADsDAAAOAAAAZHJzL2Uyb0RvYy54bWysUsGO0zAQvSPxD5bvNGnKoipquoJdgZBW&#10;gLTLBziO3VjEHuNxm/TvGTtpi+CGuNhjz/j5vTezu5/swE4qoAHX8PWq5Ew5CZ1xh4Z/f/n4ZssZ&#10;RuE6MYBTDT8r5Pf71692o69VBT0MnQqMQBzWo294H6OviwJlr6zAFXjlKKkhWBHpGA5FF8RI6HYo&#10;qrJ8V4wQOh9AKkS6fZyTfJ/xtVYyftUaVWRDw4lbzGvIa5vWYr8T9SEI3xu50BD/wMIK4+jTK9Sj&#10;iIIdg/kLyhoZAEHHlQRbgNZGqqyB1KzLP9Q898KrrIXMQX+1Cf8frPxyevbfAovTB5iogVkE+ieQ&#10;P5C8KUaP9VKTPMUaqToJnXSwaScJjB6St+ern2qKTNLlZnNXbUtKScpVm+26ukuGF7fXPmD8pMCy&#10;FDQ8UL8yA3F6wjiXXkoWMvP/iUmc2omZruFvE2i6aaE7k5aR2tlw/HkUQXE2fHbkV+r9JQiXoL0E&#10;IQ4PME+IcLIHGpCWszl8iHlcklYH748RtMnMbh8uzKhDWdsyTWkEfj/nqtvM738BAAD//wMAUEsD&#10;BBQABgAIAAAAIQApfHZJ3QAAAAoBAAAPAAAAZHJzL2Rvd25yZXYueG1sTE/LboMwELxXyj9YW6m3&#10;xoQoTUoxEYrUQ5U+FNIPcPAWUPEaYUPo33c5tXuanVnNzqT7ybZixN43jhSslhEIpNKZhioFn+fn&#10;+x0IHzQZ3TpCBT/oYZ8tblKdGHelE45FqASbkE+0gjqELpHSlzVa7ZeuQ2Lty/VWB177SppeX9nc&#10;tjKOogdpdUP8odYdHmosv4vBKhjfbJy/lO+PsniN19vt+viRD0el7m6n/AlEwCn8HcMcn6NDxpku&#10;biDjRauAiwRmN6sdI9Y38QwuM8UDMkvl/wrZLwAAAP//AwBQSwECLQAUAAYACAAAACEAtoM4kv4A&#10;AADhAQAAEwAAAAAAAAAAAAAAAAAAAAAAW0NvbnRlbnRfVHlwZXNdLnhtbFBLAQItABQABgAIAAAA&#10;IQA4/SH/1gAAAJQBAAALAAAAAAAAAAAAAAAAAC8BAABfcmVscy8ucmVsc1BLAQItABQABgAIAAAA&#10;IQCbdyJzpQEAADsDAAAOAAAAAAAAAAAAAAAAAC4CAABkcnMvZTJvRG9jLnhtbFBLAQItABQABgAI&#10;AAAAIQApfHZJ3QAAAAoBAAAPAAAAAAAAAAAAAAAAAP8DAABkcnMvZG93bnJldi54bWxQSwUGAAAA&#10;AAQABADzAAAACQUAAAAA&#10;" w14:anchorId="2229D633">
              <v:textbox inset="0,0,0,0">
                <w:txbxContent>
                  <w:p w:rsidRPr="00660D2D" w:rsidR="000C1F0B" w:rsidP="000C1F0B" w:rsidRDefault="00E95061" w14:paraId="2BA076FF" w14:textId="740C0915">
                    <w:pPr>
                      <w:spacing w:before="16"/>
                      <w:ind w:left="20"/>
                      <w:jc w:val="center"/>
                      <w:rPr>
                        <w:rStyle w:val="IntenseReference"/>
                      </w:rPr>
                    </w:pPr>
                    <w:r w:rsidRPr="00660D2D">
                      <w:rPr>
                        <w:rStyle w:val="IntenseReference"/>
                      </w:rPr>
                      <w:t>CONFIDENTIAL AND PROPRIETARY</w:t>
                    </w:r>
                  </w:p>
                </w:txbxContent>
              </v:textbox>
              <w10:wrap anchorx="margin" anchory="page"/>
            </v:shape>
          </w:pict>
        </mc:Fallback>
      </mc:AlternateContent>
    </w:r>
    <w:r>
      <w:rPr>
        <w:noProof/>
      </w:rPr>
      <mc:AlternateContent>
        <mc:Choice Requires="wps">
          <w:drawing>
            <wp:anchor distT="0" distB="0" distL="0" distR="0" simplePos="0" relativeHeight="251658240" behindDoc="1" locked="0" layoutInCell="1" allowOverlap="1" wp14:anchorId="3E9538D2" wp14:editId="56A7D1D5">
              <wp:simplePos x="0" y="0"/>
              <wp:positionH relativeFrom="margin">
                <wp:align>center</wp:align>
              </wp:positionH>
              <wp:positionV relativeFrom="page">
                <wp:posOffset>9399793</wp:posOffset>
              </wp:positionV>
              <wp:extent cx="3990975" cy="2476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247650"/>
                      </a:xfrm>
                      <a:prstGeom prst="rect">
                        <a:avLst/>
                      </a:prstGeom>
                      <a:noFill/>
                    </wps:spPr>
                    <wps:txbx>
                      <w:txbxContent>
                        <w:p w14:paraId="427604C8" w14:textId="77777777" w:rsidR="00244A73" w:rsidRPr="0051357E" w:rsidRDefault="002F3A2C" w:rsidP="00E10B22">
                          <w:pPr>
                            <w:spacing w:before="16"/>
                            <w:ind w:left="20"/>
                            <w:jc w:val="center"/>
                            <w:rPr>
                              <w:rFonts w:cstheme="minorHAnsi"/>
                              <w:color w:val="3A3A3A" w:themeColor="background2" w:themeShade="40"/>
                            </w:rPr>
                          </w:pPr>
                          <w:r w:rsidRPr="0051357E">
                            <w:rPr>
                              <w:rFonts w:cstheme="minorHAnsi"/>
                              <w:color w:val="3A3A3A" w:themeColor="background2" w:themeShade="40"/>
                              <w:w w:val="105"/>
                            </w:rPr>
                            <w:t>TITLE OR PURPOSE OF DOCUMENT</w:t>
                          </w:r>
                        </w:p>
                      </w:txbxContent>
                    </wps:txbx>
                    <wps:bodyPr wrap="square" lIns="0" tIns="27432" rIns="0" bIns="27432" rtlCol="0" anchor="b"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AAB30D6">
            <v:shape id="_x0000_s1031" style="position:absolute;margin-left:0;margin-top:740.15pt;width:314.25pt;height:19.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j8tAEAAE4DAAAOAAAAZHJzL2Uyb0RvYy54bWysU9tu2zAMfR/QfxD03th1m2Yx4hRriw4D&#10;im1A1w+QZSkWZouaqMTO34+Sc9nat2EvtERS5DmH9Opu7Du2Ux4N2IpfzXLOlJXQGLup+OuPp8uP&#10;nGEQthEdWFXxvUJ+t774sBpcqQpooWuUZ1TEYjm4irchuDLLULaqFzgDpywFNfheBLr6TdZ4MVD1&#10;vsuKPL/NBvCN8yAVInkfpyBfp/paKxm+aY0qsK7ihC0k65Oto83WK1FuvHCtkQcY4h9Q9MJYanoq&#10;9SiCYFtv3pXqjfSAoMNMQp+B1kaqxIHYXOVv2Ly0wqnEhcRBd5IJ/19Z+XX34r57FsZ7GGmAiQS6&#10;Z5A/kbTJBoflISdqiiVSdiQ6at/HL1Fg9JC03Z/0VGNgkpzXy2W+XMw5kxQrbha38yR4dn7tPIbP&#10;CnoWDxX3NK+EQOyeMcT+ojymxGYWnkzXHXFNUCKoMNYjM03F53Gg0VNDsydaA0224vhrK7zirPti&#10;Sbq4BulQLG6uC8780Vv/5Q3dA0xLI6xsgXam5mw6PoS0QROiT9sA2iSw58YH5WhoicNhweJW/HlP&#10;WeffYP0bAAD//wMAUEsDBBQABgAIAAAAIQBQPt5u3wAAAAoBAAAPAAAAZHJzL2Rvd25yZXYueG1s&#10;TI/NTsMwEITvSLyDtUhcKuo0/VGSxqkiJMQVSuDsxtskEK+j2G3Tt2c50ePOjGa/yXeT7cUZR985&#10;UrCYRyCQamc6ahRUHy9PCQgfNBndO0IFV/SwK+7vcp0Zd6F3PO9DI7iEfKYVtCEMmZS+btFqP3cD&#10;EntHN1od+BwbaUZ94XLbyziKNtLqjvhDqwd8brH+2Z+sgtW3NV+vs7h017aaZp9VWr7JVKnHh6nc&#10;ggg4hf8w/OEzOhTMdHAnMl70CnhIYHWVREsQ7G/iZA3iwNJ6kS5BFrm8nVD8AgAA//8DAFBLAQIt&#10;ABQABgAIAAAAIQC2gziS/gAAAOEBAAATAAAAAAAAAAAAAAAAAAAAAABbQ29udGVudF9UeXBlc10u&#10;eG1sUEsBAi0AFAAGAAgAAAAhADj9If/WAAAAlAEAAAsAAAAAAAAAAAAAAAAALwEAAF9yZWxzLy5y&#10;ZWxzUEsBAi0AFAAGAAgAAAAhAHMKqPy0AQAATgMAAA4AAAAAAAAAAAAAAAAALgIAAGRycy9lMm9E&#10;b2MueG1sUEsBAi0AFAAGAAgAAAAhAFA+3m7fAAAACgEAAA8AAAAAAAAAAAAAAAAADgQAAGRycy9k&#10;b3ducmV2LnhtbFBLBQYAAAAABAAEAPMAAAAaBQAAAAA=&#10;" w14:anchorId="3E9538D2">
              <v:textbox inset="0,2.16pt,0,2.16pt">
                <w:txbxContent>
                  <w:p w:rsidRPr="0051357E" w:rsidR="00244A73" w:rsidP="00E10B22" w:rsidRDefault="002F3A2C" w14:paraId="45EE1160" w14:textId="02169609">
                    <w:pPr>
                      <w:spacing w:before="16"/>
                      <w:ind w:left="20"/>
                      <w:jc w:val="center"/>
                      <w:rPr>
                        <w:rFonts w:cstheme="minorHAnsi"/>
                        <w:color w:val="3A3A3A" w:themeColor="background2" w:themeShade="40"/>
                      </w:rPr>
                    </w:pPr>
                    <w:r w:rsidRPr="0051357E">
                      <w:rPr>
                        <w:rFonts w:cstheme="minorHAnsi"/>
                        <w:color w:val="3A3A3A" w:themeColor="background2" w:themeShade="40"/>
                        <w:w w:val="105"/>
                      </w:rPr>
                      <w:t>TITLE OR PURPOSE OF DOCUMENT</w:t>
                    </w:r>
                  </w:p>
                </w:txbxContent>
              </v:textbox>
              <w10:wrap anchorx="margin" anchory="page"/>
            </v:shape>
          </w:pict>
        </mc:Fallback>
      </mc:AlternateContent>
    </w:r>
    <w:r w:rsidR="004374E4">
      <w:rPr>
        <w:noProof/>
        <w14:ligatures w14:val="standardContextual"/>
      </w:rPr>
      <w:drawing>
        <wp:anchor distT="0" distB="0" distL="114300" distR="114300" simplePos="0" relativeHeight="251658244" behindDoc="1" locked="0" layoutInCell="1" allowOverlap="1" wp14:anchorId="6E43924A" wp14:editId="17F814BD">
          <wp:simplePos x="0" y="0"/>
          <wp:positionH relativeFrom="margin">
            <wp:posOffset>5046345</wp:posOffset>
          </wp:positionH>
          <wp:positionV relativeFrom="paragraph">
            <wp:posOffset>65405</wp:posOffset>
          </wp:positionV>
          <wp:extent cx="908290" cy="174812"/>
          <wp:effectExtent l="0" t="0" r="6350" b="0"/>
          <wp:wrapNone/>
          <wp:docPr id="627451412"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6061" cy="176308"/>
                  </a:xfrm>
                  <a:prstGeom prst="rect">
                    <a:avLst/>
                  </a:prstGeom>
                </pic:spPr>
              </pic:pic>
            </a:graphicData>
          </a:graphic>
          <wp14:sizeRelH relativeFrom="margin">
            <wp14:pctWidth>0</wp14:pctWidth>
          </wp14:sizeRelH>
          <wp14:sizeRelV relativeFrom="margin">
            <wp14:pctHeight>0</wp14:pctHeight>
          </wp14:sizeRelV>
        </wp:anchor>
      </w:drawing>
    </w:r>
    <w:fldSimple w:instr="DATE   \* MERGEFORMAT">
      <w:r w:rsidR="00B854BC">
        <w:rPr>
          <w:noProof/>
        </w:rPr>
        <w:t>8/24/2026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BB35" w14:textId="77777777" w:rsidR="00BD712D" w:rsidRDefault="00BD71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723C" w14:textId="77777777" w:rsidR="00B4045F" w:rsidRPr="00244A73" w:rsidRDefault="00CE147D" w:rsidP="006D74BD">
    <w:pPr>
      <w:pStyle w:val="Footer"/>
      <w:spacing w:before="120"/>
    </w:pPr>
    <w:r>
      <w:rPr>
        <w:noProof/>
      </w:rPr>
      <mc:AlternateContent>
        <mc:Choice Requires="wps">
          <w:drawing>
            <wp:anchor distT="0" distB="0" distL="0" distR="0" simplePos="0" relativeHeight="251658252" behindDoc="1" locked="0" layoutInCell="1" allowOverlap="1" wp14:anchorId="742B5057" wp14:editId="7891FAA6">
              <wp:simplePos x="0" y="0"/>
              <wp:positionH relativeFrom="margin">
                <wp:posOffset>1524000</wp:posOffset>
              </wp:positionH>
              <wp:positionV relativeFrom="page">
                <wp:posOffset>9515475</wp:posOffset>
              </wp:positionV>
              <wp:extent cx="3352800" cy="238125"/>
              <wp:effectExtent l="0" t="0" r="0" b="0"/>
              <wp:wrapNone/>
              <wp:docPr id="82602423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14:paraId="6A114BAA" w14:textId="77777777" w:rsidR="00B4045F" w:rsidRPr="00660D2D" w:rsidRDefault="00B4045F" w:rsidP="000C1F0B">
                          <w:pPr>
                            <w:spacing w:before="16"/>
                            <w:ind w:left="20"/>
                            <w:jc w:val="center"/>
                            <w:rPr>
                              <w:rStyle w:val="IntenseReference"/>
                            </w:rPr>
                          </w:pPr>
                          <w:r w:rsidRPr="00660D2D">
                            <w:rPr>
                              <w:rStyle w:val="IntenseReference"/>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0C42607">
            <v:shapetype id="_x0000_t202" coordsize="21600,21600" o:spt="202" path="m,l,21600r21600,l21600,xe" w14:anchorId="742B5057">
              <v:stroke joinstyle="miter"/>
              <v:path gradientshapeok="t" o:connecttype="rect"/>
            </v:shapetype>
            <v:shape id="_x0000_s1034" style="position:absolute;margin-left:120pt;margin-top:749.25pt;width:264pt;height:18.75pt;z-index:-25165822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LppQEAADsDAAAOAAAAZHJzL2Uyb0RvYy54bWysUsGO2yAQvVfqPyDuDY6jrSIrzmq7q1aV&#10;Vm2lbT8AY4hRbYYyJHb+vgN2kqq9VXuBgRke772Z3f009OykA1pwNV+vCs60U9Bad6j5j+8f3205&#10;wyhdK3twuuZnjfx+//bNbvSVLqGDvtWBEYjDavQ172L0lRCoOj1IXIHXjpIGwiAjHcNBtEGOhD70&#10;oiyK92KE0PoASiPS7dOc5PuMb4xW8asxqCPra07cYl5DXpu0iv1OVocgfWfVQkP+B4tBWkefXqGe&#10;ZJTsGOw/UINVARBMXCkYBBhjlc4aSM26+EvNSye9zlrIHPRXm/D1YNWX04v/FlicPsBEDcwi0D+D&#10;+onkjRg9VktN8hQrpOokdDJhSDtJYPSQvD1f/dRTZIouN5u7cltQSlGu3GzX5V0yXNxe+4Dxk4aB&#10;paDmgfqVGcjTM8a59FKykJn/T0zi1EzMtjXfJtB000B7Ji0jtbPm+Osog+as/+zIr9T7SxAuQXMJ&#10;QuwfYZ4Q6VQHNCANZ3P4GPO4JK0OHo4RjM3Mbh8uzKhDWdsyTWkE/jznqtvM738DAAD//wMAUEsD&#10;BBQABgAIAAAAIQDeHMMt4gAAAA0BAAAPAAAAZHJzL2Rvd25yZXYueG1sTI/dToQwEIXvTXyHZky8&#10;c1thF1ikbIiJF2b9iegDdOkIRNoSWlh8e8crvZxzTs58pzisZmALTr53VsLtRgBD2zjd21bCx/vD&#10;TQbMB2W1GpxFCd/o4VBeXhQq1+5s33CpQ8uoxPpcSehCGHPOfdOhUX7jRrTkfbrJqEDn1HI9qTOV&#10;m4FHQiTcqN7Sh06NeN9h81XPRsLybKLqsXnZ8/opitM0Pr5W81HK66u1ugMWcA1/YfjFJ3Qoienk&#10;Zqs9GyREW0FbAhnbfbYDRpE0yUg6kbSLEwG8LPj/FeUPAAAA//8DAFBLAQItABQABgAIAAAAIQC2&#10;gziS/gAAAOEBAAATAAAAAAAAAAAAAAAAAAAAAABbQ29udGVudF9UeXBlc10ueG1sUEsBAi0AFAAG&#10;AAgAAAAhADj9If/WAAAAlAEAAAsAAAAAAAAAAAAAAAAALwEAAF9yZWxzLy5yZWxzUEsBAi0AFAAG&#10;AAgAAAAhACWecumlAQAAOwMAAA4AAAAAAAAAAAAAAAAALgIAAGRycy9lMm9Eb2MueG1sUEsBAi0A&#10;FAAGAAgAAAAhAN4cwy3iAAAADQEAAA8AAAAAAAAAAAAAAAAA/wMAAGRycy9kb3ducmV2LnhtbFBL&#10;BQYAAAAABAAEAPMAAAAOBQAAAAA=&#10;">
              <v:textbox inset="0,0,0,0">
                <w:txbxContent>
                  <w:p w:rsidRPr="00660D2D" w:rsidR="00B4045F" w:rsidP="000C1F0B" w:rsidRDefault="00B4045F" w14:paraId="0AF9B033" w14:textId="77777777">
                    <w:pPr>
                      <w:spacing w:before="16"/>
                      <w:ind w:left="20"/>
                      <w:jc w:val="center"/>
                      <w:rPr>
                        <w:rStyle w:val="IntenseReference"/>
                      </w:rPr>
                    </w:pPr>
                    <w:r w:rsidRPr="00660D2D">
                      <w:rPr>
                        <w:rStyle w:val="IntenseReference"/>
                      </w:rPr>
                      <w:t>CONFIDENTIAL AND PROPRIETARY</w:t>
                    </w:r>
                  </w:p>
                </w:txbxContent>
              </v:textbox>
              <w10:wrap anchorx="margin" anchory="page"/>
            </v:shape>
          </w:pict>
        </mc:Fallback>
      </mc:AlternateContent>
    </w:r>
    <w:r w:rsidR="00991148">
      <w:rPr>
        <w:noProof/>
        <w14:ligatures w14:val="standardContextual"/>
      </w:rPr>
      <w:drawing>
        <wp:anchor distT="0" distB="0" distL="114300" distR="114300" simplePos="0" relativeHeight="251658253" behindDoc="1" locked="0" layoutInCell="1" allowOverlap="1" wp14:anchorId="0BCBFD3F" wp14:editId="5F5C45EA">
          <wp:simplePos x="0" y="0"/>
          <wp:positionH relativeFrom="margin">
            <wp:posOffset>5549362</wp:posOffset>
          </wp:positionH>
          <wp:positionV relativeFrom="paragraph">
            <wp:posOffset>144780</wp:posOffset>
          </wp:positionV>
          <wp:extent cx="908290" cy="174812"/>
          <wp:effectExtent l="0" t="0" r="6350" b="0"/>
          <wp:wrapNone/>
          <wp:docPr id="2141234943"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08290" cy="174812"/>
                  </a:xfrm>
                  <a:prstGeom prst="rect">
                    <a:avLst/>
                  </a:prstGeom>
                </pic:spPr>
              </pic:pic>
            </a:graphicData>
          </a:graphic>
          <wp14:sizeRelH relativeFrom="margin">
            <wp14:pctWidth>0</wp14:pctWidth>
          </wp14:sizeRelH>
          <wp14:sizeRelV relativeFrom="margin">
            <wp14:pctHeight>0</wp14:pctHeight>
          </wp14:sizeRelV>
        </wp:anchor>
      </w:drawing>
    </w:r>
    <w:r w:rsidR="00B4045F">
      <w:rPr>
        <w:noProof/>
      </w:rPr>
      <mc:AlternateContent>
        <mc:Choice Requires="wps">
          <w:drawing>
            <wp:anchor distT="0" distB="0" distL="0" distR="0" simplePos="0" relativeHeight="251658251" behindDoc="1" locked="0" layoutInCell="1" allowOverlap="1" wp14:anchorId="0C73BB97" wp14:editId="6B12B5AE">
              <wp:simplePos x="0" y="0"/>
              <wp:positionH relativeFrom="margin">
                <wp:posOffset>-22860</wp:posOffset>
              </wp:positionH>
              <wp:positionV relativeFrom="page">
                <wp:posOffset>9639300</wp:posOffset>
              </wp:positionV>
              <wp:extent cx="914400" cy="268941"/>
              <wp:effectExtent l="0" t="0" r="0" b="0"/>
              <wp:wrapNone/>
              <wp:docPr id="896677059"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14:paraId="2B882FE8" w14:textId="77777777" w:rsidR="00B4045F" w:rsidRPr="000D6DE8" w:rsidRDefault="00B4045F" w:rsidP="00244A73">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0A1F135">
            <v:shape id="_x0000_s1035" style="position:absolute;margin-left:-1.8pt;margin-top:759pt;width:1in;height:21.2pt;z-index:-251658229;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HeXlgEAACEDAAAOAAAAZHJzL2Uyb0RvYy54bWysUsGO0zAQvSPxD5bv1GlVrXajpitgBUJa&#10;AdLCB7iO3VgkHjPjNunfM3bTFsENcRmPPePn99548zgNvThaJA+hkctFJYUNBlof9o38/u3Dm3sp&#10;KOnQ6h6CbeTJknzcvn61GWNtV9BB31oUDBKoHmMju5RirRSZzg6aFhBt4KIDHHTiLe5Vi3pk9KFX&#10;q6q6UyNgGxGMJeLTp3NRbgu+c9akL86RTaJvJHNLJWKJuxzVdqPrPerYeTPT0P/AYtA+8KNXqCed&#10;tDig/wtq8AaBwKWFgUGBc97YooHVLKs/1Lx0Otqihc2heLWJ/h+s+Xx8iV9RpOkdTDzAIoLiM5gf&#10;xN6oMVI992RPqSbuzkInh0NeWYLgi+zt6eqnnZIwfPiwXK8rrhgure7uH9bL7Le6XY5I6aOFQeSk&#10;kcjjKgT08ZnSufXSMnM5P5+JpGk3Cd/yKxk0n+ygPbGUkafZSPp50Gil6D8FtiuP/pLgJdldEkz9&#10;eygfJCsK8PaQwPlC4IY7E+A5FAnzn8mD/n1fum4/e/sLAAD//wMAUEsDBBQABgAIAAAAIQCt+DZt&#10;3wAAAAwBAAAPAAAAZHJzL2Rvd25yZXYueG1sTI9BT8MwDIXvSPyHyEjctnQwqlGaThOCExKiKweO&#10;aeO10RqnNNlW/j3uCW7289Pz9/Lt5HpxxjFYTwpWywQEUuONpVbBZ/W62IAIUZPRvSdU8IMBtsX1&#10;Va4z4y9U4nkfW8EhFDKtoItxyKQMTYdOh6UfkPh28KPTkdexlWbUFw53vbxLklQ6bYk/dHrA5w6b&#10;4/7kFOy+qHyx3+/1R3kobVU9JvSWHpW6vZl2TyAiTvHPDDM+o0PBTLU/kQmiV7C4T9nJ+sNqw6Vm&#10;xzpZg6hnKeVJFrn8X6L4BQAA//8DAFBLAQItABQABgAIAAAAIQC2gziS/gAAAOEBAAATAAAAAAAA&#10;AAAAAAAAAAAAAABbQ29udGVudF9UeXBlc10ueG1sUEsBAi0AFAAGAAgAAAAhADj9If/WAAAAlAEA&#10;AAsAAAAAAAAAAAAAAAAALwEAAF9yZWxzLy5yZWxzUEsBAi0AFAAGAAgAAAAhAMasd5eWAQAAIQMA&#10;AA4AAAAAAAAAAAAAAAAALgIAAGRycy9lMm9Eb2MueG1sUEsBAi0AFAAGAAgAAAAhAK34Nm3fAAAA&#10;DAEAAA8AAAAAAAAAAAAAAAAA8AMAAGRycy9kb3ducmV2LnhtbFBLBQYAAAAABAAEAPMAAAD8BAAA&#10;AAA=&#10;" w14:anchorId="0C73BB97">
              <v:textbox inset="0,0,0,0">
                <w:txbxContent>
                  <w:p w:rsidRPr="000D6DE8" w:rsidR="00B4045F" w:rsidP="00244A73" w:rsidRDefault="00B4045F" w14:paraId="36F25536" w14:textId="77777777">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v:textbox>
              <w10:wrap anchorx="margin" anchory="page"/>
            </v:shape>
          </w:pict>
        </mc:Fallback>
      </mc:AlternateContent>
    </w:r>
    <w:fldSimple w:instr="DATE   \* MERGEFORMAT">
      <w:r w:rsidR="00B854BC">
        <w:rPr>
          <w:noProof/>
        </w:rPr>
        <w:t>8/24/2026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40B77" w14:textId="77777777" w:rsidR="00B34CA2" w:rsidRDefault="00B34CA2" w:rsidP="00F86F3A">
      <w:pPr>
        <w:spacing w:before="0" w:after="0"/>
      </w:pPr>
      <w:r>
        <w:separator/>
      </w:r>
    </w:p>
  </w:footnote>
  <w:footnote w:type="continuationSeparator" w:id="0">
    <w:p w14:paraId="4C56B612" w14:textId="77777777" w:rsidR="00B34CA2" w:rsidRDefault="00B34CA2" w:rsidP="00F86F3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3256" w14:textId="77777777" w:rsidR="00BD712D" w:rsidRDefault="00BD71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B19E" w14:textId="77777777" w:rsidR="00825512" w:rsidRDefault="00660594" w:rsidP="006E73A3">
    <w:pPr>
      <w:pStyle w:val="Header"/>
      <w:spacing w:before="120"/>
    </w:pPr>
    <w:r>
      <w:rPr>
        <w:noProof/>
      </w:rPr>
      <mc:AlternateContent>
        <mc:Choice Requires="wps">
          <w:drawing>
            <wp:anchor distT="0" distB="0" distL="0" distR="0" simplePos="0" relativeHeight="251658247" behindDoc="0" locked="0" layoutInCell="1" allowOverlap="1" wp14:anchorId="41C5A64F" wp14:editId="14347C16">
              <wp:simplePos x="0" y="0"/>
              <wp:positionH relativeFrom="margin">
                <wp:posOffset>0</wp:posOffset>
              </wp:positionH>
              <wp:positionV relativeFrom="page">
                <wp:posOffset>332740</wp:posOffset>
              </wp:positionV>
              <wp:extent cx="3585845" cy="2108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845" cy="210820"/>
                      </a:xfrm>
                      <a:prstGeom prst="rect">
                        <a:avLst/>
                      </a:prstGeom>
                    </wps:spPr>
                    <wps:txbx>
                      <w:txbxContent>
                        <w:p w14:paraId="323DEFED" w14:textId="3A438238" w:rsidR="00126C67" w:rsidRDefault="00B34CA2" w:rsidP="00644A8A">
                          <w:pPr>
                            <w:pStyle w:val="BodyText"/>
                            <w:rPr>
                              <w:rStyle w:val="IntenseReference"/>
                            </w:rPr>
                          </w:pPr>
                          <w:sdt>
                            <w:sdtPr>
                              <w:rPr>
                                <w:rStyle w:val="IntenseReference"/>
                              </w:rPr>
                              <w:alias w:val="Company"/>
                              <w:tag w:val=""/>
                              <w:id w:val="776325019"/>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3F4A6B">
                            <w:rPr>
                              <w:rStyle w:val="IntenseReference"/>
                            </w:rPr>
                            <w:t xml:space="preserve"> </w:t>
                          </w:r>
                          <w:r w:rsidR="00F50A2F">
                            <w:rPr>
                              <w:rStyle w:val="IntenseReference"/>
                            </w:rPr>
                            <w:t>–</w:t>
                          </w:r>
                          <w:r w:rsidR="003F4A6B">
                            <w:rPr>
                              <w:rStyle w:val="IntenseReference"/>
                            </w:rPr>
                            <w:t xml:space="preserve"> Azure</w:t>
                          </w:r>
                          <w:r w:rsidR="00F50A2F">
                            <w:rPr>
                              <w:rStyle w:val="IntenseReference"/>
                            </w:rPr>
                            <w:t xml:space="preserve"> Migration Design</w:t>
                          </w:r>
                        </w:p>
                        <w:p w14:paraId="0D2A1285" w14:textId="77777777" w:rsidR="00F50A2F" w:rsidRPr="00513808" w:rsidRDefault="00F50A2F" w:rsidP="00644A8A">
                          <w:pPr>
                            <w:pStyle w:val="BodyText"/>
                            <w:rPr>
                              <w:rStyle w:val="IntenseReference"/>
                              <w:b/>
                              <w:bCs/>
                            </w:rPr>
                          </w:pPr>
                        </w:p>
                      </w:txbxContent>
                    </wps:txbx>
                    <wps:bodyPr wrap="square" lIns="0" tIns="0" rIns="0" bIns="0" rtlCol="0">
                      <a:noAutofit/>
                    </wps:bodyPr>
                  </wps:wsp>
                </a:graphicData>
              </a:graphic>
            </wp:anchor>
          </w:drawing>
        </mc:Choice>
        <mc:Fallback>
          <w:pict>
            <v:shapetype w14:anchorId="41C5A64F" id="_x0000_t202" coordsize="21600,21600" o:spt="202" path="m,l,21600r21600,l21600,xe">
              <v:stroke joinstyle="miter"/>
              <v:path gradientshapeok="t" o:connecttype="rect"/>
            </v:shapetype>
            <v:shape id="Textbox 8" o:spid="_x0000_s1026" type="#_x0000_t202" style="position:absolute;margin-left:0;margin-top:26.2pt;width:282.35pt;height:16.6pt;z-index:251658247;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x9dlAEAABsDAAAOAAAAZHJzL2Uyb0RvYy54bWysUsGO0zAQvSPxD5bv1GmhqIqaroAVCGkF&#10;SLt8gOvYTUTsMTNuk/49Y2/aIrghLuOxPX7z3htv7yY/iJNF6iE0crmopLDBQNuHQyO/P318tZGC&#10;kg6tHiDYRp4tybvdyxfbMdZ2BR0MrUXBIIHqMTaySynWSpHprNe0gGgDXzpArxNv8aBa1COj+0Gt&#10;quqtGgHbiGAsEZ/eP1/KXcF3zpr01TmySQyNZG6pRCxxn6PabXV9QB273sw09D+w8LoP3PQKda+T&#10;Fkfs/4LyvUEgcGlhwCtwrje2aGA1y+oPNY+djrZoYXMoXm2i/wdrvpwe4zcUaXoPEw+wiKD4AOYH&#10;sTdqjFTPNdlTqomrs9DJoc8rSxD8kL09X/20UxKGD1+vN+vNm7UUhu9Wy2qzKoar2+uIlD5Z8CIn&#10;jUSeV2GgTw+Ucn9dX0pmMs/9M5M07Scuyeke2jOLGHmOjaSfR41WiuFzYKPy0C8JXpL9JcE0fIDy&#10;NbKWAO+OCVxfOt9w5848gUJo/i15xL/vS9XtT+9+AQAA//8DAFBLAwQUAAYACAAAACEATYmewt0A&#10;AAAGAQAADwAAAGRycy9kb3ducmV2LnhtbEyPwU7DMBBE70j8g7VI3KhD1YQSsqkqBCckRBoOHJ14&#10;m1iN1yF22/D3mBM9jmY086bYzHYQJ5q8cYxwv0hAELdOG+4QPuvXuzUIHxRrNTgmhB/ysCmvrwqV&#10;a3fmik670IlYwj5XCH0IYy6lb3uyyi/cSBy9vZusClFOndSTOsdyO8hlkmTSKsNxoVcjPffUHnZH&#10;i7D94urFfL83H9W+MnX9mPBbdkC8vZm3TyACzeE/DH/4ER3KyNS4I2svBoR4JCCkyxWI6KbZ6gFE&#10;g7BOM5BlIS/xy18AAAD//wMAUEsBAi0AFAAGAAgAAAAhALaDOJL+AAAA4QEAABMAAAAAAAAAAAAA&#10;AAAAAAAAAFtDb250ZW50X1R5cGVzXS54bWxQSwECLQAUAAYACAAAACEAOP0h/9YAAACUAQAACwAA&#10;AAAAAAAAAAAAAAAvAQAAX3JlbHMvLnJlbHNQSwECLQAUAAYACAAAACEAOEMfXZQBAAAbAwAADgAA&#10;AAAAAAAAAAAAAAAuAgAAZHJzL2Uyb0RvYy54bWxQSwECLQAUAAYACAAAACEATYmewt0AAAAGAQAA&#10;DwAAAAAAAAAAAAAAAADuAwAAZHJzL2Rvd25yZXYueG1sUEsFBgAAAAAEAAQA8wAAAPgEAAAAAA==&#10;" filled="f" stroked="f">
              <v:textbox inset="0,0,0,0">
                <w:txbxContent>
                  <w:p w14:paraId="323DEFED" w14:textId="3A438238" w:rsidR="00126C67" w:rsidRDefault="00B34CA2" w:rsidP="00644A8A">
                    <w:pPr>
                      <w:pStyle w:val="BodyText"/>
                      <w:rPr>
                        <w:rStyle w:val="IntenseReference"/>
                      </w:rPr>
                    </w:pPr>
                    <w:sdt>
                      <w:sdtPr>
                        <w:rPr>
                          <w:rStyle w:val="IntenseReference"/>
                        </w:rPr>
                        <w:alias w:val="Company"/>
                        <w:tag w:val=""/>
                        <w:id w:val="776325019"/>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3F4A6B">
                      <w:rPr>
                        <w:rStyle w:val="IntenseReference"/>
                      </w:rPr>
                      <w:t xml:space="preserve"> </w:t>
                    </w:r>
                    <w:r w:rsidR="00F50A2F">
                      <w:rPr>
                        <w:rStyle w:val="IntenseReference"/>
                      </w:rPr>
                      <w:t>–</w:t>
                    </w:r>
                    <w:r w:rsidR="003F4A6B">
                      <w:rPr>
                        <w:rStyle w:val="IntenseReference"/>
                      </w:rPr>
                      <w:t xml:space="preserve"> Azure</w:t>
                    </w:r>
                    <w:r w:rsidR="00F50A2F">
                      <w:rPr>
                        <w:rStyle w:val="IntenseReference"/>
                      </w:rPr>
                      <w:t xml:space="preserve"> Migration Design</w:t>
                    </w:r>
                  </w:p>
                  <w:p w14:paraId="0D2A1285" w14:textId="77777777" w:rsidR="00F50A2F" w:rsidRPr="00513808" w:rsidRDefault="00F50A2F" w:rsidP="00644A8A">
                    <w:pPr>
                      <w:pStyle w:val="BodyText"/>
                      <w:rPr>
                        <w:rStyle w:val="IntenseReference"/>
                        <w:b/>
                        <w:bCs/>
                      </w:rPr>
                    </w:pPr>
                  </w:p>
                </w:txbxContent>
              </v:textbox>
              <w10:wrap anchorx="margin" anchory="page"/>
            </v:shape>
          </w:pict>
        </mc:Fallback>
      </mc:AlternateContent>
    </w:r>
    <w:r>
      <w:rPr>
        <w:noProof/>
        <w14:ligatures w14:val="standardContextual"/>
      </w:rPr>
      <mc:AlternateContent>
        <mc:Choice Requires="wps">
          <w:drawing>
            <wp:anchor distT="0" distB="0" distL="114300" distR="114300" simplePos="0" relativeHeight="251658246" behindDoc="0" locked="0" layoutInCell="1" allowOverlap="1" wp14:anchorId="33A9DDD5" wp14:editId="4728A894">
              <wp:simplePos x="0" y="0"/>
              <wp:positionH relativeFrom="margin">
                <wp:posOffset>4438650</wp:posOffset>
              </wp:positionH>
              <wp:positionV relativeFrom="paragraph">
                <wp:posOffset>-202042</wp:posOffset>
              </wp:positionV>
              <wp:extent cx="1478280" cy="362585"/>
              <wp:effectExtent l="0" t="0" r="26670" b="18415"/>
              <wp:wrapNone/>
              <wp:docPr id="2072357735" name="Rectangle 15"/>
              <wp:cNvGraphicFramePr/>
              <a:graphic xmlns:a="http://schemas.openxmlformats.org/drawingml/2006/main">
                <a:graphicData uri="http://schemas.microsoft.com/office/word/2010/wordprocessingShape">
                  <wps:wsp>
                    <wps:cNvSpPr/>
                    <wps:spPr>
                      <a:xfrm>
                        <a:off x="0" y="0"/>
                        <a:ext cx="1478280" cy="36258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7A39B4" w14:textId="77777777" w:rsidR="005E64E3" w:rsidRDefault="005E64E3" w:rsidP="005E64E3">
                          <w:pPr>
                            <w:spacing w:before="100" w:beforeAutospacing="1" w:after="100" w:afterAutospacing="1"/>
                            <w:jc w:val="center"/>
                          </w:pPr>
                          <w:r>
                            <w:t>Client’s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61950724">
            <v:rect id="Rectangle 15" style="position:absolute;margin-left:349.5pt;margin-top:-15.9pt;width:116.4pt;height:28.5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e8e8e8 [3214]" strokecolor="#e8e8e8 [3214]" strokeweight="1pt" w14:anchorId="33A9D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8mhQIAAJgFAAAOAAAAZHJzL2Uyb0RvYy54bWysVE1v2zAMvQ/YfxB0X/2xpM2COkWQIsOA&#10;oi3aDj0rshQbkEVNUmJnv36U7DhtV+xQ7GKLIvlIPpG8vOoaRfbCuhp0QbOzlBKhOZS13hb059P6&#10;y4wS55kumQItCnoQjl4tPn+6bM1c5FCBKoUlCKLdvDUFrbw38yRxvBINc2dghEalBNswj6LdJqVl&#10;LaI3KsnT9DxpwZbGAhfO4e11r6SLiC+l4P5OSic8UQXF3Hz82vjdhG+yuGTzrWWmqvmQBvtAFg2r&#10;NQYdoa6ZZ2Rn67+gmppbcCD9GYcmASlrLmINWE2WvqnmsWJGxFqQHGdGmtz/g+W3+0dzb5GG1ri5&#10;w2OoopO2CX/Mj3SRrMNIlug84XiZTS5m+Qw55aj7ep5PZ9PAZnLyNtb57wIaEg4FtfgYkSO2v3G+&#10;Nz2ahGAOVF2ua6WiEBpArJQle4ZPt9nmA/grK6U/5Ig5Bs/kVHI8+YMSAU/pByFJXWKReUw4duMp&#10;Gca50D7rVRUrRZ9jNk3T2FAIP3pEQiJgQJZY3Yg9ALwu9Ijd0zPYB1cRm3l0Tv+VWO88esTIoP3o&#10;3NQa7HsACqsaIvf2R5J6agJLvtt0yA2+f7AMNxsoD/eWWOiHyxm+rvHBb5jz98ziNGGP4Ibwd/iR&#10;CtqCwnCipAL7+737YI9NjlpKWpzOgrpfO2YFJeqHxvb/lk0mYZyjMJle5CjYl5rNS43eNSvALspw&#10;Fxkej8Heq+NRWmiecZEsQ1RUMc0xdkG5t0dh5futgauIi+UymuEIG+Zv9KPhATzwHBr6qXtm1gxd&#10;73FebuE4yWz+pvl72+CpYbnzIOs4GSdehxfA8Y+tNKyqsF9eytHqtFAXfwAAAP//AwBQSwMEFAAG&#10;AAgAAAAhABWW7ZXgAAAACgEAAA8AAABkcnMvZG93bnJldi54bWxMj8FOwzAMhu9IvEPkSdy2dJuY&#10;1lJ32pB24IDEyg4c0ya01RqnNGlX3h7Dhd1s+dfv70t3k23FaHrfOEJYLiIQhkqnG6oQzu/H+RaE&#10;D4q0ah0ZhG/jYZfd36Uq0e5KJzPmoRJcQj5RCHUIXSKlL2tjlV+4zhDfPl1vVeC1r6Tu1ZXLbStX&#10;UbSRVjXEH2rVmefalJd8sAgvlXw9D6e8OGw/xnH/VbSHt+iI+DCb9k8ggpnCfxh+8RkdMmYq3EDa&#10;ixZhE8fsEhDm6yU7cCL+GwqE1eMaZJbKW4XsBwAA//8DAFBLAQItABQABgAIAAAAIQC2gziS/gAA&#10;AOEBAAATAAAAAAAAAAAAAAAAAAAAAABbQ29udGVudF9UeXBlc10ueG1sUEsBAi0AFAAGAAgAAAAh&#10;ADj9If/WAAAAlAEAAAsAAAAAAAAAAAAAAAAALwEAAF9yZWxzLy5yZWxzUEsBAi0AFAAGAAgAAAAh&#10;AAHg/yaFAgAAmAUAAA4AAAAAAAAAAAAAAAAALgIAAGRycy9lMm9Eb2MueG1sUEsBAi0AFAAGAAgA&#10;AAAhABWW7ZXgAAAACgEAAA8AAAAAAAAAAAAAAAAA3wQAAGRycy9kb3ducmV2LnhtbFBLBQYAAAAA&#10;BAAEAPMAAADsBQAAAAA=&#10;">
              <v:textbox>
                <w:txbxContent>
                  <w:p w:rsidR="005E64E3" w:rsidP="005E64E3" w:rsidRDefault="005E64E3" w14:paraId="587AB49D" w14:textId="15243174">
                    <w:pPr>
                      <w:spacing w:before="100" w:beforeAutospacing="1" w:after="100" w:afterAutospacing="1"/>
                      <w:jc w:val="center"/>
                    </w:pPr>
                    <w:r>
                      <w:t>Client’s Logo</w:t>
                    </w:r>
                  </w:p>
                </w:txbxContent>
              </v:textbox>
              <w10:wrap anchorx="margin"/>
            </v:rect>
          </w:pict>
        </mc:Fallback>
      </mc:AlternateContent>
    </w:r>
    <w:r w:rsidR="00126C67">
      <w:rPr>
        <w:noProof/>
      </w:rPr>
      <mc:AlternateContent>
        <mc:Choice Requires="wps">
          <w:drawing>
            <wp:anchor distT="0" distB="0" distL="0" distR="0" simplePos="0" relativeHeight="251658245" behindDoc="1" locked="0" layoutInCell="1" allowOverlap="1" wp14:anchorId="6BCB862E" wp14:editId="50E47158">
              <wp:simplePos x="0" y="0"/>
              <wp:positionH relativeFrom="page">
                <wp:posOffset>11546840</wp:posOffset>
              </wp:positionH>
              <wp:positionV relativeFrom="page">
                <wp:posOffset>318770</wp:posOffset>
              </wp:positionV>
              <wp:extent cx="707390" cy="196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14:paraId="6C6142D2" w14:textId="77777777" w:rsidR="00126C67" w:rsidRDefault="00126C67" w:rsidP="00126C6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w14:anchorId="677A7DEB">
            <v:shape id="Textbox 7" style="position:absolute;margin-left:909.2pt;margin-top:25.1pt;width:55.7pt;height:15.5pt;z-index:-251658235;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jCzmAEAACEDAAAOAAAAZHJzL2Uyb0RvYy54bWysUtuO0zAQfUfiHyy/06RF7CVqugJWIKQV&#10;IC18gOvYjUXsMTNuk/49Y2/aot03xIsz8YyPz8Xru8kP4mCQHIRWLhe1FCZo6FzYtfLnj09vbqSg&#10;pEKnBgimlUdD8m7z+tV6jI1ZQQ9DZ1AwSKBmjK3sU4pNVZHujVe0gGgCNy2gV4l/cVd1qEZG90O1&#10;quuragTsIoI2RLx7/9SUm4JvrdHpm7VkkhhaydxSWbGs27xWm7Vqdqhi7/RMQ/0DC69c4EvPUPcq&#10;KbFH9wLKO41AYNNCg6/AWqdN0cBqlvUzNY+9iqZoYXMonm2i/wervx4e43cUafoAEwdYRFB8AP2L&#10;2JtqjNTMM9lTaoins9DJos9fliD4IHt7PPtppiQ0b17X129vuaO5tby9unlX/K4uhyNS+mzAi1y0&#10;EjmuQkAdHijl61VzGpm5PF2fiaRpOwnXtXKVQ8w7W+iOLGXkNFtJv/cKjRTDl8B25ehPBZ6K7anA&#10;NHyE8kCyogDv9wmsKwQuuDMBzqHwmt9MDvrv/zJ1edmbPwAAAP//AwBQSwMEFAAGAAgAAAAhAKQG&#10;Yl7fAAAACwEAAA8AAABkcnMvZG93bnJldi54bWxMj8FOwzAQRO9I/IO1SNyonQiqJMSpKgQnJEQa&#10;Dhyd2E2sxusQu234e7Ynehzt0+ybcrO4kZ3MHKxHCclKADPYeW2xl/DVvD1kwEJUqNXo0Uj4NQE2&#10;1e1NqQrtz1ib0y72jEowFErCEONUcB66wTgVVn4ySLe9n52KFOee61mdqdyNPBVizZ2ySB8GNZmX&#10;wXSH3dFJ2H5j/Wp/PtrPel/bpskFvq8PUt7fLdtnYNEs8R+Giz6pQ0VOrT+iDmyknCXZI7ESnkQK&#10;7ELkaU5rWglZkgKvSn69ofoDAAD//wMAUEsBAi0AFAAGAAgAAAAhALaDOJL+AAAA4QEAABMAAAAA&#10;AAAAAAAAAAAAAAAAAFtDb250ZW50X1R5cGVzXS54bWxQSwECLQAUAAYACAAAACEAOP0h/9YAAACU&#10;AQAACwAAAAAAAAAAAAAAAAAvAQAAX3JlbHMvLnJlbHNQSwECLQAUAAYACAAAACEA6PIws5gBAAAh&#10;AwAADgAAAAAAAAAAAAAAAAAuAgAAZHJzL2Uyb0RvYy54bWxQSwECLQAUAAYACAAAACEApAZiXt8A&#10;AAALAQAADwAAAAAAAAAAAAAAAADyAwAAZHJzL2Rvd25yZXYueG1sUEsFBgAAAAAEAAQA8wAAAP4E&#10;AAAAAA==&#10;" w14:anchorId="6BCB862E">
              <v:textbox inset="0,0,0,0">
                <w:txbxContent>
                  <w:p w:rsidR="00126C67" w:rsidP="00126C67" w:rsidRDefault="00126C67" w14:paraId="48936F7B" w14:textId="7777777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v:textbox>
              <w10:wrap anchorx="page" anchory="page"/>
            </v:shape>
          </w:pict>
        </mc:Fallback>
      </mc:AlternateContent>
    </w:r>
    <w:r w:rsidR="005A05E0" w:rsidRPr="00DA24FD">
      <w:rPr>
        <w:noProof/>
        <w14:ligatures w14:val="standardContextual"/>
      </w:rPr>
      <mc:AlternateContent>
        <mc:Choice Requires="wps">
          <w:drawing>
            <wp:anchor distT="0" distB="0" distL="114300" distR="114300" simplePos="0" relativeHeight="251658243" behindDoc="0" locked="0" layoutInCell="1" allowOverlap="1" wp14:anchorId="57B29D53" wp14:editId="66DD1FDF">
              <wp:simplePos x="0" y="0"/>
              <wp:positionH relativeFrom="margin">
                <wp:posOffset>6985</wp:posOffset>
              </wp:positionH>
              <wp:positionV relativeFrom="page">
                <wp:posOffset>842010</wp:posOffset>
              </wp:positionV>
              <wp:extent cx="5943600" cy="0"/>
              <wp:effectExtent l="0" t="38100" r="57150" b="57150"/>
              <wp:wrapNone/>
              <wp:docPr id="78912677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http://schemas.openxmlformats.org/drawingml/2006/main" xmlns:arto="http://schemas.microsoft.com/office/word/2006/arto">
          <w:pict w14:anchorId="6C06B440">
            <v:line id="Straight Connector 14" style="position:absolute;z-index:25167155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55pt,66.3pt" to="468.55pt,66.3pt" w14:anchorId="24F6F2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fFWwIAAEcFAAAOAAAAZHJzL2Uyb0RvYy54bWysVE1vGyEQvVfqf0Dcm7WdNk1XXucQN72k&#10;bZS06pnA4EVlAQHxx7/vDNhrK5GiqupldxnmvXnzGHZ+tR0sW0NMxruOT88mnIGTXhm36vjPHzfv&#10;LjlLWTglrHfQ8R0kfrV4+2a+CS3MfO+tgsiQxKV2Ezre5xzapkmyh0GkMx/A4ab2cRAZl3HVqCg2&#10;yD7YZjaZXDQbH1WIXkJKGF3WTb4o/FqDzN+1TpCZ7Thqy+UZy/ORns1iLtpVFKE3ci9D/IOKQRiH&#10;RUeqpciCPUXzgmowMvrkdT6Tfmi81kZC6QG7mU6edfPQiwClFzQnhdGm9P9o5bf1tbuLJF1u3UO4&#10;9fJ3QlOaTUjtuEmLFGraVseB0lE72xYjd6ORsM1MYvDDp/fnFxP0Wx72GtEegCGm/AX8wOij49Y4&#10;6lG0Yn2bMpUW7SGFwtaxDU7W7CPy0RoPS90Ya5m2BgfG4VhxFn3+ZXJfDMPkmpiQryASCx49q/gy&#10;WnBtI1sLHAohJbg8Kwj7NHz1qsZxuLBgGQ8M4xDV8OUhjCpHpqJ5lU5rTSnvlYLnRI0chCqvvVZ0&#10;gwm6O2heksKConaKjGws3ONA74F7G6go2bUUqa8Sk7dGVUgPQn12iuVdwLtXrUIzB1CcWcALS1+V&#10;XBh7zPRoDSfbX2SiVutQ8nEiylfeWSAl1t2DZkbhDFRLR49O3T40X7IJpvE8R+BfuLbPJyiUSz6C&#10;69G/WnVElMre5RE8GOdjmYRnBHlbzgCb1zX/4EDtmyx49Gp3F+lsaIW3tZ5r/bPQ7+B0XbKO/7/F&#10;HwAAAP//AwBQSwMEFAAGAAgAAAAhAAlwbx3ZAAAACQEAAA8AAABkcnMvZG93bnJldi54bWxMT01L&#10;w0AQvQv+h2UEL2I3bSFqzKaIoAc9tfYHTLPTbDQ7G7KbNvn3jiDoaXgfvHmv3Ey+UycaYhvYwHKR&#10;gSKug225MbD/eLm9BxUTssUuMBmYKcKmurwosbDhzFs67VKjJIRjgQZcSn2hdawdeYyL0BOLdgyD&#10;xyRwaLQd8CzhvtOrLMu1x5blg8Oenh3VX7vRG8hfj9s69837582I837u3yw5NOb6anp6BJVoSn9m&#10;+Kkv1aGSTocwso2qE7wUo5z1Kgcl+sP6TpjDL6OrUv9fUH0DAAD//wMAUEsBAi0AFAAGAAgAAAAh&#10;ALaDOJL+AAAA4QEAABMAAAAAAAAAAAAAAAAAAAAAAFtDb250ZW50X1R5cGVzXS54bWxQSwECLQAU&#10;AAYACAAAACEAOP0h/9YAAACUAQAACwAAAAAAAAAAAAAAAAAvAQAAX3JlbHMvLnJlbHNQSwECLQAU&#10;AAYACAAAACEA7uMXxVsCAABHBQAADgAAAAAAAAAAAAAAAAAuAgAAZHJzL2Uyb0RvYy54bWxQSwEC&#10;LQAUAAYACAAAACEACXBvHdkAAAAJAQAADwAAAAAAAAAAAAAAAAC1BAAAZHJzL2Rvd25yZXYueG1s&#10;UEsFBgAAAAAEAAQA8wAAALsFAAAAAA==&#10;">
              <v:stroke joinstyle="miter" endarrow="oval"/>
              <o:lock v:ext="edit" shapetype="f"/>
              <w10:wrap anchorx="margin"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A015" w14:textId="77777777" w:rsidR="00BD712D" w:rsidRDefault="00BD71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959F" w14:textId="77777777" w:rsidR="0058211E" w:rsidRDefault="006B3269" w:rsidP="006E73A3">
    <w:pPr>
      <w:pStyle w:val="Header"/>
      <w:spacing w:before="120"/>
    </w:pPr>
    <w:r>
      <w:rPr>
        <w:noProof/>
      </w:rPr>
      <mc:AlternateContent>
        <mc:Choice Requires="wps">
          <w:drawing>
            <wp:anchor distT="0" distB="0" distL="0" distR="0" simplePos="0" relativeHeight="251658250" behindDoc="0" locked="0" layoutInCell="1" allowOverlap="1" wp14:anchorId="6721A073" wp14:editId="4115B686">
              <wp:simplePos x="0" y="0"/>
              <wp:positionH relativeFrom="margin">
                <wp:posOffset>0</wp:posOffset>
              </wp:positionH>
              <wp:positionV relativeFrom="page">
                <wp:posOffset>330200</wp:posOffset>
              </wp:positionV>
              <wp:extent cx="5613400" cy="346710"/>
              <wp:effectExtent l="0" t="0" r="0" b="0"/>
              <wp:wrapNone/>
              <wp:docPr id="46776087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3400" cy="346710"/>
                      </a:xfrm>
                      <a:prstGeom prst="rect">
                        <a:avLst/>
                      </a:prstGeom>
                    </wps:spPr>
                    <wps:txbx>
                      <w:txbxContent>
                        <w:p w14:paraId="1F60745B" w14:textId="29E6D82F" w:rsidR="0058211E" w:rsidRDefault="00B34CA2" w:rsidP="00644A8A">
                          <w:pPr>
                            <w:pStyle w:val="BodyText"/>
                            <w:rPr>
                              <w:rStyle w:val="IntenseReference"/>
                            </w:rPr>
                          </w:pPr>
                          <w:sdt>
                            <w:sdtPr>
                              <w:rPr>
                                <w:rStyle w:val="IntenseReference"/>
                              </w:rPr>
                              <w:alias w:val="Company"/>
                              <w:tag w:val=""/>
                              <w:id w:val="-2076425153"/>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CB53D1">
                            <w:rPr>
                              <w:rStyle w:val="IntenseReference"/>
                            </w:rPr>
                            <w:t xml:space="preserve"> - </w:t>
                          </w:r>
                          <w:sdt>
                            <w:sdtPr>
                              <w:rPr>
                                <w:rStyle w:val="IntenseReference"/>
                              </w:rPr>
                              <w:alias w:val="Subject"/>
                              <w:tag w:val=""/>
                              <w:id w:val="524214312"/>
                              <w:placeholder>
                                <w:docPart w:val="36401BDBF941459B801B6B0F9A8E9D9B"/>
                              </w:placeholder>
                              <w:dataBinding w:prefixMappings="xmlns:ns0='http://purl.org/dc/elements/1.1/' xmlns:ns1='http://schemas.openxmlformats.org/package/2006/metadata/core-properties' " w:xpath="/ns1:coreProperties[1]/ns0:subject[1]" w:storeItemID="{6C3C8BC8-F283-45AE-878A-BAB7291924A1}"/>
                              <w:text/>
                            </w:sdtPr>
                            <w:sdtEndPr>
                              <w:rPr>
                                <w:rStyle w:val="IntenseReference"/>
                              </w:rPr>
                            </w:sdtEndPr>
                            <w:sdtContent>
                              <w:r w:rsidR="00CB53D1">
                                <w:rPr>
                                  <w:rStyle w:val="IntenseReference"/>
                                </w:rPr>
                                <w:t>Microsoft Government Cloud Migration Design</w:t>
                              </w:r>
                            </w:sdtContent>
                          </w:sdt>
                        </w:p>
                        <w:p w14:paraId="525C8A32" w14:textId="77777777" w:rsidR="0058211E" w:rsidRPr="00513808" w:rsidRDefault="0058211E" w:rsidP="00644A8A">
                          <w:pPr>
                            <w:pStyle w:val="BodyText"/>
                            <w:rPr>
                              <w:rStyle w:val="IntenseReference"/>
                              <w:b/>
                              <w:bC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21A073" id="_x0000_t202" coordsize="21600,21600" o:spt="202" path="m,l,21600r21600,l21600,xe">
              <v:stroke joinstyle="miter"/>
              <v:path gradientshapeok="t" o:connecttype="rect"/>
            </v:shapetype>
            <v:shape id="_x0000_s1032" type="#_x0000_t202" style="position:absolute;margin-left:0;margin-top:26pt;width:442pt;height:27.3pt;z-index:25165825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WAmQEAACIDAAAOAAAAZHJzL2Uyb0RvYy54bWysUl9v0zAQf0fiO1h+p0m3UVDUdAImENIE&#10;k8Y+gOvYjUXsM3duk357zl7aInibeHEuvvPPvz9e305+EAeD5CC0crmopTBBQ+fCrpVPPz6/eS8F&#10;JRU6NUAwrTwakreb16/WY2zMFfQwdAYFgwRqxtjKPqXYVBXp3nhFC4gmcNMCepX4F3dVh2pkdD9U&#10;V3W9qkbALiJoQ8S7d89NuSn41hqdvltLJomhlcwtlRXLus1rtVmrZocq9k7PNNQLWHjlAl96hrpT&#10;SYk9un+gvNMIBDYtNPgKrHXaFA2sZln/peaxV9EULWwOxbNN9P9g9bfDY3xAkaaPMHGARQTFe9A/&#10;ib2pxkjNPJM9pYZ4OgudLPr8ZQmCD7K3x7OfZkpC8+bb1fL6puaW5t71zerdshheXU5HpPTFgBe5&#10;aCVyXoWBOtxTyver5jQyk3m+PzNJ03YSrmvlKqeYd7bQHVnLyHG2kn7tFRophq+B/crZnwo8FdtT&#10;gWn4BOWFZEkBPuwTWFcIXHBnAhxE4TU/mpz0n/9l6vK0N78BAAD//wMAUEsDBBQABgAIAAAAIQAQ&#10;Y0033AAAAAcBAAAPAAAAZHJzL2Rvd25yZXYueG1sTI9BT8MwDIXvSPyHyEjcWMIEVSlNpwnBCQnR&#10;lQPHtPHaaI1Tmmwr/x5zgpNtvafn75WbxY/ihHN0gTTcrhQIpC5YR72Gj+blJgcRkyFrxkCo4Rsj&#10;bKrLi9IUNpypxtMu9YJDKBZGw5DSVEgZuwG9iaswIbG2D7M3ic+5l3Y2Zw73o1wrlUlvHPGHwUz4&#10;NGB32B29hu0n1c/u6619r/e1a5oHRa/ZQevrq2X7CCLhkv7M8IvP6FAxUxuOZKMYNXCRpOF+zZPV&#10;PL/jpWWbyjKQVSn/81c/AAAA//8DAFBLAQItABQABgAIAAAAIQC2gziS/gAAAOEBAAATAAAAAAAA&#10;AAAAAAAAAAAAAABbQ29udGVudF9UeXBlc10ueG1sUEsBAi0AFAAGAAgAAAAhADj9If/WAAAAlAEA&#10;AAsAAAAAAAAAAAAAAAAALwEAAF9yZWxzLy5yZWxzUEsBAi0AFAAGAAgAAAAhAIoQNYCZAQAAIgMA&#10;AA4AAAAAAAAAAAAAAAAALgIAAGRycy9lMm9Eb2MueG1sUEsBAi0AFAAGAAgAAAAhABBjTTfcAAAA&#10;BwEAAA8AAAAAAAAAAAAAAAAA8wMAAGRycy9kb3ducmV2LnhtbFBLBQYAAAAABAAEAPMAAAD8BAAA&#10;AAA=&#10;" filled="f" stroked="f">
              <v:textbox inset="0,0,0,0">
                <w:txbxContent>
                  <w:p w14:paraId="1F60745B" w14:textId="29E6D82F" w:rsidR="0058211E" w:rsidRDefault="00B34CA2" w:rsidP="00644A8A">
                    <w:pPr>
                      <w:pStyle w:val="BodyText"/>
                      <w:rPr>
                        <w:rStyle w:val="IntenseReference"/>
                      </w:rPr>
                    </w:pPr>
                    <w:sdt>
                      <w:sdtPr>
                        <w:rPr>
                          <w:rStyle w:val="IntenseReference"/>
                        </w:rPr>
                        <w:alias w:val="Company"/>
                        <w:tag w:val=""/>
                        <w:id w:val="-2076425153"/>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CB53D1">
                      <w:rPr>
                        <w:rStyle w:val="IntenseReference"/>
                      </w:rPr>
                      <w:t xml:space="preserve"> - </w:t>
                    </w:r>
                    <w:sdt>
                      <w:sdtPr>
                        <w:rPr>
                          <w:rStyle w:val="IntenseReference"/>
                        </w:rPr>
                        <w:alias w:val="Subject"/>
                        <w:tag w:val=""/>
                        <w:id w:val="524214312"/>
                        <w:placeholder>
                          <w:docPart w:val="36401BDBF941459B801B6B0F9A8E9D9B"/>
                        </w:placeholder>
                        <w:dataBinding w:prefixMappings="xmlns:ns0='http://purl.org/dc/elements/1.1/' xmlns:ns1='http://schemas.openxmlformats.org/package/2006/metadata/core-properties' " w:xpath="/ns1:coreProperties[1]/ns0:subject[1]" w:storeItemID="{6C3C8BC8-F283-45AE-878A-BAB7291924A1}"/>
                        <w:text/>
                      </w:sdtPr>
                      <w:sdtEndPr>
                        <w:rPr>
                          <w:rStyle w:val="IntenseReference"/>
                        </w:rPr>
                      </w:sdtEndPr>
                      <w:sdtContent>
                        <w:r w:rsidR="00CB53D1">
                          <w:rPr>
                            <w:rStyle w:val="IntenseReference"/>
                          </w:rPr>
                          <w:t>Microsoft Government Cloud Migration Design</w:t>
                        </w:r>
                      </w:sdtContent>
                    </w:sdt>
                  </w:p>
                  <w:p w14:paraId="525C8A32" w14:textId="77777777" w:rsidR="0058211E" w:rsidRPr="00513808" w:rsidRDefault="0058211E" w:rsidP="00644A8A">
                    <w:pPr>
                      <w:pStyle w:val="BodyText"/>
                      <w:rPr>
                        <w:rStyle w:val="IntenseReference"/>
                        <w:b/>
                        <w:bCs/>
                      </w:rPr>
                    </w:pPr>
                  </w:p>
                </w:txbxContent>
              </v:textbox>
              <w10:wrap anchorx="margin" anchory="page"/>
            </v:shape>
          </w:pict>
        </mc:Fallback>
      </mc:AlternateContent>
    </w:r>
    <w:r w:rsidR="00E05F6A" w:rsidRPr="00DA24FD">
      <w:rPr>
        <w:noProof/>
        <w14:ligatures w14:val="standardContextual"/>
      </w:rPr>
      <mc:AlternateContent>
        <mc:Choice Requires="wps">
          <w:drawing>
            <wp:anchor distT="0" distB="0" distL="114300" distR="114300" simplePos="0" relativeHeight="251658248" behindDoc="0" locked="0" layoutInCell="1" allowOverlap="1" wp14:anchorId="1CD422B2" wp14:editId="18B321CA">
              <wp:simplePos x="0" y="0"/>
              <wp:positionH relativeFrom="margin">
                <wp:posOffset>9526</wp:posOffset>
              </wp:positionH>
              <wp:positionV relativeFrom="page">
                <wp:posOffset>838200</wp:posOffset>
              </wp:positionV>
              <wp:extent cx="6362700" cy="0"/>
              <wp:effectExtent l="0" t="38100" r="57150" b="57150"/>
              <wp:wrapNone/>
              <wp:docPr id="88939976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627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22579A9B">
            <v:line id="Straight Connector 14" style="position:absolute;z-index:25168076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66pt" to="501.75pt,66pt" w14:anchorId="01BD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DzVwIAAEcFAAAOAAAAZHJzL2Uyb0RvYy54bWysVE1vGyEQvVfqf0Dcm7UdyY1WtnOIm17S&#10;NkpS9Uxg8KKygIDY63/fGbDXVlNFVdULuwzz8ebNg8X10Fu2hZiMd0s+vZhwBk56Zdxmyb8/3X64&#10;4ixl4ZSw3sGS7yHx69X7d4tdaGHmO28VRIZJXGp3Ycm7nEPbNEl20It04QM4PNQ+9iLjNm4aFcUO&#10;s/e2mU0m82bnowrRS0gJret6yFclv9Yg8zetE2Rmlxyx5bLGsj7T2qwWot1EETojDzDEP6DohXFY&#10;dEy1Flmwl2hepeqNjD55nS+k7xuvtZFQesBuppPfunnsRIDSC5KTwkhT+n9p5dftjbuPBF0O7jHc&#10;efkzISnNLqR2PKRNCtVt0LEnd8TOhkLkfiQShswkGueX89nHCfItj2eNaI+BIab8GXzP6GfJrXHU&#10;o2jF9i5lKi3aowuZrWM7VFbJR3sclro11jJtDQrGoaw4iz7/MLkrhKFzHUXCfCUiseCRs0kxF2nB&#10;jY1sK1AUQkpweVaO7Ev/xatqR3FhA0UeaEYRVfPV0Ywox0wF8yad15qS3xsFLyk15qCo8jlgRTaY&#10;oLuD5CUpLChqp8DIxsIDCvoQeKCBihJda5G6CjF5a1QN6UCoT06xvA949ypVSGYPijMLeGHpryYX&#10;xp48PVLDifZXnojVOoR8UkT5y3sLhMS6B9DMKNRApXTk6JztY/PFm8I0znMM/AvWDv4UCuWSj8F1&#10;9G9WHSNKZe/yGNwb5+OfRJKHMgNsXlf/IwO1b6Lg2av9faTZ0A5va51rfVnoOTjfF6/T+7f6BQAA&#10;//8DAFBLAwQUAAYACAAAACEAHZn7AdkAAAAKAQAADwAAAGRycy9kb3ducmV2LnhtbExP20rDQBB9&#10;F/yHZQRfxG5sMUjMpoigD/rUywdMs9NsNDsbsps2+XunIOjTcC6cOadcT75TJxpiG9jAwyIDRVwH&#10;23JjYL97u38CFROyxS4wGZgpwrq6viqxsOHMGzptU6MkhGOBBlxKfaF1rB15jIvQE4t2DIPHJHBo&#10;tB3wLOG+08ssy7XHluWDw55eHdXf29EbyN+Pmzr3zefX3Yjzfu4/LDk05vZmenkGlWhKf2a41Jfq&#10;UEmnQxjZRtUJfhSjnNVSJl30LFsJdfildFXq/xOqHwAAAP//AwBQSwECLQAUAAYACAAAACEAtoM4&#10;kv4AAADhAQAAEwAAAAAAAAAAAAAAAAAAAAAAW0NvbnRlbnRfVHlwZXNdLnhtbFBLAQItABQABgAI&#10;AAAAIQA4/SH/1gAAAJQBAAALAAAAAAAAAAAAAAAAAC8BAABfcmVscy8ucmVsc1BLAQItABQABgAI&#10;AAAAIQCkrhDzVwIAAEcFAAAOAAAAAAAAAAAAAAAAAC4CAABkcnMvZTJvRG9jLnhtbFBLAQItABQA&#10;BgAIAAAAIQAdmfsB2QAAAAoBAAAPAAAAAAAAAAAAAAAAALEEAABkcnMvZG93bnJldi54bWxQSwUG&#10;AAAAAAQABADzAAAAtwUAAAAA&#10;">
              <v:stroke joinstyle="miter" endarrow="oval"/>
              <o:lock v:ext="edit" shapetype="f"/>
              <w10:wrap anchorx="margin" anchory="page"/>
            </v:line>
          </w:pict>
        </mc:Fallback>
      </mc:AlternateContent>
    </w:r>
    <w:r w:rsidR="00E05F6A" w:rsidRPr="005A78E2">
      <w:rPr>
        <w:noProof/>
      </w:rPr>
      <w:drawing>
        <wp:anchor distT="0" distB="0" distL="114300" distR="114300" simplePos="0" relativeHeight="251658254" behindDoc="1" locked="0" layoutInCell="1" allowOverlap="1" wp14:anchorId="50A55B0E" wp14:editId="33AB3374">
          <wp:simplePos x="0" y="0"/>
          <wp:positionH relativeFrom="column">
            <wp:posOffset>5467350</wp:posOffset>
          </wp:positionH>
          <wp:positionV relativeFrom="paragraph">
            <wp:posOffset>-514350</wp:posOffset>
          </wp:positionV>
          <wp:extent cx="1047750" cy="1047750"/>
          <wp:effectExtent l="0" t="0" r="0" b="0"/>
          <wp:wrapNone/>
          <wp:docPr id="347057396" name="Picture 11"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lient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211E">
      <w:rPr>
        <w:noProof/>
      </w:rPr>
      <mc:AlternateContent>
        <mc:Choice Requires="wps">
          <w:drawing>
            <wp:anchor distT="0" distB="0" distL="0" distR="0" simplePos="0" relativeHeight="251658249" behindDoc="1" locked="0" layoutInCell="1" allowOverlap="1" wp14:anchorId="7324D8F5" wp14:editId="729BE216">
              <wp:simplePos x="0" y="0"/>
              <wp:positionH relativeFrom="page">
                <wp:posOffset>11546840</wp:posOffset>
              </wp:positionH>
              <wp:positionV relativeFrom="page">
                <wp:posOffset>318770</wp:posOffset>
              </wp:positionV>
              <wp:extent cx="707390" cy="196850"/>
              <wp:effectExtent l="0" t="0" r="0" b="0"/>
              <wp:wrapNone/>
              <wp:docPr id="42510332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14:paraId="679B5A96" w14:textId="77777777" w:rsidR="0058211E" w:rsidRDefault="0058211E" w:rsidP="00126C6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05560838">
            <v:shape id="_x0000_s1033" style="position:absolute;margin-left:909.2pt;margin-top:25.1pt;width:55.7pt;height:15.5pt;z-index:-251658231;visibility:visible;mso-wrap-style:square;mso-wrap-distance-left:0;mso-wrap-distance-top:0;mso-wrap-distance-right:0;mso-wrap-distance-bottom:0;mso-position-horizontal:absolute;mso-position-horizontal-relative:page;mso-position-vertical:absolute;mso-position-vertical-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7fmQEAACEDAAAOAAAAZHJzL2Uyb0RvYy54bWysUttuEzEQfUfqP1h+b3bTil5W2VTQCoRU&#10;AVLhAxyvnbVYe8yMk938PWN3kyB4Q7zYY8/4zDlnvHqY/CD2BslBaOVyUUthgobOhW0rv3/7cHkn&#10;BSUVOjVAMK08GJIP64s3qzE25gp6GDqDgkECNWNsZZ9SbKqKdG+8ogVEEzhpAb1KfMRt1aEaGd0P&#10;1VVd31QjYBcRtCHi26fXpFwXfGuNTl+sJZPE0ErmlsqKZd3ktVqvVLNFFXunZxrqH1h45QI3PUE9&#10;qaTEDt1fUN5pBAKbFhp8BdY6bYoGVrOs/1Dz0qtoihY2h+LJJvp/sPrz/iV+RZGm9zDxAIsIis+g&#10;fxB7U42Rmrkme0oNcXUWOln0eWcJgh+yt4eTn2ZKQvPlbX17fc8Zzanl/c3d2+J3dX4ckdJHA17k&#10;oJXI4yoE1P6ZUm6vmmPJzOW1fSaSps0kXMdd8hDzzQa6A0sZeZqtpJ87hUaK4VNgu/LojwEeg80x&#10;wDQ8QvkgWVGAd7sE1hUCZ9yZAM+h8Jr/TB707+dSdf7Z618AAAD//wMAUEsDBBQABgAIAAAAIQCk&#10;BmJe3wAAAAsBAAAPAAAAZHJzL2Rvd25yZXYueG1sTI/BTsMwEETvSPyDtUjcqJ0IqiTEqSoEJyRE&#10;Gg4cndhNrMbrELtt+Hu2J3oc7dPsm3KzuJGdzBysRwnJSgAz2HltsZfw1bw9ZMBCVKjV6NFI+DUB&#10;NtXtTakK7c9Ym9Mu9oxKMBRKwhDjVHAeusE4FVZ+Mki3vZ+dihTnnutZnancjTwVYs2dskgfBjWZ&#10;l8F0h93RSdh+Y/1qfz7az3pf26bJBb6vD1Le3y3bZ2DRLPEfhos+qUNFTq0/og5spJwl2SOxEp5E&#10;CuxC5GlOa1oJWZICr0p+vaH6AwAA//8DAFBLAQItABQABgAIAAAAIQC2gziS/gAAAOEBAAATAAAA&#10;AAAAAAAAAAAAAAAAAABbQ29udGVudF9UeXBlc10ueG1sUEsBAi0AFAAGAAgAAAAhADj9If/WAAAA&#10;lAEAAAsAAAAAAAAAAAAAAAAALwEAAF9yZWxzLy5yZWxzUEsBAi0AFAAGAAgAAAAhAPJNXt+ZAQAA&#10;IQMAAA4AAAAAAAAAAAAAAAAALgIAAGRycy9lMm9Eb2MueG1sUEsBAi0AFAAGAAgAAAAhAKQGYl7f&#10;AAAACwEAAA8AAAAAAAAAAAAAAAAA8wMAAGRycy9kb3ducmV2LnhtbFBLBQYAAAAABAAEAPMAAAD/&#10;BAAAAAA=&#10;" w14:anchorId="7324D8F5">
              <v:textbox inset="0,0,0,0">
                <w:txbxContent>
                  <w:p w:rsidR="0058211E" w:rsidP="00126C67" w:rsidRDefault="0058211E" w14:paraId="0CD53808" w14:textId="7777777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F1AB" w14:textId="77777777" w:rsidR="00850ABC" w:rsidRDefault="00850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1320"/>
    <w:multiLevelType w:val="multilevel"/>
    <w:tmpl w:val="A71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818"/>
    <w:multiLevelType w:val="multilevel"/>
    <w:tmpl w:val="2B1A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E23"/>
    <w:multiLevelType w:val="multilevel"/>
    <w:tmpl w:val="EB8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080B"/>
    <w:multiLevelType w:val="hybridMultilevel"/>
    <w:tmpl w:val="6FFA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D0906"/>
    <w:multiLevelType w:val="multilevel"/>
    <w:tmpl w:val="DCCC2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222CA"/>
    <w:multiLevelType w:val="multilevel"/>
    <w:tmpl w:val="AF4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A0942"/>
    <w:multiLevelType w:val="multilevel"/>
    <w:tmpl w:val="CB70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3644F"/>
    <w:multiLevelType w:val="multilevel"/>
    <w:tmpl w:val="CA1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177A"/>
    <w:multiLevelType w:val="multilevel"/>
    <w:tmpl w:val="A63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27292"/>
    <w:multiLevelType w:val="multilevel"/>
    <w:tmpl w:val="5998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E6914"/>
    <w:multiLevelType w:val="multilevel"/>
    <w:tmpl w:val="011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C3094"/>
    <w:multiLevelType w:val="multilevel"/>
    <w:tmpl w:val="AA7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9B4B22"/>
    <w:multiLevelType w:val="multilevel"/>
    <w:tmpl w:val="22EE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F38BF"/>
    <w:multiLevelType w:val="multilevel"/>
    <w:tmpl w:val="83C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C29EE"/>
    <w:multiLevelType w:val="multilevel"/>
    <w:tmpl w:val="8522E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6695E"/>
    <w:multiLevelType w:val="multilevel"/>
    <w:tmpl w:val="199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A4F2D"/>
    <w:multiLevelType w:val="multilevel"/>
    <w:tmpl w:val="602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21ACC"/>
    <w:multiLevelType w:val="multilevel"/>
    <w:tmpl w:val="642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96B94"/>
    <w:multiLevelType w:val="multilevel"/>
    <w:tmpl w:val="973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A1814"/>
    <w:multiLevelType w:val="multilevel"/>
    <w:tmpl w:val="D0D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B21F33"/>
    <w:multiLevelType w:val="multilevel"/>
    <w:tmpl w:val="436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02906"/>
    <w:multiLevelType w:val="multilevel"/>
    <w:tmpl w:val="FC2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85E7C"/>
    <w:multiLevelType w:val="multilevel"/>
    <w:tmpl w:val="78189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Semilight" w:eastAsiaTheme="minorHAnsi" w:hAnsi="Segoe UI Semilight" w:cs="Segoe UI Semiligh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55D46"/>
    <w:multiLevelType w:val="hybridMultilevel"/>
    <w:tmpl w:val="36A0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240D8"/>
    <w:multiLevelType w:val="multilevel"/>
    <w:tmpl w:val="DA96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27E5D"/>
    <w:multiLevelType w:val="multilevel"/>
    <w:tmpl w:val="0A7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E5747"/>
    <w:multiLevelType w:val="multilevel"/>
    <w:tmpl w:val="00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32FD0"/>
    <w:multiLevelType w:val="multilevel"/>
    <w:tmpl w:val="EAF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6B76FF"/>
    <w:multiLevelType w:val="multilevel"/>
    <w:tmpl w:val="E8DE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17582"/>
    <w:multiLevelType w:val="multilevel"/>
    <w:tmpl w:val="A99C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C77AD"/>
    <w:multiLevelType w:val="multilevel"/>
    <w:tmpl w:val="EEC0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E4507"/>
    <w:multiLevelType w:val="hybridMultilevel"/>
    <w:tmpl w:val="C77C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0E31E3"/>
    <w:multiLevelType w:val="hybridMultilevel"/>
    <w:tmpl w:val="5686C5B8"/>
    <w:lvl w:ilvl="0" w:tplc="003C73F0">
      <w:start w:val="2"/>
      <w:numFmt w:val="bullet"/>
      <w:lvlText w:val="-"/>
      <w:lvlJc w:val="left"/>
      <w:pPr>
        <w:ind w:left="1080" w:hanging="360"/>
      </w:pPr>
      <w:rPr>
        <w:rFonts w:ascii="Aptos" w:eastAsia="Times New Roman" w:hAnsi="Apto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42F3935"/>
    <w:multiLevelType w:val="multilevel"/>
    <w:tmpl w:val="CF20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74763"/>
    <w:multiLevelType w:val="hybridMultilevel"/>
    <w:tmpl w:val="A6C2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A1F7B"/>
    <w:multiLevelType w:val="hybridMultilevel"/>
    <w:tmpl w:val="4ACCFDD8"/>
    <w:lvl w:ilvl="0" w:tplc="F6F6D93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4E4892"/>
    <w:multiLevelType w:val="multilevel"/>
    <w:tmpl w:val="862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AE2638"/>
    <w:multiLevelType w:val="multilevel"/>
    <w:tmpl w:val="D38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C3806"/>
    <w:multiLevelType w:val="multilevel"/>
    <w:tmpl w:val="F4EC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E93F6F"/>
    <w:multiLevelType w:val="multilevel"/>
    <w:tmpl w:val="7D60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13A72"/>
    <w:multiLevelType w:val="hybridMultilevel"/>
    <w:tmpl w:val="4EF8F15E"/>
    <w:lvl w:ilvl="0" w:tplc="065AF646">
      <w:start w:val="1"/>
      <w:numFmt w:val="bullet"/>
      <w:pStyle w:val="ListTA"/>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A50F1C"/>
    <w:multiLevelType w:val="hybridMultilevel"/>
    <w:tmpl w:val="A98C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DE09BF"/>
    <w:multiLevelType w:val="hybridMultilevel"/>
    <w:tmpl w:val="283293A6"/>
    <w:lvl w:ilvl="0" w:tplc="779C2A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2514C3"/>
    <w:multiLevelType w:val="multilevel"/>
    <w:tmpl w:val="5492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95B32"/>
    <w:multiLevelType w:val="multilevel"/>
    <w:tmpl w:val="C126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747C7"/>
    <w:multiLevelType w:val="hybridMultilevel"/>
    <w:tmpl w:val="134C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2965095">
    <w:abstractNumId w:val="35"/>
  </w:num>
  <w:num w:numId="2" w16cid:durableId="1885409974">
    <w:abstractNumId w:val="40"/>
  </w:num>
  <w:num w:numId="3" w16cid:durableId="1825706150">
    <w:abstractNumId w:val="42"/>
  </w:num>
  <w:num w:numId="4" w16cid:durableId="203103878">
    <w:abstractNumId w:val="44"/>
  </w:num>
  <w:num w:numId="5" w16cid:durableId="957105182">
    <w:abstractNumId w:val="20"/>
  </w:num>
  <w:num w:numId="6" w16cid:durableId="1532841409">
    <w:abstractNumId w:val="0"/>
  </w:num>
  <w:num w:numId="7" w16cid:durableId="1195192677">
    <w:abstractNumId w:val="8"/>
  </w:num>
  <w:num w:numId="8" w16cid:durableId="1429615193">
    <w:abstractNumId w:val="10"/>
  </w:num>
  <w:num w:numId="9" w16cid:durableId="643121583">
    <w:abstractNumId w:val="25"/>
  </w:num>
  <w:num w:numId="10" w16cid:durableId="1944532569">
    <w:abstractNumId w:val="17"/>
  </w:num>
  <w:num w:numId="11" w16cid:durableId="754285475">
    <w:abstractNumId w:val="18"/>
  </w:num>
  <w:num w:numId="12" w16cid:durableId="654265212">
    <w:abstractNumId w:val="37"/>
  </w:num>
  <w:num w:numId="13" w16cid:durableId="773401279">
    <w:abstractNumId w:val="12"/>
  </w:num>
  <w:num w:numId="14" w16cid:durableId="503545310">
    <w:abstractNumId w:val="26"/>
  </w:num>
  <w:num w:numId="15" w16cid:durableId="472451925">
    <w:abstractNumId w:val="24"/>
  </w:num>
  <w:num w:numId="16" w16cid:durableId="753162338">
    <w:abstractNumId w:val="2"/>
  </w:num>
  <w:num w:numId="17" w16cid:durableId="1040544745">
    <w:abstractNumId w:val="43"/>
  </w:num>
  <w:num w:numId="18" w16cid:durableId="1675693492">
    <w:abstractNumId w:val="5"/>
  </w:num>
  <w:num w:numId="19" w16cid:durableId="943656936">
    <w:abstractNumId w:val="38"/>
  </w:num>
  <w:num w:numId="20" w16cid:durableId="141164688">
    <w:abstractNumId w:val="1"/>
  </w:num>
  <w:num w:numId="21" w16cid:durableId="473377083">
    <w:abstractNumId w:val="7"/>
  </w:num>
  <w:num w:numId="22" w16cid:durableId="910500335">
    <w:abstractNumId w:val="22"/>
  </w:num>
  <w:num w:numId="23" w16cid:durableId="751127993">
    <w:abstractNumId w:val="16"/>
  </w:num>
  <w:num w:numId="24" w16cid:durableId="139034014">
    <w:abstractNumId w:val="33"/>
  </w:num>
  <w:num w:numId="25" w16cid:durableId="389691968">
    <w:abstractNumId w:val="13"/>
  </w:num>
  <w:num w:numId="26" w16cid:durableId="356346300">
    <w:abstractNumId w:val="15"/>
  </w:num>
  <w:num w:numId="27" w16cid:durableId="431634991">
    <w:abstractNumId w:val="9"/>
  </w:num>
  <w:num w:numId="28" w16cid:durableId="1420902374">
    <w:abstractNumId w:val="21"/>
  </w:num>
  <w:num w:numId="29" w16cid:durableId="1693456745">
    <w:abstractNumId w:val="39"/>
  </w:num>
  <w:num w:numId="30" w16cid:durableId="72168579">
    <w:abstractNumId w:val="31"/>
  </w:num>
  <w:num w:numId="31" w16cid:durableId="1344938479">
    <w:abstractNumId w:val="3"/>
  </w:num>
  <w:num w:numId="32" w16cid:durableId="1267537790">
    <w:abstractNumId w:val="32"/>
  </w:num>
  <w:num w:numId="33" w16cid:durableId="1566379898">
    <w:abstractNumId w:val="45"/>
  </w:num>
  <w:num w:numId="34" w16cid:durableId="255017583">
    <w:abstractNumId w:val="41"/>
  </w:num>
  <w:num w:numId="35" w16cid:durableId="889878213">
    <w:abstractNumId w:val="23"/>
  </w:num>
  <w:num w:numId="36" w16cid:durableId="643197979">
    <w:abstractNumId w:val="4"/>
  </w:num>
  <w:num w:numId="37" w16cid:durableId="248853000">
    <w:abstractNumId w:val="6"/>
  </w:num>
  <w:num w:numId="38" w16cid:durableId="1880239699">
    <w:abstractNumId w:val="14"/>
  </w:num>
  <w:num w:numId="39" w16cid:durableId="554588808">
    <w:abstractNumId w:val="29"/>
  </w:num>
  <w:num w:numId="40" w16cid:durableId="948586689">
    <w:abstractNumId w:val="30"/>
  </w:num>
  <w:num w:numId="41" w16cid:durableId="39256968">
    <w:abstractNumId w:val="28"/>
  </w:num>
  <w:num w:numId="42" w16cid:durableId="2056463349">
    <w:abstractNumId w:val="27"/>
  </w:num>
  <w:num w:numId="43" w16cid:durableId="433131868">
    <w:abstractNumId w:val="11"/>
  </w:num>
  <w:num w:numId="44" w16cid:durableId="1216089924">
    <w:abstractNumId w:val="19"/>
  </w:num>
  <w:num w:numId="45" w16cid:durableId="451363107">
    <w:abstractNumId w:val="36"/>
  </w:num>
  <w:num w:numId="46" w16cid:durableId="635259170">
    <w:abstractNumId w:val="34"/>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Schraepfer">
    <w15:presenceInfo w15:providerId="AD" w15:userId="S::michael.schraepfer@essendis.com::6dd37a7c-2295-4af3-9f08-8474a0eac8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embedSystemFonts/>
  <w:saveSubsetFonts/>
  <w:trackRevisions/>
  <w:defaultTabStop w:val="720"/>
  <w:drawingGridHorizontalSpacing w:val="1440"/>
  <w:drawingGridVerticalSpacing w:val="1440"/>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A7"/>
    <w:rsid w:val="00000409"/>
    <w:rsid w:val="000017CF"/>
    <w:rsid w:val="00006503"/>
    <w:rsid w:val="000068A3"/>
    <w:rsid w:val="00007BDF"/>
    <w:rsid w:val="00007DD0"/>
    <w:rsid w:val="000100D1"/>
    <w:rsid w:val="0001046E"/>
    <w:rsid w:val="000126DD"/>
    <w:rsid w:val="00012A03"/>
    <w:rsid w:val="00013ED0"/>
    <w:rsid w:val="00014EC9"/>
    <w:rsid w:val="00015007"/>
    <w:rsid w:val="00017260"/>
    <w:rsid w:val="000179E0"/>
    <w:rsid w:val="00017D07"/>
    <w:rsid w:val="00020DB7"/>
    <w:rsid w:val="000212D2"/>
    <w:rsid w:val="00031271"/>
    <w:rsid w:val="00031923"/>
    <w:rsid w:val="00032EA8"/>
    <w:rsid w:val="00032FE2"/>
    <w:rsid w:val="00034F5B"/>
    <w:rsid w:val="000368E5"/>
    <w:rsid w:val="00036F41"/>
    <w:rsid w:val="000372D0"/>
    <w:rsid w:val="00037C11"/>
    <w:rsid w:val="00037F7E"/>
    <w:rsid w:val="0004033F"/>
    <w:rsid w:val="0004046D"/>
    <w:rsid w:val="00042630"/>
    <w:rsid w:val="00042DF9"/>
    <w:rsid w:val="00045593"/>
    <w:rsid w:val="00045738"/>
    <w:rsid w:val="00046855"/>
    <w:rsid w:val="0004729A"/>
    <w:rsid w:val="000475E6"/>
    <w:rsid w:val="00047E19"/>
    <w:rsid w:val="00050B40"/>
    <w:rsid w:val="00052975"/>
    <w:rsid w:val="00054C0C"/>
    <w:rsid w:val="0005605D"/>
    <w:rsid w:val="000579FF"/>
    <w:rsid w:val="0006158D"/>
    <w:rsid w:val="0006213B"/>
    <w:rsid w:val="00063663"/>
    <w:rsid w:val="00065932"/>
    <w:rsid w:val="00066BAC"/>
    <w:rsid w:val="00067425"/>
    <w:rsid w:val="0007063C"/>
    <w:rsid w:val="00071E49"/>
    <w:rsid w:val="00072604"/>
    <w:rsid w:val="00075587"/>
    <w:rsid w:val="000769E8"/>
    <w:rsid w:val="000774BE"/>
    <w:rsid w:val="000775CD"/>
    <w:rsid w:val="00081FB0"/>
    <w:rsid w:val="000845B5"/>
    <w:rsid w:val="00084AAC"/>
    <w:rsid w:val="00085D67"/>
    <w:rsid w:val="00086220"/>
    <w:rsid w:val="000865AF"/>
    <w:rsid w:val="0008750A"/>
    <w:rsid w:val="00095223"/>
    <w:rsid w:val="000958CE"/>
    <w:rsid w:val="00095F84"/>
    <w:rsid w:val="000A07E5"/>
    <w:rsid w:val="000A2333"/>
    <w:rsid w:val="000A28B8"/>
    <w:rsid w:val="000A393C"/>
    <w:rsid w:val="000A3EB7"/>
    <w:rsid w:val="000A4D96"/>
    <w:rsid w:val="000A5A7B"/>
    <w:rsid w:val="000A738D"/>
    <w:rsid w:val="000B1C74"/>
    <w:rsid w:val="000B3869"/>
    <w:rsid w:val="000B70FF"/>
    <w:rsid w:val="000C029A"/>
    <w:rsid w:val="000C02B5"/>
    <w:rsid w:val="000C1DC0"/>
    <w:rsid w:val="000C1F0B"/>
    <w:rsid w:val="000C3E75"/>
    <w:rsid w:val="000C790C"/>
    <w:rsid w:val="000D0C7B"/>
    <w:rsid w:val="000D25F2"/>
    <w:rsid w:val="000D319C"/>
    <w:rsid w:val="000D38D9"/>
    <w:rsid w:val="000D4D92"/>
    <w:rsid w:val="000D6B9F"/>
    <w:rsid w:val="000D6DE8"/>
    <w:rsid w:val="000D78FB"/>
    <w:rsid w:val="000E14F8"/>
    <w:rsid w:val="000E22A7"/>
    <w:rsid w:val="000E246C"/>
    <w:rsid w:val="000E39E0"/>
    <w:rsid w:val="000E6D1D"/>
    <w:rsid w:val="000E7118"/>
    <w:rsid w:val="000E7D41"/>
    <w:rsid w:val="000E7EA0"/>
    <w:rsid w:val="000F1C4C"/>
    <w:rsid w:val="000F2148"/>
    <w:rsid w:val="000F3758"/>
    <w:rsid w:val="000F3962"/>
    <w:rsid w:val="000F3BA2"/>
    <w:rsid w:val="000F4D17"/>
    <w:rsid w:val="000F59F4"/>
    <w:rsid w:val="000F5C2C"/>
    <w:rsid w:val="000F74AD"/>
    <w:rsid w:val="001038E1"/>
    <w:rsid w:val="0010555E"/>
    <w:rsid w:val="00106092"/>
    <w:rsid w:val="00107722"/>
    <w:rsid w:val="00111AF2"/>
    <w:rsid w:val="0011246A"/>
    <w:rsid w:val="00116623"/>
    <w:rsid w:val="0012093B"/>
    <w:rsid w:val="0012102D"/>
    <w:rsid w:val="001212B0"/>
    <w:rsid w:val="0012179F"/>
    <w:rsid w:val="00122120"/>
    <w:rsid w:val="00126C67"/>
    <w:rsid w:val="00130765"/>
    <w:rsid w:val="001348B9"/>
    <w:rsid w:val="00134B11"/>
    <w:rsid w:val="00136634"/>
    <w:rsid w:val="00136AF3"/>
    <w:rsid w:val="00141BC3"/>
    <w:rsid w:val="00143FAE"/>
    <w:rsid w:val="001464A3"/>
    <w:rsid w:val="00146C54"/>
    <w:rsid w:val="00147A54"/>
    <w:rsid w:val="001504A4"/>
    <w:rsid w:val="00154E6B"/>
    <w:rsid w:val="0015501C"/>
    <w:rsid w:val="0015573E"/>
    <w:rsid w:val="00156248"/>
    <w:rsid w:val="0016022B"/>
    <w:rsid w:val="001615E7"/>
    <w:rsid w:val="00162C90"/>
    <w:rsid w:val="001666C2"/>
    <w:rsid w:val="00167339"/>
    <w:rsid w:val="00167547"/>
    <w:rsid w:val="001724CF"/>
    <w:rsid w:val="00173399"/>
    <w:rsid w:val="001738B6"/>
    <w:rsid w:val="00173C02"/>
    <w:rsid w:val="001742BC"/>
    <w:rsid w:val="00174785"/>
    <w:rsid w:val="00174935"/>
    <w:rsid w:val="00175039"/>
    <w:rsid w:val="001773C5"/>
    <w:rsid w:val="00177617"/>
    <w:rsid w:val="00180A34"/>
    <w:rsid w:val="00182795"/>
    <w:rsid w:val="00182848"/>
    <w:rsid w:val="001856F9"/>
    <w:rsid w:val="00191D0B"/>
    <w:rsid w:val="0019477C"/>
    <w:rsid w:val="00197132"/>
    <w:rsid w:val="00197E5E"/>
    <w:rsid w:val="001A029A"/>
    <w:rsid w:val="001A029E"/>
    <w:rsid w:val="001A0580"/>
    <w:rsid w:val="001A19A4"/>
    <w:rsid w:val="001A3ABB"/>
    <w:rsid w:val="001A51A0"/>
    <w:rsid w:val="001A6825"/>
    <w:rsid w:val="001A6E85"/>
    <w:rsid w:val="001B0011"/>
    <w:rsid w:val="001B10DF"/>
    <w:rsid w:val="001B145A"/>
    <w:rsid w:val="001B3B9E"/>
    <w:rsid w:val="001B4954"/>
    <w:rsid w:val="001B51B5"/>
    <w:rsid w:val="001B66A7"/>
    <w:rsid w:val="001B68FE"/>
    <w:rsid w:val="001B7464"/>
    <w:rsid w:val="001C12FA"/>
    <w:rsid w:val="001C159D"/>
    <w:rsid w:val="001C1A22"/>
    <w:rsid w:val="001C1DD4"/>
    <w:rsid w:val="001C2C47"/>
    <w:rsid w:val="001C71B4"/>
    <w:rsid w:val="001C7DCD"/>
    <w:rsid w:val="001D0590"/>
    <w:rsid w:val="001D1131"/>
    <w:rsid w:val="001D20FF"/>
    <w:rsid w:val="001D3B29"/>
    <w:rsid w:val="001D6AFA"/>
    <w:rsid w:val="001D7C06"/>
    <w:rsid w:val="001E09B2"/>
    <w:rsid w:val="001E2E3D"/>
    <w:rsid w:val="001E4357"/>
    <w:rsid w:val="001E591B"/>
    <w:rsid w:val="001E5D02"/>
    <w:rsid w:val="001E7B20"/>
    <w:rsid w:val="001F095A"/>
    <w:rsid w:val="001F1E14"/>
    <w:rsid w:val="001F62AE"/>
    <w:rsid w:val="001F68D4"/>
    <w:rsid w:val="001F759F"/>
    <w:rsid w:val="00201275"/>
    <w:rsid w:val="00202934"/>
    <w:rsid w:val="00203092"/>
    <w:rsid w:val="002047D0"/>
    <w:rsid w:val="0020591D"/>
    <w:rsid w:val="00207175"/>
    <w:rsid w:val="0021094F"/>
    <w:rsid w:val="00210D4E"/>
    <w:rsid w:val="002118BC"/>
    <w:rsid w:val="00212317"/>
    <w:rsid w:val="002132E9"/>
    <w:rsid w:val="00213BBD"/>
    <w:rsid w:val="00214B02"/>
    <w:rsid w:val="00217374"/>
    <w:rsid w:val="002175FD"/>
    <w:rsid w:val="0023214B"/>
    <w:rsid w:val="00232AE0"/>
    <w:rsid w:val="00236642"/>
    <w:rsid w:val="002366BD"/>
    <w:rsid w:val="00237A71"/>
    <w:rsid w:val="00243DF5"/>
    <w:rsid w:val="00244169"/>
    <w:rsid w:val="00244957"/>
    <w:rsid w:val="00244A73"/>
    <w:rsid w:val="00245B52"/>
    <w:rsid w:val="00246051"/>
    <w:rsid w:val="00246718"/>
    <w:rsid w:val="002508DC"/>
    <w:rsid w:val="0025301E"/>
    <w:rsid w:val="00254750"/>
    <w:rsid w:val="00254A8A"/>
    <w:rsid w:val="002552BE"/>
    <w:rsid w:val="00255BF6"/>
    <w:rsid w:val="00256997"/>
    <w:rsid w:val="0026095A"/>
    <w:rsid w:val="00262515"/>
    <w:rsid w:val="00262D0D"/>
    <w:rsid w:val="0026481C"/>
    <w:rsid w:val="0026531A"/>
    <w:rsid w:val="002667C6"/>
    <w:rsid w:val="0027049A"/>
    <w:rsid w:val="002727D0"/>
    <w:rsid w:val="002736B3"/>
    <w:rsid w:val="00275002"/>
    <w:rsid w:val="00275BF4"/>
    <w:rsid w:val="00277EE6"/>
    <w:rsid w:val="00281B77"/>
    <w:rsid w:val="00282331"/>
    <w:rsid w:val="00287A19"/>
    <w:rsid w:val="002901B6"/>
    <w:rsid w:val="00290D6E"/>
    <w:rsid w:val="00294757"/>
    <w:rsid w:val="00294B4B"/>
    <w:rsid w:val="00295BA3"/>
    <w:rsid w:val="002969EC"/>
    <w:rsid w:val="002A0FCE"/>
    <w:rsid w:val="002A19DA"/>
    <w:rsid w:val="002A1C84"/>
    <w:rsid w:val="002A2A4F"/>
    <w:rsid w:val="002A4FDE"/>
    <w:rsid w:val="002A5165"/>
    <w:rsid w:val="002A575F"/>
    <w:rsid w:val="002A5A46"/>
    <w:rsid w:val="002A65C9"/>
    <w:rsid w:val="002A77C0"/>
    <w:rsid w:val="002B0C58"/>
    <w:rsid w:val="002B167D"/>
    <w:rsid w:val="002B2336"/>
    <w:rsid w:val="002B37FC"/>
    <w:rsid w:val="002B6DE8"/>
    <w:rsid w:val="002B742B"/>
    <w:rsid w:val="002C05DF"/>
    <w:rsid w:val="002C07B2"/>
    <w:rsid w:val="002C12E9"/>
    <w:rsid w:val="002C178D"/>
    <w:rsid w:val="002C2949"/>
    <w:rsid w:val="002C2CFB"/>
    <w:rsid w:val="002C4185"/>
    <w:rsid w:val="002C438C"/>
    <w:rsid w:val="002C5190"/>
    <w:rsid w:val="002C7A48"/>
    <w:rsid w:val="002D3B25"/>
    <w:rsid w:val="002D479F"/>
    <w:rsid w:val="002D4895"/>
    <w:rsid w:val="002D4C32"/>
    <w:rsid w:val="002D4CA1"/>
    <w:rsid w:val="002D504A"/>
    <w:rsid w:val="002D51DF"/>
    <w:rsid w:val="002D57EE"/>
    <w:rsid w:val="002E0569"/>
    <w:rsid w:val="002E0EB1"/>
    <w:rsid w:val="002E11C2"/>
    <w:rsid w:val="002E21EA"/>
    <w:rsid w:val="002E538F"/>
    <w:rsid w:val="002E5C02"/>
    <w:rsid w:val="002E650B"/>
    <w:rsid w:val="002E77C0"/>
    <w:rsid w:val="002F1258"/>
    <w:rsid w:val="002F2737"/>
    <w:rsid w:val="002F350E"/>
    <w:rsid w:val="002F3550"/>
    <w:rsid w:val="002F3929"/>
    <w:rsid w:val="002F3A2C"/>
    <w:rsid w:val="002F43E4"/>
    <w:rsid w:val="002F63D3"/>
    <w:rsid w:val="003011D9"/>
    <w:rsid w:val="0030125E"/>
    <w:rsid w:val="003030FB"/>
    <w:rsid w:val="003038A8"/>
    <w:rsid w:val="00304185"/>
    <w:rsid w:val="003043CC"/>
    <w:rsid w:val="003055CE"/>
    <w:rsid w:val="003071EE"/>
    <w:rsid w:val="00307D41"/>
    <w:rsid w:val="0031099C"/>
    <w:rsid w:val="00313BB2"/>
    <w:rsid w:val="00315FEE"/>
    <w:rsid w:val="00317062"/>
    <w:rsid w:val="0031752D"/>
    <w:rsid w:val="003218BC"/>
    <w:rsid w:val="00322D75"/>
    <w:rsid w:val="003241C9"/>
    <w:rsid w:val="003252BA"/>
    <w:rsid w:val="00327F1E"/>
    <w:rsid w:val="0033224C"/>
    <w:rsid w:val="00332D4C"/>
    <w:rsid w:val="00333157"/>
    <w:rsid w:val="00333CEC"/>
    <w:rsid w:val="0033422D"/>
    <w:rsid w:val="00334404"/>
    <w:rsid w:val="0033524D"/>
    <w:rsid w:val="003355AA"/>
    <w:rsid w:val="00335697"/>
    <w:rsid w:val="0034502B"/>
    <w:rsid w:val="003513EF"/>
    <w:rsid w:val="00352449"/>
    <w:rsid w:val="0035293B"/>
    <w:rsid w:val="0035460C"/>
    <w:rsid w:val="00354B1A"/>
    <w:rsid w:val="0035605F"/>
    <w:rsid w:val="00360470"/>
    <w:rsid w:val="00361D2F"/>
    <w:rsid w:val="003620FE"/>
    <w:rsid w:val="003631D8"/>
    <w:rsid w:val="00363715"/>
    <w:rsid w:val="0036375C"/>
    <w:rsid w:val="0036471E"/>
    <w:rsid w:val="0036612C"/>
    <w:rsid w:val="00367AC2"/>
    <w:rsid w:val="00372829"/>
    <w:rsid w:val="00372F76"/>
    <w:rsid w:val="003774FB"/>
    <w:rsid w:val="00377804"/>
    <w:rsid w:val="00377AD4"/>
    <w:rsid w:val="00377FA9"/>
    <w:rsid w:val="00381651"/>
    <w:rsid w:val="0038439E"/>
    <w:rsid w:val="003843F5"/>
    <w:rsid w:val="00384608"/>
    <w:rsid w:val="00386CF9"/>
    <w:rsid w:val="003906FA"/>
    <w:rsid w:val="00392ABE"/>
    <w:rsid w:val="00392F37"/>
    <w:rsid w:val="00393BC0"/>
    <w:rsid w:val="0039452D"/>
    <w:rsid w:val="00397BA2"/>
    <w:rsid w:val="003A16F2"/>
    <w:rsid w:val="003A17C9"/>
    <w:rsid w:val="003A19E8"/>
    <w:rsid w:val="003A385B"/>
    <w:rsid w:val="003A58D9"/>
    <w:rsid w:val="003A6457"/>
    <w:rsid w:val="003B03EC"/>
    <w:rsid w:val="003B09B2"/>
    <w:rsid w:val="003B1C6A"/>
    <w:rsid w:val="003B206D"/>
    <w:rsid w:val="003B2227"/>
    <w:rsid w:val="003B2E40"/>
    <w:rsid w:val="003B3023"/>
    <w:rsid w:val="003B3639"/>
    <w:rsid w:val="003B3D49"/>
    <w:rsid w:val="003C36B1"/>
    <w:rsid w:val="003C4445"/>
    <w:rsid w:val="003D16A7"/>
    <w:rsid w:val="003D24F7"/>
    <w:rsid w:val="003D4F6B"/>
    <w:rsid w:val="003D5148"/>
    <w:rsid w:val="003D53F5"/>
    <w:rsid w:val="003D7934"/>
    <w:rsid w:val="003E1F69"/>
    <w:rsid w:val="003E21FC"/>
    <w:rsid w:val="003E2FD8"/>
    <w:rsid w:val="003E34CE"/>
    <w:rsid w:val="003E52FE"/>
    <w:rsid w:val="003E5329"/>
    <w:rsid w:val="003E5C8C"/>
    <w:rsid w:val="003E6866"/>
    <w:rsid w:val="003E7672"/>
    <w:rsid w:val="003E7821"/>
    <w:rsid w:val="003F0A74"/>
    <w:rsid w:val="003F0F24"/>
    <w:rsid w:val="003F3171"/>
    <w:rsid w:val="003F4A6B"/>
    <w:rsid w:val="003F563D"/>
    <w:rsid w:val="003F675C"/>
    <w:rsid w:val="003F7340"/>
    <w:rsid w:val="00402468"/>
    <w:rsid w:val="00402DCC"/>
    <w:rsid w:val="00402F0E"/>
    <w:rsid w:val="004035C8"/>
    <w:rsid w:val="0040375F"/>
    <w:rsid w:val="004051EA"/>
    <w:rsid w:val="00407E05"/>
    <w:rsid w:val="00410F61"/>
    <w:rsid w:val="00410FA0"/>
    <w:rsid w:val="00411176"/>
    <w:rsid w:val="00413700"/>
    <w:rsid w:val="004138EF"/>
    <w:rsid w:val="00413C32"/>
    <w:rsid w:val="004168CE"/>
    <w:rsid w:val="00416AA1"/>
    <w:rsid w:val="004207E7"/>
    <w:rsid w:val="00422090"/>
    <w:rsid w:val="00424DC6"/>
    <w:rsid w:val="00426B29"/>
    <w:rsid w:val="00430088"/>
    <w:rsid w:val="00430DCA"/>
    <w:rsid w:val="00431595"/>
    <w:rsid w:val="00431FE6"/>
    <w:rsid w:val="004320EF"/>
    <w:rsid w:val="004371CB"/>
    <w:rsid w:val="004374E4"/>
    <w:rsid w:val="00437638"/>
    <w:rsid w:val="00440657"/>
    <w:rsid w:val="00441E8D"/>
    <w:rsid w:val="00443C8C"/>
    <w:rsid w:val="00446ED9"/>
    <w:rsid w:val="004479AB"/>
    <w:rsid w:val="00453CBB"/>
    <w:rsid w:val="004540FF"/>
    <w:rsid w:val="004541A4"/>
    <w:rsid w:val="00455997"/>
    <w:rsid w:val="00455AF1"/>
    <w:rsid w:val="0045603A"/>
    <w:rsid w:val="00456A7A"/>
    <w:rsid w:val="00461067"/>
    <w:rsid w:val="004631EB"/>
    <w:rsid w:val="004660A6"/>
    <w:rsid w:val="00471213"/>
    <w:rsid w:val="00473267"/>
    <w:rsid w:val="0047331A"/>
    <w:rsid w:val="00475311"/>
    <w:rsid w:val="00475634"/>
    <w:rsid w:val="004768A6"/>
    <w:rsid w:val="004815D0"/>
    <w:rsid w:val="00482AC3"/>
    <w:rsid w:val="00484A13"/>
    <w:rsid w:val="0048658A"/>
    <w:rsid w:val="00487789"/>
    <w:rsid w:val="00491A2B"/>
    <w:rsid w:val="004928DB"/>
    <w:rsid w:val="00492FC4"/>
    <w:rsid w:val="00493C77"/>
    <w:rsid w:val="0049471E"/>
    <w:rsid w:val="004953B3"/>
    <w:rsid w:val="00497E9B"/>
    <w:rsid w:val="004A0FF7"/>
    <w:rsid w:val="004A28FA"/>
    <w:rsid w:val="004A2AEA"/>
    <w:rsid w:val="004A4E3D"/>
    <w:rsid w:val="004A4EE8"/>
    <w:rsid w:val="004A5234"/>
    <w:rsid w:val="004A54F4"/>
    <w:rsid w:val="004B0877"/>
    <w:rsid w:val="004B2231"/>
    <w:rsid w:val="004B3882"/>
    <w:rsid w:val="004B50EC"/>
    <w:rsid w:val="004B50FA"/>
    <w:rsid w:val="004B572E"/>
    <w:rsid w:val="004B7521"/>
    <w:rsid w:val="004C12CA"/>
    <w:rsid w:val="004C1E70"/>
    <w:rsid w:val="004C33CD"/>
    <w:rsid w:val="004C5BBD"/>
    <w:rsid w:val="004D0AB4"/>
    <w:rsid w:val="004D2DA7"/>
    <w:rsid w:val="004D2F29"/>
    <w:rsid w:val="004D3E9D"/>
    <w:rsid w:val="004D44CB"/>
    <w:rsid w:val="004D4A87"/>
    <w:rsid w:val="004D6CEF"/>
    <w:rsid w:val="004E0CB0"/>
    <w:rsid w:val="004E4235"/>
    <w:rsid w:val="004E42C5"/>
    <w:rsid w:val="004E4679"/>
    <w:rsid w:val="004E700F"/>
    <w:rsid w:val="004E7AB5"/>
    <w:rsid w:val="004E7B73"/>
    <w:rsid w:val="004E7C61"/>
    <w:rsid w:val="004F0C30"/>
    <w:rsid w:val="004F1EBB"/>
    <w:rsid w:val="004F242B"/>
    <w:rsid w:val="004F3A64"/>
    <w:rsid w:val="004F78DF"/>
    <w:rsid w:val="00500183"/>
    <w:rsid w:val="00500C2A"/>
    <w:rsid w:val="005015E0"/>
    <w:rsid w:val="005053FB"/>
    <w:rsid w:val="00505C6C"/>
    <w:rsid w:val="005066D6"/>
    <w:rsid w:val="0050743C"/>
    <w:rsid w:val="005077A0"/>
    <w:rsid w:val="0050793F"/>
    <w:rsid w:val="005079DF"/>
    <w:rsid w:val="00510260"/>
    <w:rsid w:val="00511346"/>
    <w:rsid w:val="0051357E"/>
    <w:rsid w:val="00513808"/>
    <w:rsid w:val="005155C6"/>
    <w:rsid w:val="00521C0D"/>
    <w:rsid w:val="00521DDE"/>
    <w:rsid w:val="00530ADE"/>
    <w:rsid w:val="00531512"/>
    <w:rsid w:val="00533208"/>
    <w:rsid w:val="005339AD"/>
    <w:rsid w:val="00534446"/>
    <w:rsid w:val="005346E2"/>
    <w:rsid w:val="005348CA"/>
    <w:rsid w:val="00534B38"/>
    <w:rsid w:val="00534E84"/>
    <w:rsid w:val="00535F58"/>
    <w:rsid w:val="00535FD8"/>
    <w:rsid w:val="005411FB"/>
    <w:rsid w:val="00542019"/>
    <w:rsid w:val="00543025"/>
    <w:rsid w:val="005444A8"/>
    <w:rsid w:val="005453A4"/>
    <w:rsid w:val="00545DEB"/>
    <w:rsid w:val="00547A9D"/>
    <w:rsid w:val="00553B26"/>
    <w:rsid w:val="00553FDF"/>
    <w:rsid w:val="005551E2"/>
    <w:rsid w:val="00555B91"/>
    <w:rsid w:val="00555C01"/>
    <w:rsid w:val="00556268"/>
    <w:rsid w:val="005566DA"/>
    <w:rsid w:val="00557053"/>
    <w:rsid w:val="0055728F"/>
    <w:rsid w:val="00557554"/>
    <w:rsid w:val="00557F19"/>
    <w:rsid w:val="005601FD"/>
    <w:rsid w:val="00560651"/>
    <w:rsid w:val="00560C05"/>
    <w:rsid w:val="00561796"/>
    <w:rsid w:val="00562348"/>
    <w:rsid w:val="00563E44"/>
    <w:rsid w:val="0056751C"/>
    <w:rsid w:val="00570231"/>
    <w:rsid w:val="0057116D"/>
    <w:rsid w:val="0057153D"/>
    <w:rsid w:val="00571F85"/>
    <w:rsid w:val="00574443"/>
    <w:rsid w:val="00574A1C"/>
    <w:rsid w:val="00575B52"/>
    <w:rsid w:val="005761E2"/>
    <w:rsid w:val="00577E8C"/>
    <w:rsid w:val="005801DE"/>
    <w:rsid w:val="00580733"/>
    <w:rsid w:val="005810C8"/>
    <w:rsid w:val="0058211E"/>
    <w:rsid w:val="00582AF9"/>
    <w:rsid w:val="0058333F"/>
    <w:rsid w:val="00583400"/>
    <w:rsid w:val="00585808"/>
    <w:rsid w:val="00590724"/>
    <w:rsid w:val="0059132D"/>
    <w:rsid w:val="00592D96"/>
    <w:rsid w:val="005947B1"/>
    <w:rsid w:val="005A05E0"/>
    <w:rsid w:val="005A1722"/>
    <w:rsid w:val="005A181A"/>
    <w:rsid w:val="005A1E06"/>
    <w:rsid w:val="005A2242"/>
    <w:rsid w:val="005A22AA"/>
    <w:rsid w:val="005A4BFF"/>
    <w:rsid w:val="005A68ED"/>
    <w:rsid w:val="005A78E2"/>
    <w:rsid w:val="005B116F"/>
    <w:rsid w:val="005B5884"/>
    <w:rsid w:val="005C0101"/>
    <w:rsid w:val="005C0D8B"/>
    <w:rsid w:val="005C445A"/>
    <w:rsid w:val="005C5864"/>
    <w:rsid w:val="005C6947"/>
    <w:rsid w:val="005D007C"/>
    <w:rsid w:val="005D0B4A"/>
    <w:rsid w:val="005D2879"/>
    <w:rsid w:val="005D6E68"/>
    <w:rsid w:val="005D7728"/>
    <w:rsid w:val="005D7784"/>
    <w:rsid w:val="005E09F2"/>
    <w:rsid w:val="005E56D5"/>
    <w:rsid w:val="005E64E3"/>
    <w:rsid w:val="005F309C"/>
    <w:rsid w:val="005F431E"/>
    <w:rsid w:val="005F4BD0"/>
    <w:rsid w:val="005F4C79"/>
    <w:rsid w:val="005F4F31"/>
    <w:rsid w:val="005F51BB"/>
    <w:rsid w:val="005F570C"/>
    <w:rsid w:val="005F6066"/>
    <w:rsid w:val="005F7C03"/>
    <w:rsid w:val="00601B2B"/>
    <w:rsid w:val="006046E9"/>
    <w:rsid w:val="00604E93"/>
    <w:rsid w:val="006053A7"/>
    <w:rsid w:val="006057D6"/>
    <w:rsid w:val="00605D84"/>
    <w:rsid w:val="00606487"/>
    <w:rsid w:val="00607B7F"/>
    <w:rsid w:val="0061009D"/>
    <w:rsid w:val="00610CF6"/>
    <w:rsid w:val="00611272"/>
    <w:rsid w:val="0061545E"/>
    <w:rsid w:val="006164CF"/>
    <w:rsid w:val="00617E85"/>
    <w:rsid w:val="006209CA"/>
    <w:rsid w:val="00620DD8"/>
    <w:rsid w:val="006217E7"/>
    <w:rsid w:val="00625055"/>
    <w:rsid w:val="00625CA5"/>
    <w:rsid w:val="006264F9"/>
    <w:rsid w:val="00627D35"/>
    <w:rsid w:val="00630C06"/>
    <w:rsid w:val="006311D1"/>
    <w:rsid w:val="006335E8"/>
    <w:rsid w:val="00635CC4"/>
    <w:rsid w:val="0063619B"/>
    <w:rsid w:val="00636CA9"/>
    <w:rsid w:val="00637A47"/>
    <w:rsid w:val="00641C28"/>
    <w:rsid w:val="006429D7"/>
    <w:rsid w:val="00643407"/>
    <w:rsid w:val="00643C85"/>
    <w:rsid w:val="00643DD3"/>
    <w:rsid w:val="00644A8A"/>
    <w:rsid w:val="00644CAC"/>
    <w:rsid w:val="006450A8"/>
    <w:rsid w:val="00646739"/>
    <w:rsid w:val="00646948"/>
    <w:rsid w:val="006477F5"/>
    <w:rsid w:val="00650870"/>
    <w:rsid w:val="00652494"/>
    <w:rsid w:val="00653226"/>
    <w:rsid w:val="006543CB"/>
    <w:rsid w:val="0065444F"/>
    <w:rsid w:val="00654749"/>
    <w:rsid w:val="0065630F"/>
    <w:rsid w:val="00660594"/>
    <w:rsid w:val="00660D2D"/>
    <w:rsid w:val="00662555"/>
    <w:rsid w:val="00663790"/>
    <w:rsid w:val="0066389C"/>
    <w:rsid w:val="00663F9A"/>
    <w:rsid w:val="0066467D"/>
    <w:rsid w:val="00664A74"/>
    <w:rsid w:val="00666CE9"/>
    <w:rsid w:val="00667323"/>
    <w:rsid w:val="00670108"/>
    <w:rsid w:val="00670EC3"/>
    <w:rsid w:val="0067317C"/>
    <w:rsid w:val="00673533"/>
    <w:rsid w:val="00673771"/>
    <w:rsid w:val="00674C14"/>
    <w:rsid w:val="00680CE9"/>
    <w:rsid w:val="006816C4"/>
    <w:rsid w:val="006818F0"/>
    <w:rsid w:val="00681C75"/>
    <w:rsid w:val="00682035"/>
    <w:rsid w:val="00683950"/>
    <w:rsid w:val="00685B02"/>
    <w:rsid w:val="00691B6A"/>
    <w:rsid w:val="00691D3E"/>
    <w:rsid w:val="0069236E"/>
    <w:rsid w:val="00692C34"/>
    <w:rsid w:val="00693778"/>
    <w:rsid w:val="006959AE"/>
    <w:rsid w:val="00696EE7"/>
    <w:rsid w:val="006A150D"/>
    <w:rsid w:val="006A16D9"/>
    <w:rsid w:val="006A2E70"/>
    <w:rsid w:val="006A3584"/>
    <w:rsid w:val="006A4476"/>
    <w:rsid w:val="006A51C8"/>
    <w:rsid w:val="006A5623"/>
    <w:rsid w:val="006A5E95"/>
    <w:rsid w:val="006B0D4F"/>
    <w:rsid w:val="006B2096"/>
    <w:rsid w:val="006B3269"/>
    <w:rsid w:val="006B35A6"/>
    <w:rsid w:val="006B3F06"/>
    <w:rsid w:val="006B438F"/>
    <w:rsid w:val="006B461C"/>
    <w:rsid w:val="006B59F7"/>
    <w:rsid w:val="006B6BEF"/>
    <w:rsid w:val="006C1D69"/>
    <w:rsid w:val="006C1E3A"/>
    <w:rsid w:val="006C3DB3"/>
    <w:rsid w:val="006C5A47"/>
    <w:rsid w:val="006C5D31"/>
    <w:rsid w:val="006C689E"/>
    <w:rsid w:val="006D0BAD"/>
    <w:rsid w:val="006D112F"/>
    <w:rsid w:val="006D23F8"/>
    <w:rsid w:val="006D2424"/>
    <w:rsid w:val="006D281B"/>
    <w:rsid w:val="006D3117"/>
    <w:rsid w:val="006D687E"/>
    <w:rsid w:val="006D74BD"/>
    <w:rsid w:val="006E031C"/>
    <w:rsid w:val="006E1078"/>
    <w:rsid w:val="006E28DF"/>
    <w:rsid w:val="006E31CA"/>
    <w:rsid w:val="006E3D31"/>
    <w:rsid w:val="006E4E43"/>
    <w:rsid w:val="006E59E7"/>
    <w:rsid w:val="006E73A3"/>
    <w:rsid w:val="006F258A"/>
    <w:rsid w:val="006F267C"/>
    <w:rsid w:val="006F374F"/>
    <w:rsid w:val="006F40C3"/>
    <w:rsid w:val="006F524C"/>
    <w:rsid w:val="006F5BB3"/>
    <w:rsid w:val="006F5BBC"/>
    <w:rsid w:val="0070027B"/>
    <w:rsid w:val="007011A0"/>
    <w:rsid w:val="007019BE"/>
    <w:rsid w:val="007023B7"/>
    <w:rsid w:val="00702971"/>
    <w:rsid w:val="007036AB"/>
    <w:rsid w:val="00703A2F"/>
    <w:rsid w:val="00703F99"/>
    <w:rsid w:val="007066FA"/>
    <w:rsid w:val="00707319"/>
    <w:rsid w:val="00707D8D"/>
    <w:rsid w:val="0071016E"/>
    <w:rsid w:val="00710490"/>
    <w:rsid w:val="00710C93"/>
    <w:rsid w:val="007111C0"/>
    <w:rsid w:val="00712035"/>
    <w:rsid w:val="0071236A"/>
    <w:rsid w:val="00712AD0"/>
    <w:rsid w:val="00720F04"/>
    <w:rsid w:val="007231E0"/>
    <w:rsid w:val="007233E8"/>
    <w:rsid w:val="00734296"/>
    <w:rsid w:val="00736725"/>
    <w:rsid w:val="0073692E"/>
    <w:rsid w:val="00737966"/>
    <w:rsid w:val="00740721"/>
    <w:rsid w:val="00740DC9"/>
    <w:rsid w:val="00743DAD"/>
    <w:rsid w:val="007500AB"/>
    <w:rsid w:val="007505F6"/>
    <w:rsid w:val="00751233"/>
    <w:rsid w:val="007527E2"/>
    <w:rsid w:val="00752A24"/>
    <w:rsid w:val="00753A5C"/>
    <w:rsid w:val="00755014"/>
    <w:rsid w:val="007611EA"/>
    <w:rsid w:val="0076135B"/>
    <w:rsid w:val="0076184B"/>
    <w:rsid w:val="0076509B"/>
    <w:rsid w:val="00765ADF"/>
    <w:rsid w:val="00766759"/>
    <w:rsid w:val="007703F3"/>
    <w:rsid w:val="00770449"/>
    <w:rsid w:val="00776ACA"/>
    <w:rsid w:val="00777365"/>
    <w:rsid w:val="007809D5"/>
    <w:rsid w:val="00781CE1"/>
    <w:rsid w:val="00782130"/>
    <w:rsid w:val="00782937"/>
    <w:rsid w:val="0078326A"/>
    <w:rsid w:val="0078574F"/>
    <w:rsid w:val="0078582B"/>
    <w:rsid w:val="00785C61"/>
    <w:rsid w:val="00785D88"/>
    <w:rsid w:val="00787C2B"/>
    <w:rsid w:val="007902B5"/>
    <w:rsid w:val="0079104B"/>
    <w:rsid w:val="007942B6"/>
    <w:rsid w:val="00794DC4"/>
    <w:rsid w:val="00796EEF"/>
    <w:rsid w:val="007A054D"/>
    <w:rsid w:val="007A2471"/>
    <w:rsid w:val="007A2E4D"/>
    <w:rsid w:val="007A3464"/>
    <w:rsid w:val="007A45DF"/>
    <w:rsid w:val="007A489C"/>
    <w:rsid w:val="007A6DAD"/>
    <w:rsid w:val="007A7653"/>
    <w:rsid w:val="007B13CD"/>
    <w:rsid w:val="007B4BF7"/>
    <w:rsid w:val="007B7093"/>
    <w:rsid w:val="007C12FB"/>
    <w:rsid w:val="007C3605"/>
    <w:rsid w:val="007C46B8"/>
    <w:rsid w:val="007C4D05"/>
    <w:rsid w:val="007C776A"/>
    <w:rsid w:val="007D0902"/>
    <w:rsid w:val="007D14EB"/>
    <w:rsid w:val="007D2222"/>
    <w:rsid w:val="007D4BA2"/>
    <w:rsid w:val="007D4F4B"/>
    <w:rsid w:val="007D6834"/>
    <w:rsid w:val="007D6DE9"/>
    <w:rsid w:val="007E01F1"/>
    <w:rsid w:val="007E3BA0"/>
    <w:rsid w:val="007E4E27"/>
    <w:rsid w:val="007E5B58"/>
    <w:rsid w:val="007F0950"/>
    <w:rsid w:val="007F1406"/>
    <w:rsid w:val="007F566F"/>
    <w:rsid w:val="008004DC"/>
    <w:rsid w:val="00800561"/>
    <w:rsid w:val="00801C0B"/>
    <w:rsid w:val="0080222C"/>
    <w:rsid w:val="00802F71"/>
    <w:rsid w:val="00802FB9"/>
    <w:rsid w:val="008063EC"/>
    <w:rsid w:val="00806753"/>
    <w:rsid w:val="008074B3"/>
    <w:rsid w:val="00807747"/>
    <w:rsid w:val="00807D00"/>
    <w:rsid w:val="00807F88"/>
    <w:rsid w:val="0081172D"/>
    <w:rsid w:val="0081199A"/>
    <w:rsid w:val="0081259A"/>
    <w:rsid w:val="008139AE"/>
    <w:rsid w:val="00813D10"/>
    <w:rsid w:val="00814141"/>
    <w:rsid w:val="008144C8"/>
    <w:rsid w:val="008166C0"/>
    <w:rsid w:val="0081673F"/>
    <w:rsid w:val="008167F9"/>
    <w:rsid w:val="008176D5"/>
    <w:rsid w:val="008178F9"/>
    <w:rsid w:val="00817A7C"/>
    <w:rsid w:val="00820975"/>
    <w:rsid w:val="0082299A"/>
    <w:rsid w:val="00823CC0"/>
    <w:rsid w:val="00825512"/>
    <w:rsid w:val="0082656A"/>
    <w:rsid w:val="00831A2B"/>
    <w:rsid w:val="008320E4"/>
    <w:rsid w:val="00837BE4"/>
    <w:rsid w:val="0084037D"/>
    <w:rsid w:val="00841F12"/>
    <w:rsid w:val="00842804"/>
    <w:rsid w:val="00842FCC"/>
    <w:rsid w:val="00843569"/>
    <w:rsid w:val="00844C2C"/>
    <w:rsid w:val="0084567F"/>
    <w:rsid w:val="008472B1"/>
    <w:rsid w:val="00850ABC"/>
    <w:rsid w:val="00853478"/>
    <w:rsid w:val="00854A48"/>
    <w:rsid w:val="0086131A"/>
    <w:rsid w:val="008652B3"/>
    <w:rsid w:val="0086582C"/>
    <w:rsid w:val="00867B43"/>
    <w:rsid w:val="00873F42"/>
    <w:rsid w:val="008753E0"/>
    <w:rsid w:val="00875FF2"/>
    <w:rsid w:val="00880FDC"/>
    <w:rsid w:val="008819E9"/>
    <w:rsid w:val="0088376A"/>
    <w:rsid w:val="00884AEF"/>
    <w:rsid w:val="00887F89"/>
    <w:rsid w:val="008945C2"/>
    <w:rsid w:val="00894DD0"/>
    <w:rsid w:val="00894E95"/>
    <w:rsid w:val="0089575A"/>
    <w:rsid w:val="00896665"/>
    <w:rsid w:val="008A0A2F"/>
    <w:rsid w:val="008A0D2B"/>
    <w:rsid w:val="008A21BE"/>
    <w:rsid w:val="008A3637"/>
    <w:rsid w:val="008A3CFC"/>
    <w:rsid w:val="008A3E59"/>
    <w:rsid w:val="008A64A6"/>
    <w:rsid w:val="008A6A6F"/>
    <w:rsid w:val="008B01EC"/>
    <w:rsid w:val="008B0B82"/>
    <w:rsid w:val="008B1EAB"/>
    <w:rsid w:val="008B21DD"/>
    <w:rsid w:val="008B324B"/>
    <w:rsid w:val="008B384B"/>
    <w:rsid w:val="008B3E5D"/>
    <w:rsid w:val="008C1F77"/>
    <w:rsid w:val="008C4863"/>
    <w:rsid w:val="008D16A6"/>
    <w:rsid w:val="008D202F"/>
    <w:rsid w:val="008D27B8"/>
    <w:rsid w:val="008D3319"/>
    <w:rsid w:val="008D5A19"/>
    <w:rsid w:val="008D7C5C"/>
    <w:rsid w:val="008E0172"/>
    <w:rsid w:val="008E1352"/>
    <w:rsid w:val="008E6D14"/>
    <w:rsid w:val="008F1B97"/>
    <w:rsid w:val="008F449B"/>
    <w:rsid w:val="008F47AE"/>
    <w:rsid w:val="008F4BBD"/>
    <w:rsid w:val="008F63FF"/>
    <w:rsid w:val="008F7819"/>
    <w:rsid w:val="009007E4"/>
    <w:rsid w:val="009040F3"/>
    <w:rsid w:val="009041AA"/>
    <w:rsid w:val="00912421"/>
    <w:rsid w:val="009131BF"/>
    <w:rsid w:val="00920D3B"/>
    <w:rsid w:val="00921BA0"/>
    <w:rsid w:val="00922A22"/>
    <w:rsid w:val="00923096"/>
    <w:rsid w:val="009230DB"/>
    <w:rsid w:val="0092332B"/>
    <w:rsid w:val="0092379B"/>
    <w:rsid w:val="00925B46"/>
    <w:rsid w:val="00925EB9"/>
    <w:rsid w:val="009266F1"/>
    <w:rsid w:val="009276C1"/>
    <w:rsid w:val="00927E03"/>
    <w:rsid w:val="0093066F"/>
    <w:rsid w:val="00931878"/>
    <w:rsid w:val="00933A0D"/>
    <w:rsid w:val="009347D6"/>
    <w:rsid w:val="009352EF"/>
    <w:rsid w:val="009367A6"/>
    <w:rsid w:val="009406AB"/>
    <w:rsid w:val="00942436"/>
    <w:rsid w:val="009450ED"/>
    <w:rsid w:val="009453E8"/>
    <w:rsid w:val="009475CE"/>
    <w:rsid w:val="00947F90"/>
    <w:rsid w:val="00950372"/>
    <w:rsid w:val="00951C98"/>
    <w:rsid w:val="009520C5"/>
    <w:rsid w:val="00953A0E"/>
    <w:rsid w:val="00954C50"/>
    <w:rsid w:val="00954EE7"/>
    <w:rsid w:val="009550C9"/>
    <w:rsid w:val="00955149"/>
    <w:rsid w:val="00956007"/>
    <w:rsid w:val="00961667"/>
    <w:rsid w:val="0096252E"/>
    <w:rsid w:val="00963C6E"/>
    <w:rsid w:val="009660B9"/>
    <w:rsid w:val="0096775B"/>
    <w:rsid w:val="00970454"/>
    <w:rsid w:val="0097051B"/>
    <w:rsid w:val="009713F7"/>
    <w:rsid w:val="00975137"/>
    <w:rsid w:val="00975CC5"/>
    <w:rsid w:val="00980041"/>
    <w:rsid w:val="00981061"/>
    <w:rsid w:val="00981DEA"/>
    <w:rsid w:val="00982A45"/>
    <w:rsid w:val="00982F22"/>
    <w:rsid w:val="009834B2"/>
    <w:rsid w:val="009855C8"/>
    <w:rsid w:val="00985BF4"/>
    <w:rsid w:val="0099083E"/>
    <w:rsid w:val="00991148"/>
    <w:rsid w:val="009912F3"/>
    <w:rsid w:val="00992F21"/>
    <w:rsid w:val="00993533"/>
    <w:rsid w:val="00994E1D"/>
    <w:rsid w:val="0099785B"/>
    <w:rsid w:val="0099792B"/>
    <w:rsid w:val="009A09E5"/>
    <w:rsid w:val="009A0AF5"/>
    <w:rsid w:val="009A19A1"/>
    <w:rsid w:val="009A1DA8"/>
    <w:rsid w:val="009A1F95"/>
    <w:rsid w:val="009A6496"/>
    <w:rsid w:val="009A7F42"/>
    <w:rsid w:val="009B01C1"/>
    <w:rsid w:val="009B0A24"/>
    <w:rsid w:val="009B277F"/>
    <w:rsid w:val="009B482C"/>
    <w:rsid w:val="009B4A3B"/>
    <w:rsid w:val="009B5CA1"/>
    <w:rsid w:val="009B60A9"/>
    <w:rsid w:val="009C1B06"/>
    <w:rsid w:val="009C2ABD"/>
    <w:rsid w:val="009D4950"/>
    <w:rsid w:val="009D49B1"/>
    <w:rsid w:val="009D700C"/>
    <w:rsid w:val="009E1E21"/>
    <w:rsid w:val="009E520C"/>
    <w:rsid w:val="009E5CB4"/>
    <w:rsid w:val="009F1604"/>
    <w:rsid w:val="009F2141"/>
    <w:rsid w:val="009F2689"/>
    <w:rsid w:val="009F2984"/>
    <w:rsid w:val="009F2BA2"/>
    <w:rsid w:val="009F46B6"/>
    <w:rsid w:val="00A005E3"/>
    <w:rsid w:val="00A00903"/>
    <w:rsid w:val="00A01D88"/>
    <w:rsid w:val="00A04001"/>
    <w:rsid w:val="00A05973"/>
    <w:rsid w:val="00A0653E"/>
    <w:rsid w:val="00A11712"/>
    <w:rsid w:val="00A117FE"/>
    <w:rsid w:val="00A11AE7"/>
    <w:rsid w:val="00A121E1"/>
    <w:rsid w:val="00A123E9"/>
    <w:rsid w:val="00A14C69"/>
    <w:rsid w:val="00A229FC"/>
    <w:rsid w:val="00A2394F"/>
    <w:rsid w:val="00A25037"/>
    <w:rsid w:val="00A25249"/>
    <w:rsid w:val="00A264AA"/>
    <w:rsid w:val="00A26EBD"/>
    <w:rsid w:val="00A27EC0"/>
    <w:rsid w:val="00A30A75"/>
    <w:rsid w:val="00A30EBF"/>
    <w:rsid w:val="00A31358"/>
    <w:rsid w:val="00A31A70"/>
    <w:rsid w:val="00A31CF9"/>
    <w:rsid w:val="00A3224A"/>
    <w:rsid w:val="00A34206"/>
    <w:rsid w:val="00A347B2"/>
    <w:rsid w:val="00A34C2B"/>
    <w:rsid w:val="00A40352"/>
    <w:rsid w:val="00A40ABF"/>
    <w:rsid w:val="00A43339"/>
    <w:rsid w:val="00A442A1"/>
    <w:rsid w:val="00A4488D"/>
    <w:rsid w:val="00A44D4D"/>
    <w:rsid w:val="00A44EFE"/>
    <w:rsid w:val="00A4540F"/>
    <w:rsid w:val="00A45621"/>
    <w:rsid w:val="00A45A87"/>
    <w:rsid w:val="00A45E1D"/>
    <w:rsid w:val="00A51360"/>
    <w:rsid w:val="00A52A2D"/>
    <w:rsid w:val="00A52C4E"/>
    <w:rsid w:val="00A532F9"/>
    <w:rsid w:val="00A56EA8"/>
    <w:rsid w:val="00A6057E"/>
    <w:rsid w:val="00A60627"/>
    <w:rsid w:val="00A62977"/>
    <w:rsid w:val="00A65120"/>
    <w:rsid w:val="00A658F5"/>
    <w:rsid w:val="00A66055"/>
    <w:rsid w:val="00A70637"/>
    <w:rsid w:val="00A70658"/>
    <w:rsid w:val="00A706A5"/>
    <w:rsid w:val="00A74305"/>
    <w:rsid w:val="00A75396"/>
    <w:rsid w:val="00A766B5"/>
    <w:rsid w:val="00A776B1"/>
    <w:rsid w:val="00A82DC6"/>
    <w:rsid w:val="00A84CCA"/>
    <w:rsid w:val="00A859F4"/>
    <w:rsid w:val="00A86B3B"/>
    <w:rsid w:val="00A87118"/>
    <w:rsid w:val="00A87255"/>
    <w:rsid w:val="00A90217"/>
    <w:rsid w:val="00A91042"/>
    <w:rsid w:val="00A94001"/>
    <w:rsid w:val="00A95A4E"/>
    <w:rsid w:val="00A95F5A"/>
    <w:rsid w:val="00A963D5"/>
    <w:rsid w:val="00A97254"/>
    <w:rsid w:val="00A973EF"/>
    <w:rsid w:val="00AA06E5"/>
    <w:rsid w:val="00AA0703"/>
    <w:rsid w:val="00AA07AB"/>
    <w:rsid w:val="00AA0F1E"/>
    <w:rsid w:val="00AA0FB3"/>
    <w:rsid w:val="00AA61F4"/>
    <w:rsid w:val="00AA62C1"/>
    <w:rsid w:val="00AB06BE"/>
    <w:rsid w:val="00AB0778"/>
    <w:rsid w:val="00AB2119"/>
    <w:rsid w:val="00AB5A82"/>
    <w:rsid w:val="00AD16F0"/>
    <w:rsid w:val="00AD1D4C"/>
    <w:rsid w:val="00AD20D5"/>
    <w:rsid w:val="00AD32F3"/>
    <w:rsid w:val="00AD57AB"/>
    <w:rsid w:val="00AD602C"/>
    <w:rsid w:val="00AD649D"/>
    <w:rsid w:val="00AD74F0"/>
    <w:rsid w:val="00AD794C"/>
    <w:rsid w:val="00AE0375"/>
    <w:rsid w:val="00AE1862"/>
    <w:rsid w:val="00AE5866"/>
    <w:rsid w:val="00AE59B7"/>
    <w:rsid w:val="00AF26DB"/>
    <w:rsid w:val="00AF3142"/>
    <w:rsid w:val="00AF587A"/>
    <w:rsid w:val="00AF5EB0"/>
    <w:rsid w:val="00AF7249"/>
    <w:rsid w:val="00B00090"/>
    <w:rsid w:val="00B014E5"/>
    <w:rsid w:val="00B01D87"/>
    <w:rsid w:val="00B03BA3"/>
    <w:rsid w:val="00B0572E"/>
    <w:rsid w:val="00B065F8"/>
    <w:rsid w:val="00B06D9C"/>
    <w:rsid w:val="00B10556"/>
    <w:rsid w:val="00B105F3"/>
    <w:rsid w:val="00B106F5"/>
    <w:rsid w:val="00B14262"/>
    <w:rsid w:val="00B172C9"/>
    <w:rsid w:val="00B21D60"/>
    <w:rsid w:val="00B231BB"/>
    <w:rsid w:val="00B2388E"/>
    <w:rsid w:val="00B27AED"/>
    <w:rsid w:val="00B33C02"/>
    <w:rsid w:val="00B33ED4"/>
    <w:rsid w:val="00B341EF"/>
    <w:rsid w:val="00B34946"/>
    <w:rsid w:val="00B34C24"/>
    <w:rsid w:val="00B34CA2"/>
    <w:rsid w:val="00B36F4A"/>
    <w:rsid w:val="00B4045F"/>
    <w:rsid w:val="00B40A10"/>
    <w:rsid w:val="00B4275B"/>
    <w:rsid w:val="00B4333C"/>
    <w:rsid w:val="00B43783"/>
    <w:rsid w:val="00B43A02"/>
    <w:rsid w:val="00B50406"/>
    <w:rsid w:val="00B50528"/>
    <w:rsid w:val="00B51302"/>
    <w:rsid w:val="00B516AB"/>
    <w:rsid w:val="00B55613"/>
    <w:rsid w:val="00B612F5"/>
    <w:rsid w:val="00B6233C"/>
    <w:rsid w:val="00B62734"/>
    <w:rsid w:val="00B62F71"/>
    <w:rsid w:val="00B6373D"/>
    <w:rsid w:val="00B647FA"/>
    <w:rsid w:val="00B66DDA"/>
    <w:rsid w:val="00B722DB"/>
    <w:rsid w:val="00B72AF2"/>
    <w:rsid w:val="00B72C20"/>
    <w:rsid w:val="00B72C2A"/>
    <w:rsid w:val="00B73960"/>
    <w:rsid w:val="00B805A7"/>
    <w:rsid w:val="00B80A8F"/>
    <w:rsid w:val="00B8329E"/>
    <w:rsid w:val="00B83B80"/>
    <w:rsid w:val="00B854BC"/>
    <w:rsid w:val="00B85789"/>
    <w:rsid w:val="00B859DA"/>
    <w:rsid w:val="00B85DCA"/>
    <w:rsid w:val="00B91B73"/>
    <w:rsid w:val="00B9206D"/>
    <w:rsid w:val="00B9302A"/>
    <w:rsid w:val="00B938E7"/>
    <w:rsid w:val="00B94138"/>
    <w:rsid w:val="00B953A9"/>
    <w:rsid w:val="00BA125A"/>
    <w:rsid w:val="00BA3257"/>
    <w:rsid w:val="00BA3BA3"/>
    <w:rsid w:val="00BA6F2F"/>
    <w:rsid w:val="00BA7DDD"/>
    <w:rsid w:val="00BB49A0"/>
    <w:rsid w:val="00BB5487"/>
    <w:rsid w:val="00BB551A"/>
    <w:rsid w:val="00BB57D4"/>
    <w:rsid w:val="00BC0F49"/>
    <w:rsid w:val="00BC1997"/>
    <w:rsid w:val="00BC3DF9"/>
    <w:rsid w:val="00BC525E"/>
    <w:rsid w:val="00BC638D"/>
    <w:rsid w:val="00BD1C09"/>
    <w:rsid w:val="00BD2318"/>
    <w:rsid w:val="00BD292B"/>
    <w:rsid w:val="00BD2ADE"/>
    <w:rsid w:val="00BD3F3E"/>
    <w:rsid w:val="00BD472E"/>
    <w:rsid w:val="00BD6EB5"/>
    <w:rsid w:val="00BD712D"/>
    <w:rsid w:val="00BE0584"/>
    <w:rsid w:val="00BE12B3"/>
    <w:rsid w:val="00BE33F6"/>
    <w:rsid w:val="00BE3483"/>
    <w:rsid w:val="00BE3534"/>
    <w:rsid w:val="00BE5712"/>
    <w:rsid w:val="00BF02FB"/>
    <w:rsid w:val="00BF22A1"/>
    <w:rsid w:val="00BF3304"/>
    <w:rsid w:val="00BF3801"/>
    <w:rsid w:val="00C02559"/>
    <w:rsid w:val="00C04126"/>
    <w:rsid w:val="00C04E9D"/>
    <w:rsid w:val="00C05172"/>
    <w:rsid w:val="00C056F1"/>
    <w:rsid w:val="00C0614C"/>
    <w:rsid w:val="00C06397"/>
    <w:rsid w:val="00C06ECC"/>
    <w:rsid w:val="00C11535"/>
    <w:rsid w:val="00C12747"/>
    <w:rsid w:val="00C12AF1"/>
    <w:rsid w:val="00C149E8"/>
    <w:rsid w:val="00C1643D"/>
    <w:rsid w:val="00C20F55"/>
    <w:rsid w:val="00C22C92"/>
    <w:rsid w:val="00C26398"/>
    <w:rsid w:val="00C27510"/>
    <w:rsid w:val="00C307D7"/>
    <w:rsid w:val="00C30E77"/>
    <w:rsid w:val="00C31379"/>
    <w:rsid w:val="00C31D10"/>
    <w:rsid w:val="00C3565F"/>
    <w:rsid w:val="00C35BC2"/>
    <w:rsid w:val="00C35DC4"/>
    <w:rsid w:val="00C35F6D"/>
    <w:rsid w:val="00C36EF6"/>
    <w:rsid w:val="00C3757A"/>
    <w:rsid w:val="00C4004E"/>
    <w:rsid w:val="00C41B56"/>
    <w:rsid w:val="00C41DB1"/>
    <w:rsid w:val="00C41E57"/>
    <w:rsid w:val="00C444B2"/>
    <w:rsid w:val="00C44834"/>
    <w:rsid w:val="00C4489E"/>
    <w:rsid w:val="00C44D5E"/>
    <w:rsid w:val="00C4579D"/>
    <w:rsid w:val="00C46DB0"/>
    <w:rsid w:val="00C47A72"/>
    <w:rsid w:val="00C47DFB"/>
    <w:rsid w:val="00C503D2"/>
    <w:rsid w:val="00C5064F"/>
    <w:rsid w:val="00C50E94"/>
    <w:rsid w:val="00C51F2F"/>
    <w:rsid w:val="00C52531"/>
    <w:rsid w:val="00C55B94"/>
    <w:rsid w:val="00C61687"/>
    <w:rsid w:val="00C6318C"/>
    <w:rsid w:val="00C6461E"/>
    <w:rsid w:val="00C66457"/>
    <w:rsid w:val="00C74C8C"/>
    <w:rsid w:val="00C753D7"/>
    <w:rsid w:val="00C75614"/>
    <w:rsid w:val="00C762CD"/>
    <w:rsid w:val="00C766B0"/>
    <w:rsid w:val="00C77733"/>
    <w:rsid w:val="00C80137"/>
    <w:rsid w:val="00C81F1C"/>
    <w:rsid w:val="00C82C7A"/>
    <w:rsid w:val="00C86AEF"/>
    <w:rsid w:val="00C90091"/>
    <w:rsid w:val="00C9064F"/>
    <w:rsid w:val="00C9161F"/>
    <w:rsid w:val="00C920F9"/>
    <w:rsid w:val="00C93164"/>
    <w:rsid w:val="00C94D8A"/>
    <w:rsid w:val="00C95679"/>
    <w:rsid w:val="00C97EF7"/>
    <w:rsid w:val="00CA1363"/>
    <w:rsid w:val="00CA1AEC"/>
    <w:rsid w:val="00CA2B59"/>
    <w:rsid w:val="00CA5F34"/>
    <w:rsid w:val="00CA74BC"/>
    <w:rsid w:val="00CB1D08"/>
    <w:rsid w:val="00CB3A18"/>
    <w:rsid w:val="00CB404E"/>
    <w:rsid w:val="00CB4B10"/>
    <w:rsid w:val="00CB53D1"/>
    <w:rsid w:val="00CB7B16"/>
    <w:rsid w:val="00CC1C0E"/>
    <w:rsid w:val="00CC2FA0"/>
    <w:rsid w:val="00CC63B9"/>
    <w:rsid w:val="00CD0167"/>
    <w:rsid w:val="00CD0671"/>
    <w:rsid w:val="00CD134B"/>
    <w:rsid w:val="00CD1437"/>
    <w:rsid w:val="00CD3B53"/>
    <w:rsid w:val="00CD4471"/>
    <w:rsid w:val="00CD45E6"/>
    <w:rsid w:val="00CD4E97"/>
    <w:rsid w:val="00CD57FE"/>
    <w:rsid w:val="00CD7A46"/>
    <w:rsid w:val="00CD7CC6"/>
    <w:rsid w:val="00CE06D2"/>
    <w:rsid w:val="00CE0A20"/>
    <w:rsid w:val="00CE0F4F"/>
    <w:rsid w:val="00CE147D"/>
    <w:rsid w:val="00CE2EC6"/>
    <w:rsid w:val="00CE3F59"/>
    <w:rsid w:val="00CE7BD2"/>
    <w:rsid w:val="00CF09C8"/>
    <w:rsid w:val="00CF3BAD"/>
    <w:rsid w:val="00CF76F9"/>
    <w:rsid w:val="00CF7710"/>
    <w:rsid w:val="00D00CFF"/>
    <w:rsid w:val="00D013DF"/>
    <w:rsid w:val="00D035A5"/>
    <w:rsid w:val="00D038AD"/>
    <w:rsid w:val="00D043CE"/>
    <w:rsid w:val="00D04585"/>
    <w:rsid w:val="00D04E56"/>
    <w:rsid w:val="00D06445"/>
    <w:rsid w:val="00D06D54"/>
    <w:rsid w:val="00D06FFE"/>
    <w:rsid w:val="00D07A22"/>
    <w:rsid w:val="00D10DA5"/>
    <w:rsid w:val="00D10F0F"/>
    <w:rsid w:val="00D11809"/>
    <w:rsid w:val="00D12D9A"/>
    <w:rsid w:val="00D13191"/>
    <w:rsid w:val="00D14BB9"/>
    <w:rsid w:val="00D17A7C"/>
    <w:rsid w:val="00D21959"/>
    <w:rsid w:val="00D23734"/>
    <w:rsid w:val="00D24AA3"/>
    <w:rsid w:val="00D265A1"/>
    <w:rsid w:val="00D27727"/>
    <w:rsid w:val="00D3020F"/>
    <w:rsid w:val="00D30BF8"/>
    <w:rsid w:val="00D314A8"/>
    <w:rsid w:val="00D31772"/>
    <w:rsid w:val="00D3255A"/>
    <w:rsid w:val="00D32F86"/>
    <w:rsid w:val="00D348E9"/>
    <w:rsid w:val="00D34903"/>
    <w:rsid w:val="00D35083"/>
    <w:rsid w:val="00D35F25"/>
    <w:rsid w:val="00D360CB"/>
    <w:rsid w:val="00D4181A"/>
    <w:rsid w:val="00D437D0"/>
    <w:rsid w:val="00D44B76"/>
    <w:rsid w:val="00D451ED"/>
    <w:rsid w:val="00D45263"/>
    <w:rsid w:val="00D45C14"/>
    <w:rsid w:val="00D45FF6"/>
    <w:rsid w:val="00D505A2"/>
    <w:rsid w:val="00D51064"/>
    <w:rsid w:val="00D51B89"/>
    <w:rsid w:val="00D52881"/>
    <w:rsid w:val="00D56F15"/>
    <w:rsid w:val="00D60FD3"/>
    <w:rsid w:val="00D61103"/>
    <w:rsid w:val="00D653E1"/>
    <w:rsid w:val="00D65966"/>
    <w:rsid w:val="00D7162E"/>
    <w:rsid w:val="00D72481"/>
    <w:rsid w:val="00D74CBD"/>
    <w:rsid w:val="00D75B0F"/>
    <w:rsid w:val="00D77B3F"/>
    <w:rsid w:val="00D8207B"/>
    <w:rsid w:val="00D83C9F"/>
    <w:rsid w:val="00D848EE"/>
    <w:rsid w:val="00D861C4"/>
    <w:rsid w:val="00D9140B"/>
    <w:rsid w:val="00D9375E"/>
    <w:rsid w:val="00D954CB"/>
    <w:rsid w:val="00DA0835"/>
    <w:rsid w:val="00DA1607"/>
    <w:rsid w:val="00DA1CCA"/>
    <w:rsid w:val="00DA24FD"/>
    <w:rsid w:val="00DA2E2B"/>
    <w:rsid w:val="00DA2EAB"/>
    <w:rsid w:val="00DA5905"/>
    <w:rsid w:val="00DA5FA3"/>
    <w:rsid w:val="00DA6ECB"/>
    <w:rsid w:val="00DB13F8"/>
    <w:rsid w:val="00DB232E"/>
    <w:rsid w:val="00DB2349"/>
    <w:rsid w:val="00DB2E38"/>
    <w:rsid w:val="00DB419D"/>
    <w:rsid w:val="00DB568F"/>
    <w:rsid w:val="00DB5FA3"/>
    <w:rsid w:val="00DB73F8"/>
    <w:rsid w:val="00DC03FF"/>
    <w:rsid w:val="00DC097D"/>
    <w:rsid w:val="00DC13E5"/>
    <w:rsid w:val="00DC1430"/>
    <w:rsid w:val="00DC4BF0"/>
    <w:rsid w:val="00DC5FE4"/>
    <w:rsid w:val="00DD0DB1"/>
    <w:rsid w:val="00DD160B"/>
    <w:rsid w:val="00DD1867"/>
    <w:rsid w:val="00DD284A"/>
    <w:rsid w:val="00DD31D6"/>
    <w:rsid w:val="00DD3FCA"/>
    <w:rsid w:val="00DD629A"/>
    <w:rsid w:val="00DD6A94"/>
    <w:rsid w:val="00DD7BF9"/>
    <w:rsid w:val="00DE213A"/>
    <w:rsid w:val="00DE23B3"/>
    <w:rsid w:val="00DE2E77"/>
    <w:rsid w:val="00DE3526"/>
    <w:rsid w:val="00DE4EE2"/>
    <w:rsid w:val="00DE53F6"/>
    <w:rsid w:val="00DE5A40"/>
    <w:rsid w:val="00DE626C"/>
    <w:rsid w:val="00DF0318"/>
    <w:rsid w:val="00DF1BBF"/>
    <w:rsid w:val="00DF1DE1"/>
    <w:rsid w:val="00DF4680"/>
    <w:rsid w:val="00E01878"/>
    <w:rsid w:val="00E0211F"/>
    <w:rsid w:val="00E04ABE"/>
    <w:rsid w:val="00E05627"/>
    <w:rsid w:val="00E05C7A"/>
    <w:rsid w:val="00E05F6A"/>
    <w:rsid w:val="00E05F9E"/>
    <w:rsid w:val="00E10B22"/>
    <w:rsid w:val="00E11156"/>
    <w:rsid w:val="00E129BE"/>
    <w:rsid w:val="00E1496F"/>
    <w:rsid w:val="00E15543"/>
    <w:rsid w:val="00E17C0A"/>
    <w:rsid w:val="00E20136"/>
    <w:rsid w:val="00E2139A"/>
    <w:rsid w:val="00E24601"/>
    <w:rsid w:val="00E246F7"/>
    <w:rsid w:val="00E262C1"/>
    <w:rsid w:val="00E26DE9"/>
    <w:rsid w:val="00E27BCD"/>
    <w:rsid w:val="00E30ED9"/>
    <w:rsid w:val="00E3103E"/>
    <w:rsid w:val="00E32317"/>
    <w:rsid w:val="00E324AE"/>
    <w:rsid w:val="00E33558"/>
    <w:rsid w:val="00E367BB"/>
    <w:rsid w:val="00E368B3"/>
    <w:rsid w:val="00E3749F"/>
    <w:rsid w:val="00E37621"/>
    <w:rsid w:val="00E40B5E"/>
    <w:rsid w:val="00E41386"/>
    <w:rsid w:val="00E448E3"/>
    <w:rsid w:val="00E4667E"/>
    <w:rsid w:val="00E467B5"/>
    <w:rsid w:val="00E504AB"/>
    <w:rsid w:val="00E519F4"/>
    <w:rsid w:val="00E52A4D"/>
    <w:rsid w:val="00E52B65"/>
    <w:rsid w:val="00E52DB1"/>
    <w:rsid w:val="00E576BF"/>
    <w:rsid w:val="00E57F7D"/>
    <w:rsid w:val="00E60149"/>
    <w:rsid w:val="00E61F7B"/>
    <w:rsid w:val="00E62DA9"/>
    <w:rsid w:val="00E644B6"/>
    <w:rsid w:val="00E66A34"/>
    <w:rsid w:val="00E67529"/>
    <w:rsid w:val="00E70DC2"/>
    <w:rsid w:val="00E7198A"/>
    <w:rsid w:val="00E71EEE"/>
    <w:rsid w:val="00E72802"/>
    <w:rsid w:val="00E7287F"/>
    <w:rsid w:val="00E73059"/>
    <w:rsid w:val="00E73102"/>
    <w:rsid w:val="00E751C7"/>
    <w:rsid w:val="00E76F05"/>
    <w:rsid w:val="00E77E82"/>
    <w:rsid w:val="00E8093E"/>
    <w:rsid w:val="00E8217F"/>
    <w:rsid w:val="00E826D5"/>
    <w:rsid w:val="00E83B96"/>
    <w:rsid w:val="00E85206"/>
    <w:rsid w:val="00E87CB4"/>
    <w:rsid w:val="00E914B3"/>
    <w:rsid w:val="00E91BC2"/>
    <w:rsid w:val="00E92668"/>
    <w:rsid w:val="00E94436"/>
    <w:rsid w:val="00E95061"/>
    <w:rsid w:val="00E960FA"/>
    <w:rsid w:val="00EA3B0B"/>
    <w:rsid w:val="00EA537D"/>
    <w:rsid w:val="00EA5E2F"/>
    <w:rsid w:val="00EA613A"/>
    <w:rsid w:val="00EB0119"/>
    <w:rsid w:val="00EB0EAB"/>
    <w:rsid w:val="00EB13EF"/>
    <w:rsid w:val="00EB25D8"/>
    <w:rsid w:val="00EC76BB"/>
    <w:rsid w:val="00ED064C"/>
    <w:rsid w:val="00ED19E3"/>
    <w:rsid w:val="00ED2C56"/>
    <w:rsid w:val="00ED400C"/>
    <w:rsid w:val="00ED42F3"/>
    <w:rsid w:val="00ED499D"/>
    <w:rsid w:val="00ED4C09"/>
    <w:rsid w:val="00ED4FFC"/>
    <w:rsid w:val="00ED6D4A"/>
    <w:rsid w:val="00ED7FE1"/>
    <w:rsid w:val="00EE2CCB"/>
    <w:rsid w:val="00EE5830"/>
    <w:rsid w:val="00EE5F5D"/>
    <w:rsid w:val="00EE605B"/>
    <w:rsid w:val="00EF0FB3"/>
    <w:rsid w:val="00EF15DB"/>
    <w:rsid w:val="00EF2C7D"/>
    <w:rsid w:val="00EF3E6E"/>
    <w:rsid w:val="00EF41B6"/>
    <w:rsid w:val="00EF5705"/>
    <w:rsid w:val="00EF6029"/>
    <w:rsid w:val="00EF730B"/>
    <w:rsid w:val="00EF797B"/>
    <w:rsid w:val="00F009AA"/>
    <w:rsid w:val="00F0492F"/>
    <w:rsid w:val="00F04DE7"/>
    <w:rsid w:val="00F056D6"/>
    <w:rsid w:val="00F05992"/>
    <w:rsid w:val="00F0626D"/>
    <w:rsid w:val="00F13832"/>
    <w:rsid w:val="00F152AB"/>
    <w:rsid w:val="00F1538F"/>
    <w:rsid w:val="00F15DF8"/>
    <w:rsid w:val="00F17C78"/>
    <w:rsid w:val="00F17F23"/>
    <w:rsid w:val="00F22C02"/>
    <w:rsid w:val="00F233E7"/>
    <w:rsid w:val="00F24A5F"/>
    <w:rsid w:val="00F25B7C"/>
    <w:rsid w:val="00F25EE5"/>
    <w:rsid w:val="00F26A75"/>
    <w:rsid w:val="00F274B6"/>
    <w:rsid w:val="00F275D6"/>
    <w:rsid w:val="00F32CDB"/>
    <w:rsid w:val="00F3688F"/>
    <w:rsid w:val="00F37274"/>
    <w:rsid w:val="00F4201E"/>
    <w:rsid w:val="00F42094"/>
    <w:rsid w:val="00F42CC4"/>
    <w:rsid w:val="00F4301A"/>
    <w:rsid w:val="00F43717"/>
    <w:rsid w:val="00F46037"/>
    <w:rsid w:val="00F50A2F"/>
    <w:rsid w:val="00F51C99"/>
    <w:rsid w:val="00F522A0"/>
    <w:rsid w:val="00F53E3B"/>
    <w:rsid w:val="00F547B7"/>
    <w:rsid w:val="00F55099"/>
    <w:rsid w:val="00F5546F"/>
    <w:rsid w:val="00F565D7"/>
    <w:rsid w:val="00F571F1"/>
    <w:rsid w:val="00F6200E"/>
    <w:rsid w:val="00F62516"/>
    <w:rsid w:val="00F7247A"/>
    <w:rsid w:val="00F76014"/>
    <w:rsid w:val="00F76A88"/>
    <w:rsid w:val="00F80082"/>
    <w:rsid w:val="00F81F85"/>
    <w:rsid w:val="00F86F3A"/>
    <w:rsid w:val="00F908BD"/>
    <w:rsid w:val="00F90971"/>
    <w:rsid w:val="00F90BE6"/>
    <w:rsid w:val="00F9284D"/>
    <w:rsid w:val="00F95B16"/>
    <w:rsid w:val="00F95B4F"/>
    <w:rsid w:val="00FA0BDF"/>
    <w:rsid w:val="00FA2C3E"/>
    <w:rsid w:val="00FA5616"/>
    <w:rsid w:val="00FA6D07"/>
    <w:rsid w:val="00FA7273"/>
    <w:rsid w:val="00FA7864"/>
    <w:rsid w:val="00FB10EB"/>
    <w:rsid w:val="00FB32AB"/>
    <w:rsid w:val="00FB3D33"/>
    <w:rsid w:val="00FB4640"/>
    <w:rsid w:val="00FB6631"/>
    <w:rsid w:val="00FB78AB"/>
    <w:rsid w:val="00FC003F"/>
    <w:rsid w:val="00FC06F7"/>
    <w:rsid w:val="00FC07BB"/>
    <w:rsid w:val="00FC1F73"/>
    <w:rsid w:val="00FC205E"/>
    <w:rsid w:val="00FC2D68"/>
    <w:rsid w:val="00FC3D46"/>
    <w:rsid w:val="00FC4558"/>
    <w:rsid w:val="00FC6E50"/>
    <w:rsid w:val="00FC745A"/>
    <w:rsid w:val="00FD0BB1"/>
    <w:rsid w:val="00FD1D01"/>
    <w:rsid w:val="00FD2998"/>
    <w:rsid w:val="00FD4940"/>
    <w:rsid w:val="00FD5E8C"/>
    <w:rsid w:val="00FD68B3"/>
    <w:rsid w:val="00FD713D"/>
    <w:rsid w:val="00FE154B"/>
    <w:rsid w:val="00FE41CC"/>
    <w:rsid w:val="00FE4C6D"/>
    <w:rsid w:val="00FE518C"/>
    <w:rsid w:val="00FE63EA"/>
    <w:rsid w:val="00FF055A"/>
    <w:rsid w:val="00FF1E20"/>
    <w:rsid w:val="00FF3317"/>
    <w:rsid w:val="00FF3DBE"/>
    <w:rsid w:val="00FF4080"/>
    <w:rsid w:val="00FF767A"/>
    <w:rsid w:val="02B82E66"/>
    <w:rsid w:val="04CD557E"/>
    <w:rsid w:val="05A2FFBF"/>
    <w:rsid w:val="09EE80D6"/>
    <w:rsid w:val="0D5BA31A"/>
    <w:rsid w:val="23653660"/>
    <w:rsid w:val="2C9FE146"/>
    <w:rsid w:val="3E78FC97"/>
    <w:rsid w:val="45C4BEEC"/>
    <w:rsid w:val="48A9EB92"/>
    <w:rsid w:val="4BFB26D7"/>
    <w:rsid w:val="4C5E263B"/>
    <w:rsid w:val="6459F347"/>
    <w:rsid w:val="649093E5"/>
    <w:rsid w:val="6EB78481"/>
    <w:rsid w:val="6EEFBEBC"/>
    <w:rsid w:val="72067C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C4E8F"/>
  <w14:discardImageEditingData/>
  <w14:defaultImageDpi w14:val="330"/>
  <w15:chartTrackingRefBased/>
  <w15:docId w15:val="{F62F8A57-6684-453F-9E17-1D79B1C7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3ABB"/>
    <w:rPr>
      <w:color w:val="0D0D0D" w:themeColor="text1"/>
      <w:kern w:val="0"/>
      <w:sz w:val="20"/>
      <w:szCs w:val="20"/>
      <w14:ligatures w14:val="none"/>
    </w:rPr>
  </w:style>
  <w:style w:type="paragraph" w:styleId="Heading1">
    <w:name w:val="heading 1"/>
    <w:basedOn w:val="Normal"/>
    <w:next w:val="Normal"/>
    <w:link w:val="Heading1Char"/>
    <w:autoRedefine/>
    <w:uiPriority w:val="9"/>
    <w:qFormat/>
    <w:rsid w:val="00A6057E"/>
    <w:pPr>
      <w:widowControl w:val="0"/>
      <w:spacing w:before="0" w:after="0" w:line="360" w:lineRule="auto"/>
      <w:outlineLvl w:val="0"/>
    </w:pPr>
    <w:rPr>
      <w:rFonts w:asciiTheme="majorHAnsi" w:hAnsiTheme="majorHAnsi" w:cstheme="majorHAnsi"/>
      <w:color w:val="494949" w:themeColor="text2" w:themeTint="BF"/>
      <w:sz w:val="40"/>
      <w:szCs w:val="48"/>
    </w:rPr>
  </w:style>
  <w:style w:type="paragraph" w:styleId="Heading2">
    <w:name w:val="heading 2"/>
    <w:basedOn w:val="Normal"/>
    <w:next w:val="Normal"/>
    <w:link w:val="Heading2Char"/>
    <w:autoRedefine/>
    <w:uiPriority w:val="9"/>
    <w:unhideWhenUsed/>
    <w:qFormat/>
    <w:rsid w:val="00A6057E"/>
    <w:pPr>
      <w:pBdr>
        <w:bottom w:val="single" w:sz="4" w:space="1" w:color="2D61A6" w:themeColor="accent1"/>
      </w:pBdr>
      <w:outlineLvl w:val="1"/>
    </w:pPr>
    <w:rPr>
      <w:rFonts w:asciiTheme="majorHAnsi" w:hAnsiTheme="majorHAnsi"/>
      <w:color w:val="2D61A6" w:themeColor="accent1"/>
      <w:sz w:val="36"/>
      <w:szCs w:val="36"/>
    </w:rPr>
  </w:style>
  <w:style w:type="paragraph" w:styleId="Heading3">
    <w:name w:val="heading 3"/>
    <w:basedOn w:val="Normal"/>
    <w:next w:val="Normal"/>
    <w:link w:val="Heading3Char"/>
    <w:autoRedefine/>
    <w:uiPriority w:val="9"/>
    <w:unhideWhenUsed/>
    <w:qFormat/>
    <w:rsid w:val="006E3D31"/>
    <w:pPr>
      <w:widowControl w:val="0"/>
      <w:pBdr>
        <w:bottom w:val="single" w:sz="4" w:space="1" w:color="F28627" w:themeColor="accent3"/>
      </w:pBdr>
      <w:outlineLvl w:val="2"/>
    </w:pPr>
    <w:rPr>
      <w:rFonts w:asciiTheme="majorHAnsi" w:hAnsiTheme="majorHAnsi" w:cstheme="majorHAnsi"/>
      <w:color w:val="3A3A3A" w:themeColor="background2" w:themeShade="40"/>
      <w:sz w:val="32"/>
      <w:szCs w:val="22"/>
    </w:rPr>
  </w:style>
  <w:style w:type="paragraph" w:styleId="Heading4">
    <w:name w:val="heading 4"/>
    <w:basedOn w:val="Normal"/>
    <w:next w:val="Normal"/>
    <w:link w:val="Heading4Char"/>
    <w:autoRedefine/>
    <w:uiPriority w:val="9"/>
    <w:unhideWhenUsed/>
    <w:qFormat/>
    <w:rsid w:val="00D7162E"/>
    <w:pPr>
      <w:widowControl w:val="0"/>
      <w:pBdr>
        <w:bottom w:val="dotted" w:sz="4" w:space="1" w:color="2D61A6" w:themeColor="accent1"/>
      </w:pBdr>
      <w:spacing w:line="360" w:lineRule="auto"/>
      <w:outlineLvl w:val="3"/>
    </w:pPr>
    <w:rPr>
      <w:rFonts w:eastAsiaTheme="minorEastAsia" w:cstheme="minorHAnsi"/>
      <w:color w:val="auto"/>
      <w:sz w:val="28"/>
      <w:szCs w:val="21"/>
    </w:rPr>
  </w:style>
  <w:style w:type="paragraph" w:styleId="Heading5">
    <w:name w:val="heading 5"/>
    <w:basedOn w:val="Normal"/>
    <w:next w:val="Normal"/>
    <w:link w:val="Heading5Char"/>
    <w:autoRedefine/>
    <w:uiPriority w:val="9"/>
    <w:unhideWhenUsed/>
    <w:qFormat/>
    <w:rsid w:val="00141BC3"/>
    <w:pPr>
      <w:pBdr>
        <w:bottom w:val="dotted" w:sz="4" w:space="1" w:color="2D61A6" w:themeColor="accent1"/>
      </w:pBdr>
      <w:outlineLvl w:val="4"/>
    </w:pPr>
    <w:rPr>
      <w:rFonts w:cstheme="majorHAnsi"/>
      <w:color w:val="494949" w:themeColor="text2" w:themeTint="BF"/>
      <w:sz w:val="24"/>
      <w:szCs w:val="28"/>
    </w:rPr>
  </w:style>
  <w:style w:type="paragraph" w:styleId="Heading6">
    <w:name w:val="heading 6"/>
    <w:basedOn w:val="Normal"/>
    <w:next w:val="Normal"/>
    <w:link w:val="Heading6Char"/>
    <w:autoRedefine/>
    <w:uiPriority w:val="9"/>
    <w:unhideWhenUsed/>
    <w:qFormat/>
    <w:rsid w:val="005079DF"/>
    <w:pPr>
      <w:spacing w:before="360" w:after="0"/>
      <w:outlineLvl w:val="5"/>
    </w:pPr>
    <w:rPr>
      <w:rFonts w:cstheme="minorHAnsi"/>
      <w:sz w:val="24"/>
      <w:szCs w:val="24"/>
    </w:rPr>
  </w:style>
  <w:style w:type="paragraph" w:styleId="Heading7">
    <w:name w:val="heading 7"/>
    <w:basedOn w:val="Normal"/>
    <w:next w:val="Normal"/>
    <w:link w:val="Heading7Char"/>
    <w:uiPriority w:val="9"/>
    <w:semiHidden/>
    <w:unhideWhenUsed/>
    <w:rsid w:val="004D2DA7"/>
    <w:pPr>
      <w:keepNext/>
      <w:keepLines/>
      <w:spacing w:before="40" w:after="0"/>
      <w:outlineLvl w:val="6"/>
    </w:pPr>
    <w:rPr>
      <w:rFonts w:eastAsiaTheme="majorEastAsia" w:cstheme="majorBidi"/>
      <w:color w:val="616161" w:themeColor="text1" w:themeTint="A6"/>
      <w:sz w:val="30"/>
    </w:rPr>
  </w:style>
  <w:style w:type="paragraph" w:styleId="Heading8">
    <w:name w:val="heading 8"/>
    <w:basedOn w:val="Normal"/>
    <w:next w:val="Normal"/>
    <w:link w:val="Heading8Char"/>
    <w:uiPriority w:val="9"/>
    <w:semiHidden/>
    <w:unhideWhenUsed/>
    <w:qFormat/>
    <w:rsid w:val="004D2DA7"/>
    <w:pPr>
      <w:keepNext/>
      <w:keepLines/>
      <w:spacing w:after="0"/>
      <w:outlineLvl w:val="7"/>
    </w:pPr>
    <w:rPr>
      <w:rFonts w:eastAsiaTheme="majorEastAsia" w:cstheme="majorBidi"/>
      <w:i/>
      <w:iCs/>
      <w:color w:val="323232" w:themeColor="text1" w:themeTint="D8"/>
      <w:sz w:val="30"/>
    </w:rPr>
  </w:style>
  <w:style w:type="paragraph" w:styleId="Heading9">
    <w:name w:val="heading 9"/>
    <w:basedOn w:val="Normal"/>
    <w:next w:val="Normal"/>
    <w:link w:val="Heading9Char"/>
    <w:uiPriority w:val="9"/>
    <w:semiHidden/>
    <w:unhideWhenUsed/>
    <w:qFormat/>
    <w:rsid w:val="004D2DA7"/>
    <w:pPr>
      <w:keepNext/>
      <w:keepLines/>
      <w:spacing w:after="0"/>
      <w:outlineLvl w:val="8"/>
    </w:pPr>
    <w:rPr>
      <w:rFonts w:eastAsiaTheme="majorEastAsia" w:cstheme="majorBidi"/>
      <w:color w:val="323232" w:themeColor="text1" w:themeTint="D8"/>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57E"/>
    <w:rPr>
      <w:rFonts w:asciiTheme="majorHAnsi" w:hAnsiTheme="majorHAnsi"/>
      <w:color w:val="2D61A6" w:themeColor="accent1"/>
      <w:kern w:val="0"/>
      <w:sz w:val="36"/>
      <w:szCs w:val="36"/>
      <w14:ligatures w14:val="none"/>
    </w:rPr>
  </w:style>
  <w:style w:type="character" w:customStyle="1" w:styleId="Heading1Char">
    <w:name w:val="Heading 1 Char"/>
    <w:basedOn w:val="DefaultParagraphFont"/>
    <w:link w:val="Heading1"/>
    <w:uiPriority w:val="9"/>
    <w:rsid w:val="00A6057E"/>
    <w:rPr>
      <w:rFonts w:asciiTheme="majorHAnsi" w:hAnsiTheme="majorHAnsi" w:cstheme="majorHAnsi"/>
      <w:color w:val="494949" w:themeColor="text2" w:themeTint="BF"/>
      <w:kern w:val="0"/>
      <w:sz w:val="40"/>
      <w:szCs w:val="48"/>
      <w14:ligatures w14:val="none"/>
    </w:rPr>
  </w:style>
  <w:style w:type="character" w:customStyle="1" w:styleId="Heading3Char">
    <w:name w:val="Heading 3 Char"/>
    <w:basedOn w:val="DefaultParagraphFont"/>
    <w:link w:val="Heading3"/>
    <w:uiPriority w:val="9"/>
    <w:rsid w:val="006E3D31"/>
    <w:rPr>
      <w:rFonts w:asciiTheme="majorHAnsi" w:hAnsiTheme="majorHAnsi" w:cstheme="majorHAnsi"/>
      <w:color w:val="3A3A3A" w:themeColor="background2" w:themeShade="40"/>
      <w:kern w:val="0"/>
      <w:sz w:val="32"/>
      <w:szCs w:val="22"/>
      <w14:ligatures w14:val="none"/>
    </w:rPr>
  </w:style>
  <w:style w:type="paragraph" w:styleId="Subtitle">
    <w:name w:val="Subtitle"/>
    <w:basedOn w:val="Normal"/>
    <w:next w:val="Normal"/>
    <w:link w:val="SubtitleChar"/>
    <w:autoRedefine/>
    <w:uiPriority w:val="11"/>
    <w:rsid w:val="00D13191"/>
    <w:pPr>
      <w:spacing w:before="100"/>
    </w:pPr>
    <w:rPr>
      <w:rFonts w:eastAsiaTheme="minorEastAsia"/>
      <w:spacing w:val="10"/>
      <w:sz w:val="30"/>
    </w:rPr>
  </w:style>
  <w:style w:type="character" w:customStyle="1" w:styleId="SubtitleChar">
    <w:name w:val="Subtitle Char"/>
    <w:basedOn w:val="DefaultParagraphFont"/>
    <w:link w:val="Subtitle"/>
    <w:uiPriority w:val="11"/>
    <w:rsid w:val="00D13191"/>
    <w:rPr>
      <w:color w:val="0D0D0D" w:themeColor="text1"/>
      <w:spacing w:val="10"/>
      <w:sz w:val="28"/>
    </w:rPr>
  </w:style>
  <w:style w:type="character" w:customStyle="1" w:styleId="Heading4Char">
    <w:name w:val="Heading 4 Char"/>
    <w:basedOn w:val="DefaultParagraphFont"/>
    <w:link w:val="Heading4"/>
    <w:uiPriority w:val="9"/>
    <w:rsid w:val="00D7162E"/>
    <w:rPr>
      <w:rFonts w:eastAsiaTheme="minorEastAsia" w:cstheme="minorHAnsi"/>
      <w:kern w:val="0"/>
      <w:sz w:val="28"/>
      <w:szCs w:val="21"/>
      <w14:ligatures w14:val="none"/>
    </w:rPr>
  </w:style>
  <w:style w:type="character" w:customStyle="1" w:styleId="Heading5Char">
    <w:name w:val="Heading 5 Char"/>
    <w:basedOn w:val="DefaultParagraphFont"/>
    <w:link w:val="Heading5"/>
    <w:uiPriority w:val="9"/>
    <w:rsid w:val="00141BC3"/>
    <w:rPr>
      <w:rFonts w:cstheme="majorHAnsi"/>
      <w:color w:val="494949" w:themeColor="text2" w:themeTint="BF"/>
      <w:kern w:val="0"/>
      <w:szCs w:val="28"/>
      <w14:ligatures w14:val="none"/>
    </w:rPr>
  </w:style>
  <w:style w:type="character" w:customStyle="1" w:styleId="Heading6Char">
    <w:name w:val="Heading 6 Char"/>
    <w:basedOn w:val="DefaultParagraphFont"/>
    <w:link w:val="Heading6"/>
    <w:uiPriority w:val="9"/>
    <w:rsid w:val="005079DF"/>
    <w:rPr>
      <w:rFonts w:cstheme="minorHAnsi"/>
      <w:color w:val="0D0D0D" w:themeColor="text1"/>
      <w:kern w:val="0"/>
      <w14:ligatures w14:val="none"/>
    </w:rPr>
  </w:style>
  <w:style w:type="paragraph" w:styleId="ListParagraph">
    <w:name w:val="List Paragraph"/>
    <w:aliases w:val="Numbered List Paragraph,Indent,Ha,Table Bullet,Normal Bullet,Sidebar,tb,table bullet,Bullet List,Paragraph Bullets,List Paragraph1,FooterText,New bullet,Dot pt,No Spacing1,List Paragraph Char Char Char,Indicator Text,Numbered Para 1"/>
    <w:basedOn w:val="Normal"/>
    <w:link w:val="ListParagraphChar"/>
    <w:autoRedefine/>
    <w:uiPriority w:val="34"/>
    <w:qFormat/>
    <w:rsid w:val="00A442A1"/>
    <w:pPr>
      <w:numPr>
        <w:numId w:val="1"/>
      </w:numPr>
      <w:spacing w:before="180" w:after="200" w:line="216" w:lineRule="auto"/>
    </w:pPr>
    <w:rPr>
      <w:rFonts w:ascii="Work Sans SemiBold" w:eastAsiaTheme="minorEastAsia" w:hAnsi="Work Sans SemiBold"/>
      <w:color w:val="auto"/>
      <w:szCs w:val="24"/>
    </w:rPr>
  </w:style>
  <w:style w:type="character" w:customStyle="1" w:styleId="Heading7Char">
    <w:name w:val="Heading 7 Char"/>
    <w:basedOn w:val="DefaultParagraphFont"/>
    <w:link w:val="Heading7"/>
    <w:uiPriority w:val="9"/>
    <w:semiHidden/>
    <w:rsid w:val="004D2DA7"/>
    <w:rPr>
      <w:rFonts w:eastAsiaTheme="majorEastAsia" w:cstheme="majorBidi"/>
      <w:color w:val="616161" w:themeColor="text1" w:themeTint="A6"/>
      <w:kern w:val="0"/>
      <w:sz w:val="30"/>
      <w:szCs w:val="20"/>
      <w14:ligatures w14:val="none"/>
    </w:rPr>
  </w:style>
  <w:style w:type="character" w:customStyle="1" w:styleId="Heading8Char">
    <w:name w:val="Heading 8 Char"/>
    <w:basedOn w:val="DefaultParagraphFont"/>
    <w:link w:val="Heading8"/>
    <w:uiPriority w:val="9"/>
    <w:semiHidden/>
    <w:rsid w:val="004D2DA7"/>
    <w:rPr>
      <w:rFonts w:eastAsiaTheme="majorEastAsia" w:cstheme="majorBidi"/>
      <w:i/>
      <w:iCs/>
      <w:color w:val="323232" w:themeColor="text1" w:themeTint="D8"/>
      <w:kern w:val="0"/>
      <w:sz w:val="30"/>
      <w:szCs w:val="20"/>
      <w14:ligatures w14:val="none"/>
    </w:rPr>
  </w:style>
  <w:style w:type="character" w:customStyle="1" w:styleId="Heading9Char">
    <w:name w:val="Heading 9 Char"/>
    <w:basedOn w:val="DefaultParagraphFont"/>
    <w:link w:val="Heading9"/>
    <w:uiPriority w:val="9"/>
    <w:semiHidden/>
    <w:rsid w:val="004D2DA7"/>
    <w:rPr>
      <w:rFonts w:eastAsiaTheme="majorEastAsia" w:cstheme="majorBidi"/>
      <w:color w:val="323232" w:themeColor="text1" w:themeTint="D8"/>
      <w:kern w:val="0"/>
      <w:sz w:val="30"/>
      <w:szCs w:val="20"/>
      <w14:ligatures w14:val="none"/>
    </w:rPr>
  </w:style>
  <w:style w:type="paragraph" w:styleId="Title">
    <w:name w:val="Title"/>
    <w:basedOn w:val="Normal"/>
    <w:next w:val="Normal"/>
    <w:link w:val="TitleChar"/>
    <w:uiPriority w:val="10"/>
    <w:rsid w:val="004D2DA7"/>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D2DA7"/>
    <w:rPr>
      <w:rFonts w:asciiTheme="majorHAnsi" w:eastAsiaTheme="majorEastAsia" w:hAnsiTheme="majorHAnsi" w:cstheme="majorBidi"/>
      <w:spacing w:val="-10"/>
      <w:kern w:val="28"/>
      <w:sz w:val="56"/>
      <w:szCs w:val="56"/>
      <w14:ligatures w14:val="none"/>
    </w:rPr>
  </w:style>
  <w:style w:type="paragraph" w:styleId="Quote">
    <w:name w:val="Quote"/>
    <w:basedOn w:val="Normal"/>
    <w:next w:val="Normal"/>
    <w:link w:val="QuoteChar"/>
    <w:uiPriority w:val="29"/>
    <w:rsid w:val="004D2DA7"/>
    <w:pPr>
      <w:spacing w:before="160" w:after="160"/>
      <w:jc w:val="center"/>
    </w:pPr>
    <w:rPr>
      <w:rFonts w:eastAsiaTheme="minorEastAsia"/>
      <w:i/>
      <w:iCs/>
      <w:color w:val="494949" w:themeColor="text1" w:themeTint="BF"/>
      <w:sz w:val="30"/>
    </w:rPr>
  </w:style>
  <w:style w:type="character" w:customStyle="1" w:styleId="QuoteChar">
    <w:name w:val="Quote Char"/>
    <w:basedOn w:val="DefaultParagraphFont"/>
    <w:link w:val="Quote"/>
    <w:uiPriority w:val="29"/>
    <w:rsid w:val="004D2DA7"/>
    <w:rPr>
      <w:rFonts w:eastAsiaTheme="minorEastAsia"/>
      <w:i/>
      <w:iCs/>
      <w:color w:val="494949" w:themeColor="text1" w:themeTint="BF"/>
      <w:kern w:val="0"/>
      <w:sz w:val="30"/>
      <w:szCs w:val="20"/>
      <w14:ligatures w14:val="none"/>
    </w:rPr>
  </w:style>
  <w:style w:type="character" w:styleId="IntenseEmphasis">
    <w:name w:val="Intense Emphasis"/>
    <w:basedOn w:val="DefaultParagraphFont"/>
    <w:uiPriority w:val="21"/>
    <w:rsid w:val="004D2DA7"/>
    <w:rPr>
      <w:i/>
      <w:iCs/>
      <w:color w:val="21487C" w:themeColor="accent1" w:themeShade="BF"/>
    </w:rPr>
  </w:style>
  <w:style w:type="paragraph" w:styleId="IntenseQuote">
    <w:name w:val="Intense Quote"/>
    <w:basedOn w:val="Normal"/>
    <w:next w:val="Normal"/>
    <w:link w:val="IntenseQuoteChar"/>
    <w:uiPriority w:val="30"/>
    <w:rsid w:val="004D2DA7"/>
    <w:pPr>
      <w:pBdr>
        <w:top w:val="single" w:sz="4" w:space="10" w:color="21487C" w:themeColor="accent1" w:themeShade="BF"/>
        <w:bottom w:val="single" w:sz="4" w:space="10" w:color="21487C" w:themeColor="accent1" w:themeShade="BF"/>
      </w:pBdr>
      <w:spacing w:before="360" w:after="360"/>
      <w:ind w:left="864" w:right="864"/>
      <w:jc w:val="center"/>
    </w:pPr>
    <w:rPr>
      <w:rFonts w:eastAsiaTheme="minorEastAsia"/>
      <w:i/>
      <w:iCs/>
      <w:color w:val="21487C" w:themeColor="accent1" w:themeShade="BF"/>
      <w:sz w:val="30"/>
    </w:rPr>
  </w:style>
  <w:style w:type="character" w:customStyle="1" w:styleId="IntenseQuoteChar">
    <w:name w:val="Intense Quote Char"/>
    <w:basedOn w:val="DefaultParagraphFont"/>
    <w:link w:val="IntenseQuote"/>
    <w:uiPriority w:val="30"/>
    <w:rsid w:val="004D2DA7"/>
    <w:rPr>
      <w:rFonts w:eastAsiaTheme="minorEastAsia"/>
      <w:i/>
      <w:iCs/>
      <w:color w:val="21487C" w:themeColor="accent1" w:themeShade="BF"/>
      <w:kern w:val="0"/>
      <w:sz w:val="30"/>
      <w:szCs w:val="20"/>
      <w14:ligatures w14:val="none"/>
    </w:rPr>
  </w:style>
  <w:style w:type="character" w:styleId="IntenseReference">
    <w:name w:val="Intense Reference"/>
    <w:basedOn w:val="DefaultParagraphFont"/>
    <w:uiPriority w:val="32"/>
    <w:qFormat/>
    <w:rsid w:val="00D06445"/>
    <w:rPr>
      <w:rFonts w:asciiTheme="majorHAnsi" w:hAnsiTheme="majorHAnsi" w:cstheme="majorHAnsi"/>
      <w:smallCaps/>
      <w:color w:val="3A3A3A" w:themeColor="background2" w:themeShade="40"/>
      <w:spacing w:val="5"/>
    </w:rPr>
  </w:style>
  <w:style w:type="paragraph" w:styleId="Header">
    <w:name w:val="header"/>
    <w:basedOn w:val="Normal"/>
    <w:link w:val="HeaderChar"/>
    <w:uiPriority w:val="99"/>
    <w:unhideWhenUsed/>
    <w:rsid w:val="00F86F3A"/>
    <w:pPr>
      <w:tabs>
        <w:tab w:val="center" w:pos="4680"/>
        <w:tab w:val="right" w:pos="9360"/>
      </w:tabs>
      <w:spacing w:after="0"/>
    </w:pPr>
  </w:style>
  <w:style w:type="character" w:customStyle="1" w:styleId="HeaderChar">
    <w:name w:val="Header Char"/>
    <w:basedOn w:val="DefaultParagraphFont"/>
    <w:link w:val="Header"/>
    <w:uiPriority w:val="99"/>
    <w:rsid w:val="001A3ABB"/>
    <w:rPr>
      <w:color w:val="0D0D0D" w:themeColor="text1"/>
      <w:kern w:val="0"/>
      <w:sz w:val="20"/>
      <w:szCs w:val="20"/>
      <w14:ligatures w14:val="none"/>
    </w:rPr>
  </w:style>
  <w:style w:type="paragraph" w:styleId="Footer">
    <w:name w:val="footer"/>
    <w:basedOn w:val="Normal"/>
    <w:link w:val="FooterChar"/>
    <w:uiPriority w:val="99"/>
    <w:unhideWhenUsed/>
    <w:rsid w:val="00F86F3A"/>
    <w:pPr>
      <w:tabs>
        <w:tab w:val="center" w:pos="4680"/>
        <w:tab w:val="right" w:pos="9360"/>
      </w:tabs>
      <w:spacing w:after="0"/>
    </w:pPr>
  </w:style>
  <w:style w:type="character" w:customStyle="1" w:styleId="FooterChar">
    <w:name w:val="Footer Char"/>
    <w:basedOn w:val="DefaultParagraphFont"/>
    <w:link w:val="Footer"/>
    <w:uiPriority w:val="99"/>
    <w:rsid w:val="00F86F3A"/>
    <w:rPr>
      <w:color w:val="0D0D0D" w:themeColor="text1"/>
      <w:kern w:val="0"/>
      <w:sz w:val="20"/>
      <w:szCs w:val="20"/>
      <w14:ligatures w14:val="none"/>
    </w:rPr>
  </w:style>
  <w:style w:type="character" w:styleId="PlaceholderText">
    <w:name w:val="Placeholder Text"/>
    <w:basedOn w:val="DefaultParagraphFont"/>
    <w:uiPriority w:val="99"/>
    <w:semiHidden/>
    <w:rsid w:val="00C47A72"/>
    <w:rPr>
      <w:color w:val="666666"/>
    </w:rPr>
  </w:style>
  <w:style w:type="character" w:customStyle="1" w:styleId="Style1">
    <w:name w:val="Style1"/>
    <w:basedOn w:val="DefaultParagraphFont"/>
    <w:uiPriority w:val="1"/>
    <w:rsid w:val="00C95679"/>
    <w:rPr>
      <w:rFonts w:asciiTheme="minorHAnsi" w:hAnsiTheme="minorHAnsi"/>
      <w:sz w:val="22"/>
    </w:rPr>
  </w:style>
  <w:style w:type="paragraph" w:styleId="NoSpacing">
    <w:name w:val="No Spacing"/>
    <w:link w:val="NoSpacingChar"/>
    <w:uiPriority w:val="1"/>
    <w:rsid w:val="00CC63B9"/>
    <w:pPr>
      <w:spacing w:after="0"/>
    </w:pPr>
    <w:rPr>
      <w:color w:val="0D0D0D" w:themeColor="text1"/>
      <w:kern w:val="0"/>
      <w:sz w:val="22"/>
      <w:szCs w:val="22"/>
      <w14:ligatures w14:val="none"/>
    </w:rPr>
  </w:style>
  <w:style w:type="paragraph" w:customStyle="1" w:styleId="Normal1">
    <w:name w:val="Normal1"/>
    <w:basedOn w:val="Normal"/>
    <w:link w:val="NORMALChar"/>
    <w:autoRedefine/>
    <w:rsid w:val="00D8207B"/>
    <w:rPr>
      <w:sz w:val="24"/>
    </w:rPr>
  </w:style>
  <w:style w:type="character" w:customStyle="1" w:styleId="NoSpacingChar">
    <w:name w:val="No Spacing Char"/>
    <w:basedOn w:val="DefaultParagraphFont"/>
    <w:link w:val="NoSpacing"/>
    <w:uiPriority w:val="1"/>
    <w:rsid w:val="00CC63B9"/>
    <w:rPr>
      <w:color w:val="0D0D0D" w:themeColor="text1"/>
      <w:kern w:val="0"/>
      <w:sz w:val="22"/>
      <w:szCs w:val="22"/>
      <w14:ligatures w14:val="none"/>
    </w:rPr>
  </w:style>
  <w:style w:type="character" w:customStyle="1" w:styleId="NORMALChar">
    <w:name w:val="NORMAL Char"/>
    <w:basedOn w:val="NoSpacingChar"/>
    <w:link w:val="Normal1"/>
    <w:rsid w:val="00D8207B"/>
    <w:rPr>
      <w:color w:val="0D0D0D" w:themeColor="text1"/>
      <w:kern w:val="0"/>
      <w:sz w:val="22"/>
      <w:szCs w:val="20"/>
      <w14:ligatures w14:val="none"/>
    </w:rPr>
  </w:style>
  <w:style w:type="character" w:customStyle="1" w:styleId="ListParagraphChar">
    <w:name w:val="List Paragraph Char"/>
    <w:aliases w:val="Numbered List Paragraph Char,Indent Char,Ha Char,Table Bullet Char,Normal Bullet Char,Sidebar Char,tb Char,table bullet Char,Bullet List Char,Paragraph Bullets Char,List Paragraph1 Char,FooterText Char,New bullet Char,Dot pt Char"/>
    <w:basedOn w:val="DefaultParagraphFont"/>
    <w:link w:val="ListParagraph"/>
    <w:uiPriority w:val="34"/>
    <w:qFormat/>
    <w:rsid w:val="00A442A1"/>
    <w:rPr>
      <w:rFonts w:ascii="Work Sans SemiBold" w:eastAsiaTheme="minorEastAsia" w:hAnsi="Work Sans SemiBold"/>
      <w:kern w:val="0"/>
      <w:sz w:val="20"/>
      <w14:ligatures w14:val="none"/>
    </w:rPr>
  </w:style>
  <w:style w:type="paragraph" w:customStyle="1" w:styleId="CoverSubheading">
    <w:name w:val="Cover Subheading"/>
    <w:basedOn w:val="Normal"/>
    <w:rsid w:val="00DE5A40"/>
    <w:pPr>
      <w:spacing w:before="0" w:after="0" w:line="276" w:lineRule="auto"/>
    </w:pPr>
    <w:rPr>
      <w:rFonts w:eastAsiaTheme="majorEastAsia" w:cstheme="majorBidi"/>
      <w:b/>
      <w:color w:val="FFFFFF" w:themeColor="background1"/>
      <w:sz w:val="28"/>
      <w:szCs w:val="26"/>
    </w:rPr>
  </w:style>
  <w:style w:type="paragraph" w:customStyle="1" w:styleId="CoverTitle">
    <w:name w:val="Cover Title"/>
    <w:unhideWhenUsed/>
    <w:rsid w:val="00DE5A40"/>
    <w:pPr>
      <w:spacing w:before="0" w:after="160"/>
    </w:pPr>
    <w:rPr>
      <w:rFonts w:ascii="Georgia" w:eastAsiaTheme="majorEastAsia" w:hAnsi="Georgia" w:cstheme="majorBidi"/>
      <w:color w:val="FFFFFF" w:themeColor="background1"/>
      <w:spacing w:val="-10"/>
      <w:kern w:val="28"/>
      <w:sz w:val="48"/>
      <w:szCs w:val="48"/>
      <w14:ligatures w14:val="none"/>
    </w:rPr>
  </w:style>
  <w:style w:type="table" w:styleId="TableGrid">
    <w:name w:val="Table Grid"/>
    <w:basedOn w:val="TableNormal"/>
    <w:uiPriority w:val="39"/>
    <w:rsid w:val="008B3E5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1F69"/>
    <w:rPr>
      <w:color w:val="F28627" w:themeColor="hyperlink"/>
      <w:u w:val="single"/>
    </w:rPr>
  </w:style>
  <w:style w:type="character" w:styleId="UnresolvedMention">
    <w:name w:val="Unresolved Mention"/>
    <w:basedOn w:val="DefaultParagraphFont"/>
    <w:uiPriority w:val="99"/>
    <w:semiHidden/>
    <w:unhideWhenUsed/>
    <w:rsid w:val="003E1F69"/>
    <w:rPr>
      <w:color w:val="605E5C"/>
      <w:shd w:val="clear" w:color="auto" w:fill="E1DFDD"/>
    </w:rPr>
  </w:style>
  <w:style w:type="character" w:styleId="LineNumber">
    <w:name w:val="line number"/>
    <w:basedOn w:val="DefaultParagraphFont"/>
    <w:uiPriority w:val="99"/>
    <w:semiHidden/>
    <w:unhideWhenUsed/>
    <w:rsid w:val="002B2336"/>
  </w:style>
  <w:style w:type="paragraph" w:customStyle="1" w:styleId="Callout">
    <w:name w:val="Callout"/>
    <w:autoRedefine/>
    <w:rsid w:val="00F25EE5"/>
    <w:pPr>
      <w:spacing w:before="0" w:after="0"/>
    </w:pPr>
    <w:rPr>
      <w:rFonts w:asciiTheme="majorHAnsi" w:eastAsiaTheme="majorEastAsia" w:hAnsiTheme="majorHAnsi" w:cstheme="majorBidi"/>
      <w:bCs/>
      <w:color w:val="0D0D0D" w:themeColor="text2"/>
      <w:kern w:val="0"/>
      <w:sz w:val="28"/>
      <w:szCs w:val="28"/>
      <w:lang w:val="en-GB"/>
      <w14:ligatures w14:val="none"/>
    </w:rPr>
  </w:style>
  <w:style w:type="paragraph" w:customStyle="1" w:styleId="ListTA">
    <w:name w:val="List TA"/>
    <w:basedOn w:val="Normal"/>
    <w:link w:val="ListTAChar"/>
    <w:autoRedefine/>
    <w:qFormat/>
    <w:rsid w:val="00FE518C"/>
    <w:pPr>
      <w:numPr>
        <w:numId w:val="2"/>
      </w:numPr>
      <w:spacing w:before="0" w:line="360" w:lineRule="auto"/>
      <w:contextualSpacing/>
    </w:pPr>
    <w:rPr>
      <w:sz w:val="22"/>
    </w:rPr>
  </w:style>
  <w:style w:type="character" w:customStyle="1" w:styleId="ListTAChar">
    <w:name w:val="List TA Char"/>
    <w:basedOn w:val="DefaultParagraphFont"/>
    <w:link w:val="ListTA"/>
    <w:rsid w:val="00FE518C"/>
    <w:rPr>
      <w:color w:val="0D0D0D" w:themeColor="text1"/>
      <w:kern w:val="0"/>
      <w:sz w:val="22"/>
      <w:szCs w:val="20"/>
      <w14:ligatures w14:val="none"/>
    </w:rPr>
  </w:style>
  <w:style w:type="table" w:styleId="PlainTable5">
    <w:name w:val="Plain Table 5"/>
    <w:basedOn w:val="TableNormal"/>
    <w:uiPriority w:val="45"/>
    <w:rsid w:val="00A95A4E"/>
    <w:pPr>
      <w:spacing w:before="0" w:after="0"/>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8585"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8585"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8585"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8585"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rsid w:val="00A95A4E"/>
    <w:rPr>
      <w:b/>
      <w:bCs/>
    </w:rPr>
  </w:style>
  <w:style w:type="paragraph" w:styleId="TOCHeading">
    <w:name w:val="TOC Heading"/>
    <w:basedOn w:val="Heading1"/>
    <w:next w:val="Normal"/>
    <w:uiPriority w:val="39"/>
    <w:unhideWhenUsed/>
    <w:qFormat/>
    <w:rsid w:val="003E34CE"/>
    <w:pPr>
      <w:keepNext/>
      <w:keepLines/>
      <w:spacing w:line="259" w:lineRule="auto"/>
      <w:outlineLvl w:val="9"/>
    </w:pPr>
    <w:rPr>
      <w:rFonts w:eastAsiaTheme="majorEastAsia" w:cstheme="majorBidi"/>
      <w:color w:val="2D61A6" w:themeColor="accent1"/>
      <w:sz w:val="32"/>
      <w:szCs w:val="32"/>
      <w14:textFill>
        <w14:solidFill>
          <w14:schemeClr w14:val="accent1">
            <w14:lumMod w14:val="75000"/>
            <w14:lumMod w14:val="75000"/>
            <w14:lumOff w14:val="25000"/>
          </w14:schemeClr>
        </w14:solidFill>
      </w14:textFill>
    </w:rPr>
  </w:style>
  <w:style w:type="paragraph" w:styleId="TOC2">
    <w:name w:val="toc 2"/>
    <w:basedOn w:val="Normal"/>
    <w:next w:val="Normal"/>
    <w:autoRedefine/>
    <w:uiPriority w:val="39"/>
    <w:unhideWhenUsed/>
    <w:rsid w:val="00246051"/>
    <w:pPr>
      <w:tabs>
        <w:tab w:val="right" w:leader="dot" w:pos="9360"/>
      </w:tabs>
      <w:spacing w:after="100"/>
      <w:ind w:left="200"/>
    </w:pPr>
  </w:style>
  <w:style w:type="paragraph" w:styleId="TOC3">
    <w:name w:val="toc 3"/>
    <w:basedOn w:val="Normal"/>
    <w:next w:val="Normal"/>
    <w:autoRedefine/>
    <w:uiPriority w:val="39"/>
    <w:unhideWhenUsed/>
    <w:rsid w:val="00313BB2"/>
    <w:pPr>
      <w:tabs>
        <w:tab w:val="right" w:leader="dot" w:pos="9000"/>
      </w:tabs>
      <w:spacing w:after="100"/>
      <w:ind w:left="400"/>
    </w:pPr>
    <w:rPr>
      <w:noProof/>
      <w:color w:val="3A3A3A" w:themeColor="background2" w:themeShade="40"/>
      <w:sz w:val="24"/>
      <w:szCs w:val="24"/>
    </w:rPr>
  </w:style>
  <w:style w:type="character" w:styleId="PageNumber">
    <w:name w:val="page number"/>
    <w:basedOn w:val="DefaultParagraphFont"/>
    <w:uiPriority w:val="99"/>
    <w:semiHidden/>
    <w:unhideWhenUsed/>
    <w:rsid w:val="00A0653E"/>
    <w:rPr>
      <w:b w:val="0"/>
    </w:rPr>
  </w:style>
  <w:style w:type="paragraph" w:styleId="TOC1">
    <w:name w:val="toc 1"/>
    <w:basedOn w:val="Normal"/>
    <w:next w:val="Normal"/>
    <w:link w:val="TOC1Char"/>
    <w:autoRedefine/>
    <w:uiPriority w:val="39"/>
    <w:unhideWhenUsed/>
    <w:rsid w:val="007D6DE9"/>
    <w:pPr>
      <w:spacing w:after="100"/>
    </w:pPr>
  </w:style>
  <w:style w:type="paragraph" w:styleId="TOC4">
    <w:name w:val="toc 4"/>
    <w:basedOn w:val="Normal"/>
    <w:next w:val="Normal"/>
    <w:autoRedefine/>
    <w:uiPriority w:val="39"/>
    <w:unhideWhenUsed/>
    <w:rsid w:val="007D6DE9"/>
    <w:pPr>
      <w:spacing w:after="100"/>
      <w:ind w:left="600"/>
    </w:pPr>
  </w:style>
  <w:style w:type="paragraph" w:styleId="TOC5">
    <w:name w:val="toc 5"/>
    <w:basedOn w:val="Normal"/>
    <w:next w:val="Normal"/>
    <w:autoRedefine/>
    <w:uiPriority w:val="39"/>
    <w:unhideWhenUsed/>
    <w:rsid w:val="007D6DE9"/>
    <w:pPr>
      <w:spacing w:after="100"/>
      <w:ind w:left="800"/>
    </w:pPr>
  </w:style>
  <w:style w:type="paragraph" w:customStyle="1" w:styleId="TableParagraph">
    <w:name w:val="Table Paragraph"/>
    <w:basedOn w:val="Normal"/>
    <w:autoRedefine/>
    <w:uiPriority w:val="1"/>
    <w:rsid w:val="007D6834"/>
    <w:pPr>
      <w:widowControl w:val="0"/>
      <w:autoSpaceDE w:val="0"/>
      <w:autoSpaceDN w:val="0"/>
      <w:spacing w:before="0" w:after="0"/>
      <w:ind w:left="110"/>
    </w:pPr>
    <w:rPr>
      <w:rFonts w:eastAsia="Calibri" w:cs="Calibri"/>
      <w:color w:val="auto"/>
      <w:sz w:val="24"/>
      <w:szCs w:val="22"/>
    </w:rPr>
  </w:style>
  <w:style w:type="paragraph" w:styleId="BodyText">
    <w:name w:val="Body Text"/>
    <w:basedOn w:val="Normal"/>
    <w:link w:val="BodyTextChar"/>
    <w:autoRedefine/>
    <w:uiPriority w:val="1"/>
    <w:qFormat/>
    <w:rsid w:val="00644A8A"/>
    <w:pPr>
      <w:widowControl w:val="0"/>
      <w:spacing w:before="120" w:after="0" w:line="360" w:lineRule="auto"/>
    </w:pPr>
    <w:rPr>
      <w:rFonts w:eastAsia="Times New Roman" w:cstheme="minorHAnsi"/>
      <w:sz w:val="22"/>
      <w:szCs w:val="22"/>
      <w:lang w:bidi="kok-IN"/>
    </w:rPr>
  </w:style>
  <w:style w:type="character" w:customStyle="1" w:styleId="BodyTextChar">
    <w:name w:val="Body Text Char"/>
    <w:basedOn w:val="DefaultParagraphFont"/>
    <w:link w:val="BodyText"/>
    <w:uiPriority w:val="1"/>
    <w:rsid w:val="00644A8A"/>
    <w:rPr>
      <w:rFonts w:eastAsia="Times New Roman" w:cstheme="minorHAnsi"/>
      <w:color w:val="0D0D0D" w:themeColor="text1"/>
      <w:kern w:val="0"/>
      <w:sz w:val="22"/>
      <w:szCs w:val="22"/>
      <w:lang w:bidi="kok-IN"/>
      <w14:ligatures w14:val="none"/>
    </w:rPr>
  </w:style>
  <w:style w:type="character" w:styleId="SubtleReference">
    <w:name w:val="Subtle Reference"/>
    <w:aliases w:val="Table Title 1"/>
    <w:basedOn w:val="DefaultParagraphFont"/>
    <w:uiPriority w:val="31"/>
    <w:rsid w:val="001C159D"/>
    <w:rPr>
      <w:color w:val="3A3A3A" w:themeColor="background2" w:themeShade="40"/>
    </w:rPr>
  </w:style>
  <w:style w:type="paragraph" w:customStyle="1" w:styleId="TableLabel">
    <w:name w:val="Table Label"/>
    <w:basedOn w:val="TableParagraph"/>
    <w:link w:val="TableLabelChar"/>
    <w:autoRedefine/>
    <w:rsid w:val="009041AA"/>
    <w:pPr>
      <w:spacing w:before="35" w:line="363" w:lineRule="exact"/>
      <w:ind w:left="0"/>
    </w:pPr>
    <w:rPr>
      <w:rFonts w:asciiTheme="majorHAnsi" w:hAnsiTheme="majorHAnsi" w:cstheme="majorHAnsi"/>
      <w:bCs/>
      <w:szCs w:val="24"/>
    </w:rPr>
  </w:style>
  <w:style w:type="character" w:customStyle="1" w:styleId="TOC1Char">
    <w:name w:val="TOC 1 Char"/>
    <w:basedOn w:val="DefaultParagraphFont"/>
    <w:link w:val="TOC1"/>
    <w:uiPriority w:val="39"/>
    <w:rsid w:val="007809D5"/>
    <w:rPr>
      <w:color w:val="0D0D0D" w:themeColor="text1"/>
      <w:kern w:val="0"/>
      <w:sz w:val="20"/>
      <w:szCs w:val="20"/>
      <w14:ligatures w14:val="none"/>
    </w:rPr>
  </w:style>
  <w:style w:type="character" w:customStyle="1" w:styleId="TableLabelChar">
    <w:name w:val="Table Label Char"/>
    <w:basedOn w:val="TOC1Char"/>
    <w:link w:val="TableLabel"/>
    <w:rsid w:val="009041AA"/>
    <w:rPr>
      <w:rFonts w:asciiTheme="majorHAnsi" w:eastAsia="Calibri" w:hAnsiTheme="majorHAnsi" w:cstheme="majorHAnsi"/>
      <w:bCs/>
      <w:color w:val="0D0D0D" w:themeColor="text1"/>
      <w:kern w:val="0"/>
      <w:sz w:val="20"/>
      <w:szCs w:val="20"/>
      <w14:ligatures w14:val="none"/>
    </w:rPr>
  </w:style>
  <w:style w:type="paragraph" w:customStyle="1" w:styleId="Cover1">
    <w:name w:val="Cover 1"/>
    <w:basedOn w:val="Heading1"/>
    <w:link w:val="Cover1Char"/>
    <w:rsid w:val="0086131A"/>
  </w:style>
  <w:style w:type="character" w:customStyle="1" w:styleId="Cover1Char">
    <w:name w:val="Cover 1 Char"/>
    <w:basedOn w:val="Heading1Char"/>
    <w:link w:val="Cover1"/>
    <w:rsid w:val="0086131A"/>
    <w:rPr>
      <w:rFonts w:asciiTheme="majorHAnsi" w:hAnsiTheme="majorHAnsi" w:cstheme="majorHAnsi"/>
      <w:color w:val="494949" w:themeColor="text2" w:themeTint="BF"/>
      <w:kern w:val="0"/>
      <w:sz w:val="48"/>
      <w:szCs w:val="48"/>
      <w14:ligatures w14:val="none"/>
    </w:rPr>
  </w:style>
  <w:style w:type="table" w:styleId="PlainTable4">
    <w:name w:val="Plain Table 4"/>
    <w:basedOn w:val="TableNormal"/>
    <w:uiPriority w:val="44"/>
    <w:rsid w:val="003B09B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uiPriority w:val="33"/>
    <w:rsid w:val="002D4C32"/>
    <w:rPr>
      <w:b/>
      <w:bCs/>
      <w:i/>
      <w:iCs/>
      <w:spacing w:val="5"/>
    </w:rPr>
  </w:style>
  <w:style w:type="table" w:styleId="ListTable3">
    <w:name w:val="List Table 3"/>
    <w:basedOn w:val="TableNormal"/>
    <w:uiPriority w:val="48"/>
    <w:rsid w:val="005F570C"/>
    <w:pPr>
      <w:spacing w:after="0"/>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TableGridLight">
    <w:name w:val="Grid Table Light"/>
    <w:basedOn w:val="TableNormal"/>
    <w:uiPriority w:val="40"/>
    <w:rsid w:val="00E368B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C0101"/>
    <w:rPr>
      <w:sz w:val="16"/>
      <w:szCs w:val="16"/>
    </w:rPr>
  </w:style>
  <w:style w:type="paragraph" w:styleId="CommentText">
    <w:name w:val="annotation text"/>
    <w:basedOn w:val="Normal"/>
    <w:link w:val="CommentTextChar"/>
    <w:uiPriority w:val="99"/>
    <w:unhideWhenUsed/>
    <w:rsid w:val="005C0101"/>
  </w:style>
  <w:style w:type="character" w:customStyle="1" w:styleId="CommentTextChar">
    <w:name w:val="Comment Text Char"/>
    <w:basedOn w:val="DefaultParagraphFont"/>
    <w:link w:val="CommentText"/>
    <w:uiPriority w:val="99"/>
    <w:rsid w:val="005C0101"/>
    <w:rPr>
      <w:color w:val="0D0D0D"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101"/>
    <w:rPr>
      <w:b/>
      <w:bCs/>
    </w:rPr>
  </w:style>
  <w:style w:type="character" w:customStyle="1" w:styleId="CommentSubjectChar">
    <w:name w:val="Comment Subject Char"/>
    <w:basedOn w:val="CommentTextChar"/>
    <w:link w:val="CommentSubject"/>
    <w:uiPriority w:val="99"/>
    <w:semiHidden/>
    <w:rsid w:val="005C0101"/>
    <w:rPr>
      <w:b/>
      <w:bCs/>
      <w:color w:val="0D0D0D" w:themeColor="text1"/>
      <w:kern w:val="0"/>
      <w:sz w:val="20"/>
      <w:szCs w:val="20"/>
      <w14:ligatures w14:val="none"/>
    </w:rPr>
  </w:style>
  <w:style w:type="table" w:styleId="GridTable1Light">
    <w:name w:val="Grid Table 1 Light"/>
    <w:basedOn w:val="TableNormal"/>
    <w:uiPriority w:val="46"/>
    <w:rsid w:val="004B3882"/>
    <w:pPr>
      <w:spacing w:after="0"/>
    </w:pPr>
    <w:tblPr>
      <w:tblStyleRowBandSize w:val="1"/>
      <w:tblStyleColBandSize w:val="1"/>
      <w:tblBorders>
        <w:top w:val="single" w:sz="4" w:space="0" w:color="9E9E9E" w:themeColor="text1" w:themeTint="66"/>
        <w:left w:val="single" w:sz="4" w:space="0" w:color="9E9E9E" w:themeColor="text1" w:themeTint="66"/>
        <w:bottom w:val="single" w:sz="4" w:space="0" w:color="9E9E9E" w:themeColor="text1" w:themeTint="66"/>
        <w:right w:val="single" w:sz="4" w:space="0" w:color="9E9E9E" w:themeColor="text1" w:themeTint="66"/>
        <w:insideH w:val="single" w:sz="4" w:space="0" w:color="9E9E9E" w:themeColor="text1" w:themeTint="66"/>
        <w:insideV w:val="single" w:sz="4" w:space="0" w:color="9E9E9E" w:themeColor="text1" w:themeTint="66"/>
      </w:tblBorders>
    </w:tblPr>
    <w:tblStylePr w:type="firstRow">
      <w:rPr>
        <w:b/>
        <w:bCs/>
      </w:rPr>
      <w:tblPr/>
      <w:tcPr>
        <w:tcBorders>
          <w:bottom w:val="single" w:sz="12" w:space="0" w:color="6D6D6D" w:themeColor="text1" w:themeTint="99"/>
        </w:tcBorders>
      </w:tcPr>
    </w:tblStylePr>
    <w:tblStylePr w:type="lastRow">
      <w:rPr>
        <w:b/>
        <w:bCs/>
      </w:rPr>
      <w:tblPr/>
      <w:tcPr>
        <w:tcBorders>
          <w:top w:val="double" w:sz="2" w:space="0" w:color="6D6D6D"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04046D"/>
    <w:pPr>
      <w:spacing w:before="100" w:beforeAutospacing="1" w:after="100" w:afterAutospacing="1"/>
    </w:pPr>
    <w:rPr>
      <w:rFonts w:ascii="Times New Roman" w:eastAsia="Times New Roman" w:hAnsi="Times New Roman" w:cs="Times New Roman"/>
      <w:color w:val="auto"/>
      <w:sz w:val="24"/>
      <w:szCs w:val="24"/>
      <w:lang w:bidi="kok-IN"/>
    </w:rPr>
  </w:style>
  <w:style w:type="character" w:customStyle="1" w:styleId="normaltextrun">
    <w:name w:val="normaltextrun"/>
    <w:basedOn w:val="DefaultParagraphFont"/>
    <w:rsid w:val="0004046D"/>
  </w:style>
  <w:style w:type="character" w:customStyle="1" w:styleId="eop">
    <w:name w:val="eop"/>
    <w:basedOn w:val="DefaultParagraphFont"/>
    <w:rsid w:val="0004046D"/>
  </w:style>
  <w:style w:type="paragraph" w:styleId="TOC6">
    <w:name w:val="toc 6"/>
    <w:basedOn w:val="Normal"/>
    <w:next w:val="Normal"/>
    <w:autoRedefine/>
    <w:uiPriority w:val="39"/>
    <w:unhideWhenUsed/>
    <w:rsid w:val="0073692E"/>
    <w:pPr>
      <w:spacing w:before="0" w:after="100" w:line="278" w:lineRule="auto"/>
      <w:ind w:left="1200"/>
    </w:pPr>
    <w:rPr>
      <w:rFonts w:eastAsiaTheme="minorEastAsia"/>
      <w:color w:val="auto"/>
      <w:kern w:val="2"/>
      <w:sz w:val="24"/>
      <w:szCs w:val="24"/>
      <w14:ligatures w14:val="standardContextual"/>
    </w:rPr>
  </w:style>
  <w:style w:type="paragraph" w:styleId="TOC7">
    <w:name w:val="toc 7"/>
    <w:basedOn w:val="Normal"/>
    <w:next w:val="Normal"/>
    <w:autoRedefine/>
    <w:uiPriority w:val="39"/>
    <w:unhideWhenUsed/>
    <w:rsid w:val="0073692E"/>
    <w:pPr>
      <w:spacing w:before="0" w:after="100" w:line="278" w:lineRule="auto"/>
      <w:ind w:left="1440"/>
    </w:pPr>
    <w:rPr>
      <w:rFonts w:eastAsiaTheme="minorEastAsia"/>
      <w:color w:val="auto"/>
      <w:kern w:val="2"/>
      <w:sz w:val="24"/>
      <w:szCs w:val="24"/>
      <w14:ligatures w14:val="standardContextual"/>
    </w:rPr>
  </w:style>
  <w:style w:type="paragraph" w:styleId="TOC8">
    <w:name w:val="toc 8"/>
    <w:basedOn w:val="Normal"/>
    <w:next w:val="Normal"/>
    <w:autoRedefine/>
    <w:uiPriority w:val="39"/>
    <w:unhideWhenUsed/>
    <w:rsid w:val="0073692E"/>
    <w:pPr>
      <w:spacing w:before="0" w:after="100" w:line="278" w:lineRule="auto"/>
      <w:ind w:left="1680"/>
    </w:pPr>
    <w:rPr>
      <w:rFonts w:eastAsiaTheme="minorEastAsia"/>
      <w:color w:val="auto"/>
      <w:kern w:val="2"/>
      <w:sz w:val="24"/>
      <w:szCs w:val="24"/>
      <w14:ligatures w14:val="standardContextual"/>
    </w:rPr>
  </w:style>
  <w:style w:type="paragraph" w:styleId="TOC9">
    <w:name w:val="toc 9"/>
    <w:basedOn w:val="Normal"/>
    <w:next w:val="Normal"/>
    <w:autoRedefine/>
    <w:uiPriority w:val="39"/>
    <w:unhideWhenUsed/>
    <w:rsid w:val="0073692E"/>
    <w:pPr>
      <w:spacing w:before="0" w:after="100" w:line="278" w:lineRule="auto"/>
      <w:ind w:left="1920"/>
    </w:pPr>
    <w:rPr>
      <w:rFonts w:eastAsiaTheme="minorEastAsia"/>
      <w:color w:val="auto"/>
      <w:kern w:val="2"/>
      <w:sz w:val="24"/>
      <w:szCs w:val="24"/>
      <w14:ligatures w14:val="standardContextual"/>
    </w:rPr>
  </w:style>
  <w:style w:type="paragraph" w:styleId="NormalWeb">
    <w:name w:val="Normal (Web)"/>
    <w:basedOn w:val="Normal"/>
    <w:uiPriority w:val="99"/>
    <w:semiHidden/>
    <w:unhideWhenUsed/>
    <w:rsid w:val="00710C93"/>
    <w:pPr>
      <w:spacing w:before="100" w:beforeAutospacing="1" w:after="100" w:afterAutospacing="1"/>
    </w:pPr>
    <w:rPr>
      <w:rFonts w:ascii="Times New Roman" w:eastAsia="Times New Roman" w:hAnsi="Times New Roman" w:cs="Times New Roman"/>
      <w:color w:val="auto"/>
      <w:sz w:val="24"/>
      <w:szCs w:val="24"/>
    </w:rPr>
  </w:style>
  <w:style w:type="paragraph" w:styleId="Revision">
    <w:name w:val="Revision"/>
    <w:hidden/>
    <w:uiPriority w:val="99"/>
    <w:semiHidden/>
    <w:rsid w:val="00BB57D4"/>
    <w:pPr>
      <w:spacing w:before="0" w:after="0"/>
    </w:pPr>
    <w:rPr>
      <w:color w:val="0D0D0D" w:themeColor="text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2333">
      <w:bodyDiv w:val="1"/>
      <w:marLeft w:val="0"/>
      <w:marRight w:val="0"/>
      <w:marTop w:val="0"/>
      <w:marBottom w:val="0"/>
      <w:divBdr>
        <w:top w:val="none" w:sz="0" w:space="0" w:color="auto"/>
        <w:left w:val="none" w:sz="0" w:space="0" w:color="auto"/>
        <w:bottom w:val="none" w:sz="0" w:space="0" w:color="auto"/>
        <w:right w:val="none" w:sz="0" w:space="0" w:color="auto"/>
      </w:divBdr>
    </w:div>
    <w:div w:id="973292760">
      <w:bodyDiv w:val="1"/>
      <w:marLeft w:val="0"/>
      <w:marRight w:val="0"/>
      <w:marTop w:val="0"/>
      <w:marBottom w:val="0"/>
      <w:divBdr>
        <w:top w:val="none" w:sz="0" w:space="0" w:color="auto"/>
        <w:left w:val="none" w:sz="0" w:space="0" w:color="auto"/>
        <w:bottom w:val="none" w:sz="0" w:space="0" w:color="auto"/>
        <w:right w:val="none" w:sz="0" w:space="0" w:color="auto"/>
      </w:divBdr>
    </w:div>
    <w:div w:id="1069617417">
      <w:bodyDiv w:val="1"/>
      <w:marLeft w:val="0"/>
      <w:marRight w:val="0"/>
      <w:marTop w:val="0"/>
      <w:marBottom w:val="0"/>
      <w:divBdr>
        <w:top w:val="none" w:sz="0" w:space="0" w:color="auto"/>
        <w:left w:val="none" w:sz="0" w:space="0" w:color="auto"/>
        <w:bottom w:val="none" w:sz="0" w:space="0" w:color="auto"/>
        <w:right w:val="none" w:sz="0" w:space="0" w:color="auto"/>
      </w:divBdr>
    </w:div>
    <w:div w:id="16686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header" Target="header1.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png"/><Relationship Id="rId25" Type="http://schemas.microsoft.com/office/2011/relationships/commentsExtended" Target="commentsExtended.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comments" Target="comments.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footer" Target="footer3.xml"/><Relationship Id="rId28" Type="http://schemas.openxmlformats.org/officeDocument/2006/relationships/header" Target="header4.xml"/><Relationship Id="rId10" Type="http://schemas.openxmlformats.org/officeDocument/2006/relationships/styles" Target="styles.xml"/><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eader" Target="header3.xml"/><Relationship Id="rId27" Type="http://schemas.microsoft.com/office/2018/08/relationships/commentsExtensible" Target="commentsExtensible.xml"/><Relationship Id="rId30" Type="http://schemas.openxmlformats.org/officeDocument/2006/relationships/header" Target="header5.xml"/><Relationship Id="rId8" Type="http://schemas.openxmlformats.org/officeDocument/2006/relationships/customXml" Target="../customXml/item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19ADBAF2B045F9B6A8A95B4F5200C6"/>
        <w:category>
          <w:name w:val="General"/>
          <w:gallery w:val="placeholder"/>
        </w:category>
        <w:types>
          <w:type w:val="bbPlcHdr"/>
        </w:types>
        <w:behaviors>
          <w:behavior w:val="content"/>
        </w:behaviors>
        <w:guid w:val="{86AA009F-BEEA-49B8-A441-B1A60942CD70}"/>
      </w:docPartPr>
      <w:docPartBody>
        <w:p w:rsidR="00571FCA" w:rsidRDefault="002F2737" w:rsidP="002F2737">
          <w:pPr>
            <w:pStyle w:val="E019ADBAF2B045F9B6A8A95B4F5200C6"/>
          </w:pPr>
          <w:r w:rsidRPr="00CC4594">
            <w:rPr>
              <w:rStyle w:val="PlaceholderText"/>
            </w:rPr>
            <w:t>[Subject]</w:t>
          </w:r>
        </w:p>
      </w:docPartBody>
    </w:docPart>
    <w:docPart>
      <w:docPartPr>
        <w:name w:val="F30CAC44AB274423BE92E548155606FD"/>
        <w:category>
          <w:name w:val="General"/>
          <w:gallery w:val="placeholder"/>
        </w:category>
        <w:types>
          <w:type w:val="bbPlcHdr"/>
        </w:types>
        <w:behaviors>
          <w:behavior w:val="content"/>
        </w:behaviors>
        <w:guid w:val="{194A2C19-B686-4AA2-962B-9B72640DED98}"/>
      </w:docPartPr>
      <w:docPartBody>
        <w:p w:rsidR="00571FCA" w:rsidRDefault="002F2737" w:rsidP="002F2737">
          <w:pPr>
            <w:pStyle w:val="F30CAC44AB274423BE92E548155606FD"/>
          </w:pPr>
          <w:r w:rsidRPr="00635C7A">
            <w:rPr>
              <w:rStyle w:val="PlaceholderText"/>
            </w:rPr>
            <w:t>Click or tap here to enter text.</w:t>
          </w:r>
        </w:p>
      </w:docPartBody>
    </w:docPart>
    <w:docPart>
      <w:docPartPr>
        <w:name w:val="D9E7B3EA1FF540CD86129DC48EDFDF4B"/>
        <w:category>
          <w:name w:val="General"/>
          <w:gallery w:val="placeholder"/>
        </w:category>
        <w:types>
          <w:type w:val="bbPlcHdr"/>
        </w:types>
        <w:behaviors>
          <w:behavior w:val="content"/>
        </w:behaviors>
        <w:guid w:val="{1A51ACBA-E3E1-4E27-B582-8A0649D3B47D}"/>
      </w:docPartPr>
      <w:docPartBody>
        <w:p w:rsidR="00571FCA" w:rsidRDefault="002F2737" w:rsidP="002F2737">
          <w:pPr>
            <w:pStyle w:val="D9E7B3EA1FF540CD86129DC48EDFDF4B"/>
          </w:pPr>
          <w:r w:rsidRPr="009E0808">
            <w:rPr>
              <w:rStyle w:val="PlaceholderText"/>
            </w:rPr>
            <w:t>[Author]</w:t>
          </w:r>
        </w:p>
      </w:docPartBody>
    </w:docPart>
    <w:docPart>
      <w:docPartPr>
        <w:name w:val="787454FF55AB4DCEA10A0CCCD7B538F9"/>
        <w:category>
          <w:name w:val="General"/>
          <w:gallery w:val="placeholder"/>
        </w:category>
        <w:types>
          <w:type w:val="bbPlcHdr"/>
        </w:types>
        <w:behaviors>
          <w:behavior w:val="content"/>
        </w:behaviors>
        <w:guid w:val="{AA536659-33FB-4965-A786-A9E12BC597F4}"/>
      </w:docPartPr>
      <w:docPartBody>
        <w:p w:rsidR="00571FCA" w:rsidRDefault="002F2737" w:rsidP="002F2737">
          <w:pPr>
            <w:pStyle w:val="787454FF55AB4DCEA10A0CCCD7B538F9"/>
          </w:pPr>
          <w:r w:rsidRPr="009E0808">
            <w:rPr>
              <w:rStyle w:val="PlaceholderText"/>
            </w:rPr>
            <w:t>[Publish Date]</w:t>
          </w:r>
        </w:p>
      </w:docPartBody>
    </w:docPart>
    <w:docPart>
      <w:docPartPr>
        <w:name w:val="9287F050078A46FD8D232B2AADDC7649"/>
        <w:category>
          <w:name w:val="General"/>
          <w:gallery w:val="placeholder"/>
        </w:category>
        <w:types>
          <w:type w:val="bbPlcHdr"/>
        </w:types>
        <w:behaviors>
          <w:behavior w:val="content"/>
        </w:behaviors>
        <w:guid w:val="{A41EC37A-255F-4827-8A53-1F0D112724D7}"/>
      </w:docPartPr>
      <w:docPartBody>
        <w:p w:rsidR="0036085E" w:rsidRDefault="006A16D9">
          <w:r w:rsidRPr="00A34B15">
            <w:rPr>
              <w:rStyle w:val="PlaceholderText"/>
            </w:rPr>
            <w:t>[Company]</w:t>
          </w:r>
        </w:p>
      </w:docPartBody>
    </w:docPart>
    <w:docPart>
      <w:docPartPr>
        <w:name w:val="2B1D09EF8BBC4C77BE8E17590BB1F050"/>
        <w:category>
          <w:name w:val="General"/>
          <w:gallery w:val="placeholder"/>
        </w:category>
        <w:types>
          <w:type w:val="bbPlcHdr"/>
        </w:types>
        <w:behaviors>
          <w:behavior w:val="content"/>
        </w:behaviors>
        <w:guid w:val="{D397356A-AC77-46BE-856A-64676C31171D}"/>
      </w:docPartPr>
      <w:docPartBody>
        <w:p w:rsidR="0036085E" w:rsidRDefault="006A16D9">
          <w:r w:rsidRPr="00A34B15">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8F"/>
    <w:rsid w:val="0004033F"/>
    <w:rsid w:val="0007070B"/>
    <w:rsid w:val="00074328"/>
    <w:rsid w:val="000D38D9"/>
    <w:rsid w:val="00177617"/>
    <w:rsid w:val="00182386"/>
    <w:rsid w:val="001F1E14"/>
    <w:rsid w:val="002242C3"/>
    <w:rsid w:val="002601CE"/>
    <w:rsid w:val="002C02BD"/>
    <w:rsid w:val="002F2737"/>
    <w:rsid w:val="0036085E"/>
    <w:rsid w:val="00363715"/>
    <w:rsid w:val="0036375C"/>
    <w:rsid w:val="003B4BF0"/>
    <w:rsid w:val="004035C8"/>
    <w:rsid w:val="004A4EE8"/>
    <w:rsid w:val="005155C6"/>
    <w:rsid w:val="0057153D"/>
    <w:rsid w:val="00571FCA"/>
    <w:rsid w:val="00594B95"/>
    <w:rsid w:val="006A16D9"/>
    <w:rsid w:val="006A383C"/>
    <w:rsid w:val="006B35A6"/>
    <w:rsid w:val="006C5D31"/>
    <w:rsid w:val="006E1D99"/>
    <w:rsid w:val="0079715C"/>
    <w:rsid w:val="007C776A"/>
    <w:rsid w:val="009A5483"/>
    <w:rsid w:val="00A30EBF"/>
    <w:rsid w:val="00A61CF1"/>
    <w:rsid w:val="00A63127"/>
    <w:rsid w:val="00A73C81"/>
    <w:rsid w:val="00AB63B8"/>
    <w:rsid w:val="00B04C0B"/>
    <w:rsid w:val="00B35876"/>
    <w:rsid w:val="00C228BF"/>
    <w:rsid w:val="00CF31A9"/>
    <w:rsid w:val="00D14F31"/>
    <w:rsid w:val="00DD3FCA"/>
    <w:rsid w:val="00E77E82"/>
    <w:rsid w:val="00EF5705"/>
    <w:rsid w:val="00F056D6"/>
    <w:rsid w:val="00F45328"/>
    <w:rsid w:val="00FA158F"/>
    <w:rsid w:val="00FF3A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autoRedefine/>
    <w:uiPriority w:val="9"/>
    <w:unhideWhenUsed/>
    <w:qFormat/>
    <w:rsid w:val="00AB63B8"/>
    <w:pPr>
      <w:spacing w:before="100" w:after="200" w:line="240" w:lineRule="auto"/>
      <w:outlineLvl w:val="3"/>
    </w:pPr>
    <w:rPr>
      <w:rFonts w:ascii="Work Sans SemiBold" w:eastAsiaTheme="minorHAnsi" w:hAnsi="Work Sans SemiBold"/>
      <w:caps/>
      <w:color w:val="0A1D30" w:themeColor="text2" w:themeShade="BF"/>
      <w:spacing w:val="10"/>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6D9"/>
    <w:rPr>
      <w:color w:val="666666"/>
    </w:rPr>
  </w:style>
  <w:style w:type="paragraph" w:styleId="NoSpacing">
    <w:name w:val="No Spacing"/>
    <w:uiPriority w:val="1"/>
    <w:qFormat/>
    <w:rsid w:val="0007070B"/>
    <w:pPr>
      <w:spacing w:after="0" w:line="240" w:lineRule="auto"/>
    </w:pPr>
  </w:style>
  <w:style w:type="character" w:customStyle="1" w:styleId="Heading4Char">
    <w:name w:val="Heading 4 Char"/>
    <w:basedOn w:val="DefaultParagraphFont"/>
    <w:link w:val="Heading4"/>
    <w:uiPriority w:val="9"/>
    <w:rsid w:val="00AB63B8"/>
    <w:rPr>
      <w:rFonts w:ascii="Work Sans SemiBold" w:eastAsiaTheme="minorHAnsi" w:hAnsi="Work Sans SemiBold"/>
      <w:caps/>
      <w:color w:val="0A1D30" w:themeColor="text2" w:themeShade="BF"/>
      <w:spacing w:val="10"/>
      <w:sz w:val="32"/>
      <w:szCs w:val="28"/>
    </w:rPr>
  </w:style>
  <w:style w:type="paragraph" w:customStyle="1" w:styleId="E019ADBAF2B045F9B6A8A95B4F5200C6">
    <w:name w:val="E019ADBAF2B045F9B6A8A95B4F5200C6"/>
    <w:rsid w:val="002F2737"/>
  </w:style>
  <w:style w:type="paragraph" w:customStyle="1" w:styleId="F30CAC44AB274423BE92E548155606FD">
    <w:name w:val="F30CAC44AB274423BE92E548155606FD"/>
    <w:rsid w:val="002F2737"/>
  </w:style>
  <w:style w:type="paragraph" w:customStyle="1" w:styleId="D9E7B3EA1FF540CD86129DC48EDFDF4B">
    <w:name w:val="D9E7B3EA1FF540CD86129DC48EDFDF4B"/>
    <w:rsid w:val="002F2737"/>
  </w:style>
  <w:style w:type="paragraph" w:customStyle="1" w:styleId="787454FF55AB4DCEA10A0CCCD7B538F9">
    <w:name w:val="787454FF55AB4DCEA10A0CCCD7B538F9"/>
    <w:rsid w:val="002F27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ssendis">
      <a:dk1>
        <a:srgbClr val="0D0D0D"/>
      </a:dk1>
      <a:lt1>
        <a:sysClr val="window" lastClr="FFFFFF"/>
      </a:lt1>
      <a:dk2>
        <a:srgbClr val="0D0D0D"/>
      </a:dk2>
      <a:lt2>
        <a:srgbClr val="E8E8E8"/>
      </a:lt2>
      <a:accent1>
        <a:srgbClr val="2D61A6"/>
      </a:accent1>
      <a:accent2>
        <a:srgbClr val="F2C879"/>
      </a:accent2>
      <a:accent3>
        <a:srgbClr val="F28627"/>
      </a:accent3>
      <a:accent4>
        <a:srgbClr val="D94929"/>
      </a:accent4>
      <a:accent5>
        <a:srgbClr val="2D61A6"/>
      </a:accent5>
      <a:accent6>
        <a:srgbClr val="F2C879"/>
      </a:accent6>
      <a:hlink>
        <a:srgbClr val="F28627"/>
      </a:hlink>
      <a:folHlink>
        <a:srgbClr val="D94929"/>
      </a:folHlink>
    </a:clrScheme>
    <a:fontScheme name="Essendis">
      <a:majorFont>
        <a:latin typeface="Segoe UI Semi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documentPropertyPlaceholders xmlns="http://schema.officeatwork.com/2022/documentPropertyPlaceholders">
  <placeholders>officeatworkDocumentPart:U2FsdGVkX19HlyDu2RUZ/WhtbgW0RL9dph96iNNR6wtaXRUYsZ0GdsQxqScX2nr+vHXopKeZ4UQPjY9fL+8h2H9geZEXn82a25mIW/FBQ0AmSS18TZt3eaozpSnZTpNn07Z6jEytTVQFATMtHVOBnjwNtjHNKLeyFZIKVvxQl12K6+DcIAuWJrPjszbLJ4HDwP0BkE6A7OAybM8IM3uIcWI2eTEAWf2Hljaj7/1dbNfGGJiTKDd7gI30NnySfFca</placeholders>
</documentPropertyPlaceholders>
</file>

<file path=customXml/item4.xml><?xml version="1.0" encoding="utf-8"?>
<engagement xmlns="urn:essendis:engagement-profile">
  <ClientAbbr>WMP</ClientAbbr>
  <ClientDomain>wisconsinmetalparts.com</ClientDomain>
  <ClientTenant>wisconsinmetalparts</ClientTenant>
  <AuthorName>Michael Schraepfer</AuthorName>
  <DocDate>8/24/2026</DocDate>
</engagement>
</file>

<file path=customXml/item5.xml><?xml version="1.0" encoding="utf-8"?>
<ct:contentTypeSchema xmlns:ct="http://schemas.microsoft.com/office/2006/metadata/contentType" xmlns:ma="http://schemas.microsoft.com/office/2006/metadata/properties/metaAttributes" ct:_="" ma:_="" ma:contentTypeName="Document" ma:contentTypeID="0x010100B4109C60E821144B9D6603ED7F795F72" ma:contentTypeVersion="10" ma:contentTypeDescription="Create a new document." ma:contentTypeScope="" ma:versionID="5e1d329f7746fda35dffedd2d7ee89b6">
  <xsd:schema xmlns:xsd="http://www.w3.org/2001/XMLSchema" xmlns:xs="http://www.w3.org/2001/XMLSchema" xmlns:p="http://schemas.microsoft.com/office/2006/metadata/properties" xmlns:ns2="2a42379b-d235-44ee-bc3e-06f436cd2d06" xmlns:ns3="14d1a91c-5647-4fc9-81ce-80e3bf43bbd0" targetNamespace="http://schemas.microsoft.com/office/2006/metadata/properties" ma:root="true" ma:fieldsID="07b6af5cf807e22eac1ec4faedb35441" ns2:_="" ns3:_="">
    <xsd:import namespace="2a42379b-d235-44ee-bc3e-06f436cd2d06"/>
    <xsd:import namespace="14d1a91c-5647-4fc9-81ce-80e3bf43bb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2379b-d235-44ee-bc3e-06f436cd2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6d59ee-be4c-4f35-a179-f2db102cba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d1a91c-5647-4fc9-81ce-80e3bf43bb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0c232a-92f8-417f-b117-0d224b381e28}" ma:internalName="TaxCatchAll" ma:showField="CatchAllData" ma:web="14d1a91c-5647-4fc9-81ce-80e3bf43bb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14d1a91c-5647-4fc9-81ce-80e3bf43bbd0" xsi:nil="true"/>
    <lcf76f155ced4ddcb4097134ff3c332f xmlns="2a42379b-d235-44ee-bc3e-06f436cd2d06">
      <Terms xmlns="http://schemas.microsoft.com/office/infopath/2007/PartnerControls"/>
    </lcf76f155ced4ddcb4097134ff3c332f>
  </documentManagement>
</p:properties>
</file>

<file path=customXml/item7.xml><?xml version="1.0" encoding="utf-8"?>
<designSettings xmlns="http://schema.officeatwork365.com/2015/designSettings">
  <settings>officeatworkDocumentPart:U2FsdGVkX19wDEzGKALf7UqJ8PeMFe6ZDdmjzfx3V6y0XNsDsvSN+DcYZRT1cOGFa5QvPRGBQMYHB8P2I/HmGoOBK20GgndW4+T+7hx2kOCbbqUeJayHcBb97u46vqG/qqffLNYehHFNzXAH6mdr9/XSf4k5shffbe7fGceoe0rNRcY0uVF5Aa9Q2QxlvbjQDyLJSazx2VtGktbxc2nsFcEqXbHQPpYoCgoCmKOguGYnOxu5NZ7bgoZYeYYFfwTILtWEWTomy6V9rSXDK6C/a5yolrg36CQ0IAVA6YjUy/9IEzY3V2MsurJ1BAFXeFs2QSCLhkfBwMX2R78WXXtKDmALVymBZ8F+YGoLa/VQAn8z1Bb4x3u9v/UMdvC2aNnHyqz/gqnvRLCjaOJiI0cLPHk4cqEld6oVrVaCQ1HyY5vOJwq/dAoSsGOQUTXw+boj/CQgXrRGBX2AHlSPAvdylXvQQQNBU8tJI8vMooeQ+2mHA8Soe5Jn+U670OeXM3ieOpZgOR8mCTsIK5AArFer9287DFREfCo3oCjhFVn9y0cr4wQTJPmZqHXZuaEC9or2EIpcV8AQz7vQCMcpnnPRAEu5s8uEEu3IsPWtE3avC3lHgRNAuhKWTBaX6xI8PeMMwOWHmkOtvkFjsDNFS5rtG8vIbivX1H6MZqaGrq6jCEwFCYHQFfj9WSJDMSzND2kPA2d7JwkaCg8qSS5iGgSpNk0Hig/Ta9VCr7LpdGsCVQh9Z4WNyo+sjKBTSBR2mG6tEEceAWDF93l01N2YcCptJ0cyIFbkPCqqhfgidp7aYlvDpgq0+L/Vtrp67GBDUkkavECFB/nd1n4b1nxdxRRzfxoJROJgfs0yocHqsFmmCbbonzQ4TK6qwWDNx4PKmWwFWapdjaIL6uOBt79hKYaee5R6Jo5LU2Ngl+S9IEu3BmIlSXxYt9cUMQODZn4oYChLwebzGRx1oaMEVFUDqhIl4YIHqcNjSnrthuOMr9ngOU/NWY7QrXUAB6bfY87gGcEa8ZBWXhaxesHZ5zmAGyues6r12lT9MC/F+MzDSyEMPm1wXOKYKRrihi9ygkYHkx+1tf04Zxmw/KDCrl8UdCFrqxW8BdsMTJ875Yio1FQ7jKo0lKvDyx1/takIFm7Imt+ZpnH7teTh+IC1e/cNn3f6irTitraShHdaTN2BzbNpO1pG7D9NkknOZlwBdwVTF5cXkeB1kIEb4yLz0xeAipFrxHw+ubsRRH0BpsPRdo3zQdqlnx8MEhSqY1jWX+AFVhsQEI3j+PWJJpHL7TUD5fJlVzmCWt4D+UhRPG8OcJILb3LES+WMCbODjd2Kex/eiaQRww10qwxMT6GLf+OQnPb6p3ZUyBn0ESbrNwbvIKzzgc42FUsQ89qY2aoDCoaMcXduf1LwCJCEU0zf9wjiyK7V94nDljWAafo1fgo1KD456Gtvtkr02tu5JY6fyKnabmnwnOVXycDUfE++qOxgdZuh85RJz0hgJo61s10TEemh+TE63f3BzrVc42QKanVpU+WPNpcRfUP6mBOfK7QDmP9fwQM60HrcOt7zBZ8Z3PY9me8hxFqhIn3SzgD51n68agA3Jzw87J8hAbw2145Tsp6E1VjfAwKUkUvUaorehkYrxuKQO00pbuFeW2K8/vp0Tgliq1zpusxDH2Djn8Bv6SeZamQDldmO4s60gA4cD5cwrrHSFezLfyW+VaC2B/yflM0SjTb18F/LkwCLflhDgb+VOpdgVk+wNbVWD+TQLeD8KX1vqUqsGV976zfiieG9liB5gIJ+9AqAlftWjLqz4iDYK4pkW4DqnwX6Gmj2Fn9GLL6IQb5NIAys6CLv6gjV++8hoVUbcdc0tZOCulYoXLEpPdDIOuUnCS5QqVBqw1amEsZkDe/h/IV6WW0jm/wKJeUVqghuh+zos1QZMQ7bMjdzItsozcdDB3CyFQ1Cy51WixVuxgQ3WwlQgm4X1lB3jRwgwGh3Lx1pJQpFgDcB8tzMEB3cmZv5w9811CyPCkOsczv9cBdKoKKUtlMqR7RW+XeC3RUfBTTXjbaJa1a/UuQ+4OfG+ZmDZN4s48Ems0HodhyF5uUnj7yVEuewXqEPvZ0NLU9FzihM7HXM7qAjdP+5aCfkFRPeH4nX14Wru/FMX0VTkaMh4STLBlsVVm4NiH8RWTghen9U/J+FExr9ARLd6FUf8E/l/4kmVqhOzVm8z0/5t6IudTC6ZOCVECQW4ofDxVk/H+74w9m6Tc3shLTJQWEq+aKIp98e7kf45CqAVA1jPxbQ+c+Fwiye5r/VKre5ZJdBoz6nXVLPnuUO/DIasBn8ueeghq0zfbPJC/ocuOCyZcuG7RalnoIctoR3cAGtZ5gBTiyHRWeznlZK1eyS9yIoS/uXU8AZdx0GGoic2vXbXJf1QurZntJXeSJj6QtKpeWVUmp7Vgpv/4lbEE8ihwu56vUjkpN2oAHH4dHozz2FmKmy45aeSoUUS++v+FD7Qj/GPsLwxxulAZdRgo9ayYNY//4PRpRD7GaMQWCqD1UzKAUGE9B1IpGItApuOoNoCwsrYUfdzl6JhyFthXvo2smRI2ijbiwxxxkXUpGfoIyGONc8XpV37h5lxlDT8//hRh888gx0e7+voinf6AQQaPLR5jijJFHCEFGtABwEbBn1xGuhmK73S4MdXAlg4E/zjT4buJWZxIq66bawQAKky6tQX0p/Ce8fRvU8tXHolWe28oCR3kL40FpZbmn2ne2zaW+dCvIv/KU2a4vYhTibr49PA2tNoYPYJT0tVJ7oHe66A82UmD9j7I9t1vwoG4916j/mfhklfdsgrxl1N0cnB5RNBRVoyD1VdG8XbrwTMs9y2Frxz/tdrtexdCd8fQ1SjYQmolaM5kFR5aKj3fxZ7pxYcIyxQCGAWuIma5hFlba7KKl/vfM8FfEIfjQFJWFgVreyNT1tZqra19ndR8XPVMglSpA5uR3KxfRhm3vuPTX1DffZ6e3sXsJqrgkrCtUN69KttW+HobH5r7zQCmaka5m1gp5TmdSiACxzVedLsFRDhBlTpQRrHiXL3gyJ8i2od2xNZ1KbrAg391xWNrATNs0MPAXBpB7mDdA5pbAGAUxq5VHAGl+CMFNirWKvsHeKmoqVDJ+YwRJD0DZHDJyg8xbdWG56Y13VbM1kHJLhkbJebQHVThXTU610b1SjjyM7FoBCUJOFcNVmMkDSaGOd6cmXtaI+vhkctJl7lh1kmrvK1wLfmwPQhimlQPGqbpQemQ85J8H/plsYC+je5/A4eatm/K3aML/6gfmaMWhgVlXOH2ulD7vFxfQLE/QuJPpAuSEjyzNXuUqxmz2PLMqWtsVVbLL1ADMbSdPCYu7OZ+oHj7Ai7rfSvHv+4LOYbrtGNgicKmvolh53gsmJoT0/Kj7J2coGCXZRuMGImtJXHhw8DJpp8FGwZZsqQH+6PLRqIQ2Ys0yUWNG/TSoOn+JcAeRtjZZlkttX5Ho7Ska4numnBT02PuYnWodhwBaC53K6GxVaD+ANRX13vSgLIax6C07XKPMre7YKVfZmgYwAOdzaZlHgwt14tUVbZ0IE0g88sfPay/IwuVmX+jTBS9sBU5mYwWoGGf9j+vOrBEPiQf68wkcEWe5c0Lya+kYVLXQDOulp1wWKs1mwyfwDJd7TPHiJFBkiXI1LO6PbUyCkMemQDZTnvNglbSwCMR1AZN4n2AhWOfoLihjedIdKnwH8e8lbSKmhRfe/+rtcJ2xzbLCtoiA9LjUz1DBrLmNVWcF2HyWuQZmFTXqBbYcdHLm3nXJMd5y8Acw+gjkEMHEu2Z0HDRnCQ40dkAj2mY/JE2+/7iaQdtqoy/tJ6McEaopZLUlYstWmqgYxWid82SAXXkm6G6WspEDbrgiW7vECCE+Bl5XQDfjlHp0MMrfSFiiNkUl21B+1jAmxItuPKGut+D0clE9ykEL+q+KJjsT4RsKfhyLRJWrCaBmMrpkce0Zkz9Y2z4cI9LkhMI8BK9ZiaZCa/SjbQpy0b/MGjXbCzepq5nduu+1m8pPHcAaPKiGFLOIgAdRS2HIyOFLm+Pprd/+jpRKoLUGE7I9CFTWfdHEUgW4gwkQ0KRxcMFYH8OTlFzOKnYrzemwnAI1ZWyp6/uUjDAes5g9VLD/bEp2CJ0o0+86b4h4os8dRib5sQe4asEB8+MYaY6ph3OAKSogxmmFTd9jbPjDRh8Nr0F1zSuErXppNVrpjLKyCWX+cRvtQ4BHVOR4t5hkImRtGQRObjQvvJ4kyrh3at3SnG1RXbLrlBWJy5/54/Q7dmo9AVb8fwBVpxp2JOVwnSZj8DiUOmHz3C4Gb9xh0JVyf6fa6OJrd3iNwhpBHxC8UEsQ+zeBOTL3Sz9i+O87nHG43/pvPxQJHnCkILp1hwF589ae0L7KaRF4Qhj+O/3PzpaWBpvpzN+JF5dalKoOTw7T5roaQRIRZtxdb5iQPSdOW2HiAaYwm6WAZhVVCdKYAl6ojlKdhCVIJNtAOdtsFtrv7NPFTdUFXBpFlm+lR7iPZzyUEwg++0Q2BbCO8rYzC0K6UxBPBNgPajCf8hVXPsAq96l21PbXIS8rBqbBUVvc0lEBXVNIsHg2fJAtt7MQuVJZ6bfEQbLRfy1uUZ7NJ81ae9Gb0Sle8xUdfMshNb8kYuhFUyblvtfleqrQAJd7QVzIPNYxE0GS4mjrUdakr3bKUjEuDCBansvAFkb+yfq5iG7qGnP2rjdzDgAkJffKax9TnUiYm03srJoKeOt15HJgeYOIhPpCQbKyz4hDJIZv3xInKRvjUJYqNLtX1VJ1P3078tz5aDtWuPV6t2yuhMFRzLjPZ0Pw82eFDYjFnDlVzKG+xGFvsybTWGhIL6TkU0EfQFFiok2Fus+vK1/kFK+vjb5aszBAyro+jCGvtJi7MpRE4V6/kfcbuHuaM4mcqDFydkQkcH9NnmK5Yo6m1XnoxjLoZf/3lJgRS5HZeu3gzoCuG/NJM0dq6Q18ifK5zGhVGuo4CO++tI2n8zKh/PXKQgKH83VV+g5atvOSjVuJmVet0iei6ALDE8QjH7KL/X34kfA01f/YHUQEwBQOAlHfw9Vr7WE1jXdBq2nxHCCnhR2kJ1uGxlIg70uIFTpmB7F5XmYCFe6snhWIxbGkjDYvm5ohl3hpU1q6SrPx0mKMj5tN5+eRssMT1R3VxY9W87y5rLA3YZUf7iCzaM8bRWTWBniYhoz0knQLEOpnVuc/EWihNFURilfJ1YOzCTtG2EplV0qxCVYmsmDxiDMlb8KRwbLirHYmAsqgM3IscGREGBDzCj/FgyHRPyoCl6JAyOySrJfT8I4QYlIHiNpesBc2a/sh+bZDKFOodSNEj1JVLJjGy7pA+qyh5smDrrF/C6r5MbkSNIiZ6auKGh3TqqCVlURTSZYSfteaQWjenNPyPH1e3xZh1RQmE+8CdeRtY24ZPeNOfQmIeBwecgfVS5PWltl5KHLPr9DYIVjsfzUUHnC4FJnn1XSwUNo6AbR+OLhYtfziyJLJzfR2zywF968O/gB7q9mel3aH/P8juojuE9jPOlZVuh01oEhRLK3gkPxpNx1+gIvnMh+jPjo0azJfxCzW6BFBpmTLcEFQ0wfLL+2CRXwhfZiTg2Y/c398wfxp0XXGAXN4vjkwWo2kVZKSzu6smDHbvcO071RHrq6QdgQDThvfulI2FuL4OTM5lizMtm4bwGlLb/1XOL7P7ohXMElAgMKr/Cyz9xBNjBUYSxvveZj9TC+vsWfzkllJ+5pYnEPCaZRnSw7LeOtyMQ6jZ6fv4x3dv97LMm96qsNuSN4keyRLBOdVgPrQ+5wYJ2fGiK8d88gKb6+X+1COQsAG4aQUzhremH1ptv7hUBgFMzeby5AnTiP3+hKDv1xpQ3M98Yau5Pn6Fvhp+MtRA9nypt8lB+j4ZTFChUObqAqg7diOE71kZ+OS9ldG1HLz+95BpuKp8TWPtvUtjdLeRbaOD/UzUpbzEG0nqjFOiVcRPwjy7O6P5i+MYO48wqQ44SDoamWY0JQ6DEO9L5Z0graILf6Gy3VzoCG2GZp99pdgyvDVRmNnngx/ORILVOoRJs2WKcLGaibISq1UcZBNPNTmRUbUPcpGCpl9adSBreZfhPv2JnCXunuN0DU9lRt1SZ7rEOtqhchdYlVQmOlkC0p/nla+y4XW92WZk6GbgcvvkncJBqqyBBMpL3+k//6qzUS82OEcXVidH5SChDzXR2lIRGex3O0QinYo7wSdBmcBehsQEvNxsNzWNwVjp2FoAGjFBlG10eijf83wUQjtKJNmlwx4z1/cFsSnwjlqIJAi08YFyQyU6S9t/sTDYgiJWEmZIHhCWRcBg24n0PJvg5olgJEHEVJwZ4TT9v4PXf7V20tOAKHiKKfNqpyzuINZkZx3obhCAGzDrC/Y70O9+rbliaIH2dm/lXQ42C0G1uJ6Ec4NFDP/tE6oPcGSbM8H1RLSzMxe1K3IzBC+l5+GQhEYA3rqAbLk1hWVRFjSGFh+TdimpsNvZrp8r0v5i53DJpbVEWXOvG1bLhzL3rRt00kaB0AmrsHDDPtkUyYmu9uNcSZKKjFDNfrY6FgXF3HMb4jQ49ARUUgNAHRhigVd8uSfmyekxOGZXdxwRQPiPmm39eBSzJidIxobZaYito+g53FB497JfmbVTwefm0e/Z3awnG9/O64ss/4magtbtaJVlePwWEgFEqw312o4NRmjQnN/Zox3Hub+rbmQGTnatQIyKfxvQ1S+mauHpKhroCzjG7eNncL0h6o5q3WOg5ffMX6ixAbaLJ2DBNqIqoP/1wHwd25+4bWO/PwyMHgSE4yZVjBpUPO2t1sXjDZzedseUehWA7MkfzcvqbIf6Q8WkXFmUcfy8B6VQ16sMmnagXlxAcAYNTSvDEFEf7RLeRCO1BYdn/yMxxCq6BAzpuYlvYbrHckncZfmgUB+T/zW7QhxwNd8RzkYCO9nBPG+gqCxcBDUdVUCqTVPHW4Bg8361RMxJiHdidG+3rqtivc15V+La/VJemiR/z+aSdCceBK2TTycW6LarmZxYB9pi0ZpsfEjIsufYt11BqM4hIXQeo9EUVrP/jY2qvVDFmdI4Tz6ob/Q0JlDtGfd2pOkzcZH1ssWVWjWL8yf3xFn3Ex3/ovfF6s3+1gbq/En0nNpit6FFkqmmIG1Yw14LXEFjsEg7wbU7q+CMlLcNWzknjjsfsaITjU2NM8bh4tdRs7uKqYSeKUXrW4dDZ6yFPBsP/iX7V2wx706YymZ0CxbhmrhG2qGbgMnpFUmN7rIUs4Sesce5kz+8wOtbEw17Z+y9dtmnHCbcwLrW4+2+yKxHSGshUeXujZJ9E7b/5tW71Goq3Z/7gJ29P4eVnCXHVYDHT0vCmrKiQVp8A263243Hf2P9MTWQSMNckH5F5pNL2nWASqs6FkfdXwOjflBhjK/7cbiDtwMUXWTZ6ko/dQX4DXC9YqBB9daHxyGQp3xoNIKKSQa94+kGS/YUaZj5LU9ZnoVQ6OkXbXTJEPU+zwInEXaFrblyQTgDpgaaYqV9xMj9iydfbMNn2yI7oJ8GOpkCFQOLr6oKXJ1AB8p8XGU/XuBypPKu8ugCY+Bq2ndeftcOGgf3MmFuoMZBXOy2U9fQsk7lX40s0a0cOhUxoqTag8cXMalhaFrsqeQMHHsdAFzzMb4U0WC8GIXkX0GldZjVjaf+3pnqduxm84AKu1YAnhEKkwOeytlK3tLkMrJiBN00BY12Pc+/IA4bgcRJh1YV32BPRQ9itRvggByOpxWxpHYUdkFPIzmgbs+IWXea+440K9ngQ/YRLVz6/0Fj25W4Yx910FUzJDBWMov4ACnOJv58Ruvg5wRYC4TZwjqYImeHIMU4FBreowRMuHlEU4SbBajtL+wAfO6pASxl28YTWgYy2mkmWSzpDtZM7+zKXI9J18QO+ePOilBViuVvunexJlPGTWi/11IbGLaZ9LarrZ/UOS1WivW+bcNnJZBXkSlxEWyqDVihLI22zrIiCxIJCAVuWyrHwQbFRis3/4bXnJHJ9TN8j96yVjxTzfxemtBfntSOiN9sSsTxQNqYctJysdP2otBFiCgkIT90e5200LvJwIWpBa08GyAzdKWurhb9H7NjZGS3w32EbLlCny/y5m6YzwADQMbxfCCoA27oOcVYMxEGRDFvkSN4AIGOi8ra89FSfdtksLxtGAdOOpbeJxQT2zSLvLpkraEgCSO3l1uR+6MHuSBUJgy1Sl3iKyT6zSMjomunK2H14Mo6EH4A+bUTrc+cXR6bdp3z/BYBajMclXq2Bb1HLwVNNO1Ah17PMaYfWus0vRteoUj7eUZhVbYP+YsizJivbkyLtMRKcLj0PWbUoCNK7kel07gc356wXdKWaWfiXaM5hiKjCdhYV4b66p0gZ5mXUBdMCKrgTrtjI8MowLnVTQ1OlfDETg1ss+ZpTycWlGHxWyFiXpYiTF42vZ0SZZlu09fFVOqaZj3bir0u6HlWqyT0oGAZoI47XD5dNtX5yY4Fy4No+yQv7WWfjuFWWx7Q87HSqI7kNkcRAB4a+/gDxVwtNTYpfkjMa12IPk9VRCsX0F5qMzxNAiX9IoGAGHOil8uM3oCEE10McI1piI2BHWdhGXqMsXv7vUuefmXmeRfhR3/PLdFEnQD/qPEC/Ecijr6g2M9q5hFzaYCGsJHISdxHGHlZQWtMbi8LwlUJndVKxpQ+iYltXeEf6Vi4jZ7541KPEjxtB+5hhGQJhTSRlcjZtCBNIV1luED6uXYMDpH6dfIZVCkXXzjMVCz6eJE1Qfg/L4DTY9nIWIVfIQ1gm/9QfGy6G6VlhRvrFEnTFZFc7yP0+9WQlLaQaaG7I7zS4T7LH/KtR0PRI912vwnecOURgF/BLDGfSmBPrUx16Ty2ZknVD/K7rqIIQUkA38qdLdutgZX8u/sI95XlxDtDgpA1eY8Ro17kqGmPVWz8Dye/V1G581sm5Uy8K82NJDGPcGr0/2VcX3oeW9gXKTRHUm9/4MSxDtNS/oSjs471zZxO+Cr7crWgAhsfA5T+GphH9vzmUBDKgIBYqrVTysSqjpvtVylGUdF7Y4g6dI49/zHqyv2psidFlaDuzawCCGCvyAXEYBywZS61ivUtxEIcO3LlWgOiSLBIAedYoQglKzz4EurU91XvGPCmgyQtokxG5q59rcGXThe6vYCZBkDnIf5CQzgabkBwpF8kg/+yUK2eEoK0EeXmJnTuDwyREXcmdY8jvlnLzY7osapNxXOHNP5x56ULyjY/MR+zMRyvk370SnyXE8dNX2VSGRx0xaIikb4TdXmEtAEl7s03ghadFzDhqh2zIaQBcDtj4ATXNwnYLDJQffIzja9D77Bsl+rn9cN7lQCx9EuguGHtNxrHi+LQjd0vBmM7d1fCKQKBoL+VpNpjobchzXeuKa6rgEsRvvFZr01+OUC41DdmJUwzNNm9o84FkdrvVCjD1rEcS6ZbMO9G7ae2x+kVeHMfZp9j9XhbbmK3hsjgVpL7L/lM7tEJzRO0+nmSMinbBigd6/jVqKwecjwEaJSN8vMXHZXqcf2DDN65yNIbluPbpoRZU7kQF5yBe+w3NAHRfBX2UPhFl4cL/oVvO23wqzL0J3Zxa72IKGUAkglusI0Qxxf6884ImESY5tVsvZj3tSwtX6bjeU4m2KoMeQObDPeyvbQFMx/HEULXK9Qaj3Oorjop+C8+pDI/UKnFew9AjRj9IHjQHkSKgpKva1pbBC5+WuRsAuRUoqs5hQs/Ekv1EBMAML/tj49JOkoTA7uBJp6nnc8uK9B2SxUIC2O48Kd9sT0Vz3TZaye2JPkhI0uc7BBNCpQLzFDPJm8DN1ZqeYTixoBj9CC02LuxKOH0SGJ0axpmYzxxJMdvhbQAgqbDuYoy3qLwEz1ssrHnQfRr6xWrn/AR9uh5iwBI9F+0v8QQx28gtz0gfD4/Rh2lK5gc66VggqARlMg1olRf0j0FxJmB4njhhRWGiEaOhBNLVVeIAGYUDShb3bDLMqcVWS1vApGffnHf9V2f+/731nps9PS11Xl2C7jYy+LG0MjBTPY2lmKFQFUlkjMTuql106cUB4q1jpTUDU/7kMHo76hA7Z/LSiVMl0h8IyN7EwhiRIyH6dV+sWB3sWrDoTiy1CtLCrGhZFPdIjETO0nDena1z3/BJgWOLd6wtRaCsVo15UAtI3KrRcO7vmmbCFE7Cl0qUJKPySi9VNmb6pckJ6wM3d26LxNidE+7ttt+Nz/iN5pjE7IvuoIUcYp5QGov2FW3a2bn+LG1/u7obr1Mxq6uCRQe7au36ICpNNiJPagyXYV6mbYeCN3qYGfj2kISle+JiB+JF2FuAI4CHzQ7xQC6LvAfEsEu0xrhIDDo0LCQRh+V87BE1TVZvE7TsqBRiU+j0+fCfGxPG08T415jRBVIn/hpPZXXDFCbIMX/4i+N7iHkgH4IV6ccfYvJMHecTS4PXR5JZd78JLm7KL97MxvABzP3+M9RxS6CpYvuN847PR3PCMFvmMsgYdZjo1zunNZmXwYIRMe6XTBT9FX60SNTKFbSbyLkMMZuZuoFOullvi53K/Hlj6+fbJFJJr+xhzDwmAkQk7fUXhv3UwYeoQoZ50/vwhpX1D6mhgk3cWP1Vssk2O6nIzilyiFy4dSURmY1cHgDfpwEU3QRQCxIEJYZTpgaVdd4bR+repBtzZMASuLFahH4HL72S3OcteyK+noUOJLRB6YRaxwZDJbg/Mcemc/KQa9QoKCJoWGjfTGwqz8PajKqk6pTEYsgw5GM18DRtIo6R4En+Y77NlWAXsqRRsFIrPD5E4pAn2+A2JkZZ+UZ5XLiAHePl+P5M0d41NtUx8ODylUAynRMtN8LmDUh7uxq99d7VTXPNA6dBQdHJJ/HMH40J1of4TWkIl8U9GAV65rnFqIy6wO8eirug54tRR/FKNLW9wiSXF5PbzdNsN4LT5cCE++/hNr8L+585QoZjq8eM7HdBm7lavkyDTNLv42LNB1EA4O/d75w+nkAxN4nPDA0inHghcywM086cs470y8cvfpTl3ybmBdQyk7R5ogBPXIN7pH5tT+sXIEVME31R/I6Fx/hAz5ucRgfgODFfjLe1FxQIKlVbsRa1GeABPP+Ucvt/bL2J4HaP6e1EcOVBskeIdnOCYXxrYyiGS81Tlen7cczfpmpmSYBa8PmhTIJQaQdsNqrxpEIMw1e6Kcq1NRn8Kd42TSLvswP1qTt8eRJNHImRz7DQklm46UlgrhUdR7NogQq/SIYM7fXbACM7Mv+yUTKTIUwwqBBeZ3mS5teFYcpTiPFwNb+/4m05kUV2hRx1DRYCWvJezuiV+krgkuWkQlZyZ6MPE80ZIhHoGeedhXFx2iUnj4rIklWQ3BGT0tvzPFwsI2ohYcvm8YQE8a8LNakXMRs97rpVVvRT+DzfECZRUg+gTinA3CWWsE9v3RcXniRWeISE2b8tE5R6K8YP5Vq1l26WMDOWy6jHfhNvLNbVr4PuWO4DiNTztRSfm97SDcgCoUPem0DruAxr/qYAPjbVDsryftrgHZKgsM14S4t7qqSpAGcJNEKIhfEwZT2nP5TQJ5sKJvk9fYjSkxm0JEP+OxHsCCRLH2XIitd2vT5AY9Cat7Wg17ezLvOfsO+OK4kVNITLj17hvWECtqAFkuwxG6nxJ7XhoYNzHuK9S7zSRuu82j/EZlP6V9dvhs4x24olXRbRg+zLoszSjTy7HgkzC5ninQdroSRRxsoU/OD90DT23J7HnTfjHxIazH2wy209w44eoNx9p/aP5hI+/t3X6bsRqA3YDwZcbdnsHlOlgoegeotxuabj+JAD1UPW2dFJTnoY9qdC1RNHL4QR0QX6D796gH/ReGHaV7gv4Ug9EyoB7ITId8PTEVHakWHnQdF3cK9Od04v5ylBgg+juxlV6tqGchuIRFjvNYkbts9mWX/EYlbod8g6Xm8A1HupqrbvHe9SKLNOVznwB8blQcx+AFoW5kEFH3abnHUKJ4TnV5YG0/wA6Wsw7nNxRX23dsr8ow8CCnZTZNK/8z65xvnFr0m6pQIJcNgSNAkY0qHstmZTBNacRLCgPesUIcIYGOGETDWoLYquBnRqVWDqf6JvRYgd32tcOvW0qU3pgeSovQthomP9vuxwSLo9DtfjtorkC51h023pAmNDJpOGEVWEltA3Xb16QTLDqZ5BSZDHXzuIFE8Dog1KfpDDyhEUiHg7ttOs9qKkVbFqnjA7YmonrBj8zLIRWOCqQAcnOtNVUGCPgB3AdoSAV/YRmCyMJTyPYtp0PGGDxoXPDqzP25pZcWqmkLal5ZORalyeAnNRs1uDq86ZQ1pFefKfxlZ7X7vtqIVfgb0rnjjBZt2uEjcINplE2UaAa5qpCxTMLgImMB0Cwcm1HLnvB6UyaeIiex04JGOTuuM152aKNRCPXHYESClO4xpi4RJ/Ij4M2ZdPEpQR8Gp+mGMvLc2QB5sJxtx4e+DBJgu89O1RAHS0JeEr5+2QeC6wsG1c+36d27TcMcbnOCZDD6B1jr71aAB8OYQD8AceCRMDjg2gGRo0kgobt5huxXlZklcehn8G8Xw8sWzNcSSkVtsCVMZHz3de/Wb3SFZNyKdnJksY7bGKdIlfZsT/K1nBkSVUOBilaWv30U7jsOxQIXW3qYwbAygyVUf4p8wqVG7jxq21/L4wu+ngEj8NHelJd4y4VN84p+n82HXBFSeE6hM9LeKY6quHEYYmpld93Tee2Y4UEK0R6KXPFkTBKLmniUNi0Z8LF5UK7FYDVyQevP5peiKNQsSCDKt/pJzoFolnOie/M/X7R0HPP3k7UViX+/WlUZf74KEJw3+GuKthWlSWgrjHzX07zzuIzJcp4oAArfLmfnELP4izVuJqepTCK0dyc8qH8ygXoruHHfW+H8M0Q5+9U1j4i9rZ3I83kyZDD+H95jFnPTg1rLDO4s9zqrTbh/JCyoEa0oFMFD2n4F9WfTr8tpqtL70DtCk+nMv2IiVFMj3xCNh/jS42RAPh905/b71592wMUeQEV87qSnIMkqGVnidecbDxd4tDYFO6dQ0Amt+ikBFrHUI3htz6tv69zfzaEtKgMZZ346MtDr0tvJq+1aYgWUGYQZYVbWMiKVrt1xqYt3uTbVuJXesAlpspi6dQDCgULtDyuAYtgYxCSxgCmMRJh2PbUkTAJx6Yb4lM8YLc7zcolnCH6QF+EEwHlDPxeEQUDK5SQwfCuxJ818azUQC/Wb++sQkS8cihxH492hPzXT6GGC+kOIeob/e4Ajyny8KWp83OCjj/ftW/JAEKbDOcLzApvcUxJ9uGna+Dqa71eVJhU3y5+Pg+1tf1pscke4jXresAWPFHOHWH7FYFcQ0QTeO5fP42QfZYk0qHOCnambDpkcWuyE3PMNr7o5m2ZsL</settings>
</designSettings>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B8D195-49C9-4232-9580-3940B6EF301E}">
  <ds:schemaRefs>
    <ds:schemaRef ds:uri="http://schemas.microsoft.com/sharepoint/v3/contenttype/forms"/>
  </ds:schemaRefs>
</ds:datastoreItem>
</file>

<file path=customXml/itemProps3.xml><?xml version="1.0" encoding="utf-8"?>
<ds:datastoreItem xmlns:ds="http://schemas.openxmlformats.org/officeDocument/2006/customXml" ds:itemID="{EDDC2863-3934-4669-B3D1-B96DEED9FD77}">
  <ds:schemaRefs>
    <ds:schemaRef ds:uri="http://schema.officeatwork.com/2022/documentPropertyPlaceholders"/>
  </ds:schemaRefs>
</ds:datastoreItem>
</file>

<file path=customXml/itemProps4.xml><?xml version="1.0" encoding="utf-8"?>
<ds:datastoreItem xmlns:ds="http://schemas.openxmlformats.org/officeDocument/2006/customXml" ds:itemID="{E55E11D8-6A7D-4C25-9E68-2A3B8F0C4D91}">
  <ds:schemaRefs>
    <ds:schemaRef ds:uri="urn:essendis:engagement-profile"/>
  </ds:schemaRefs>
</ds:datastoreItem>
</file>

<file path=customXml/itemProps5.xml><?xml version="1.0" encoding="utf-8"?>
<ds:datastoreItem xmlns:ds="http://schemas.openxmlformats.org/officeDocument/2006/customXml" ds:itemID="{3571CD59-26F5-4272-9117-5B11D010A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2379b-d235-44ee-bc3e-06f436cd2d06"/>
    <ds:schemaRef ds:uri="14d1a91c-5647-4fc9-81ce-80e3bf43b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3F30140-D205-444A-93FE-DC792DF0F7DF}">
  <ds:schemaRefs>
    <ds:schemaRef ds:uri="http://schemas.microsoft.com/office/2006/metadata/properties"/>
    <ds:schemaRef ds:uri="http://schemas.microsoft.com/office/infopath/2007/PartnerControls"/>
    <ds:schemaRef ds:uri="14d1a91c-5647-4fc9-81ce-80e3bf43bbd0"/>
    <ds:schemaRef ds:uri="2a42379b-d235-44ee-bc3e-06f436cd2d06"/>
  </ds:schemaRefs>
</ds:datastoreItem>
</file>

<file path=customXml/itemProps7.xml><?xml version="1.0" encoding="utf-8"?>
<ds:datastoreItem xmlns:ds="http://schemas.openxmlformats.org/officeDocument/2006/customXml" ds:itemID="{403499B1-8069-4C54-844A-E7725DA591DF}">
  <ds:schemaRefs>
    <ds:schemaRef ds:uri="http://schema.officeatwork365.com/2015/designSettings"/>
  </ds:schemaRefs>
</ds:datastoreItem>
</file>

<file path=customXml/itemProps8.xml><?xml version="1.0" encoding="utf-8"?>
<ds:datastoreItem xmlns:ds="http://schemas.openxmlformats.org/officeDocument/2006/customXml" ds:itemID="{521BBB6C-B0AC-4E95-95D1-D6AA4955D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38</Pages>
  <Words>12148</Words>
  <Characters>69249</Characters>
  <Application>Microsoft Office Word</Application>
  <DocSecurity>0</DocSecurity>
  <Lines>577</Lines>
  <Paragraphs>162</Paragraphs>
  <ScaleCrop>false</ScaleCrop>
  <Company>Wisconsin Metal Parts</Company>
  <LinksUpToDate>false</LinksUpToDate>
  <CharactersWithSpaces>81235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Government Cloud Migration Solution Design</dc:title>
  <dc:subject>Microsoft Government Cloud Migration Design</dc:subject>
  <dc:creator>Michael Schraepfer</dc:creator>
  <cp:keywords/>
  <dc:description/>
  <cp:lastModifiedBy>Michael Schraepfer</cp:lastModifiedBy>
  <cp:revision>16</cp:revision>
  <cp:lastPrinted>2026-03-02T18:43:00Z</cp:lastPrinted>
  <dcterms:created xsi:type="dcterms:W3CDTF">2026-08-24T17:08:00Z</dcterms:created>
  <dcterms:modified xsi:type="dcterms:W3CDTF">2026-08-24T17:21:00Z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0x010100B4109C60E821144B9D6603ED7F795F72</vt:lpwstr>
  </property>
  <property fmtid="{D5CDD505-2E9C-101B-9397-08002B2CF9AE}" pid="3" name="docLang">
    <vt:lpwstr>en</vt:lpwstr>
  </property>
  <property fmtid="{D5CDD505-2E9C-101B-9397-08002B2CF9AE}" pid="4" name="MediaServiceImageTags">
    <vt:lpwstr/>
  </property>
</Properties>
</file>