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3A5C"/>
          <w:sz w:val="52"/>
          <w:szCs w:val="52"/>
        </w:rPr>
        <w:t xml:space="preserve">FAT-P Library</w:t>
      </w:r>
    </w:p>
    <w:p>
      <w:pPr>
        <w:spacing w:after="80"/>
        <w:jc w:val="center"/>
      </w:pPr>
      <w:r>
        <w:rPr>
          <w:rFonts w:ascii="Arial" w:cs="Arial" w:eastAsia="Arial" w:hAnsi="Arial"/>
          <w:color w:val="4A6F8A"/>
          <w:sz w:val="36"/>
          <w:szCs w:val="36"/>
        </w:rPr>
        <w:t xml:space="preserve">User Manual Compliance Audit</w:t>
      </w:r>
    </w:p>
    <w:p>
      <w:pPr>
        <w:spacing w:after="200"/>
      </w:pPr>
    </w:p>
    <w:p>
      <w:pPr>
        <w:pBdr>
          <w:top w:val="single" w:color="1B3A5C" w:sz="6" w:space="1"/>
        </w:pBdr>
        <w:spacing w:before="200" w:after="200"/>
        <w:jc w:val="center"/>
      </w:pPr>
    </w:p>
    <w:p>
      <w:pPr>
        <w:spacing w:after="60"/>
        <w:jc w:val="center"/>
      </w:pPr>
      <w:r>
        <w:rPr>
          <w:rFonts w:ascii="Arial" w:cs="Arial" w:eastAsia="Arial" w:hAnsi="Arial"/>
          <w:color w:val="4A6F8A"/>
          <w:sz w:val="20"/>
          <w:szCs w:val="20"/>
        </w:rPr>
        <w:t xml:space="preserve">62 Components  |  65 User Manuals  |  Teaching Documents Style Guide v1.5</w:t>
      </w:r>
    </w:p>
    <w:p>
      <w:pPr>
        <w:jc w:val="center"/>
      </w:pPr>
      <w:r>
        <w:rPr>
          <w:rFonts w:ascii="Arial" w:cs="Arial" w:eastAsia="Arial" w:hAnsi="Arial"/>
          <w:color w:val="4A6F8A"/>
          <w:sz w:val="20"/>
          <w:szCs w:val="20"/>
        </w:rPr>
        <w:t xml:space="preserve">February 2026</w:t>
      </w:r>
    </w:p>
    <w:p>
      <w:r>
        <w:br w:type="page"/>
      </w:r>
    </w:p>
    <w:p>
      <w:pPr>
        <w:pStyle w:val="Heading1"/>
        <w:spacing w:before="360" w:after="200"/>
      </w:pPr>
      <w:r>
        <w:rPr>
          <w:rFonts w:ascii="Arial" w:cs="Arial" w:eastAsia="Arial" w:hAnsi="Arial"/>
          <w:b/>
          <w:bCs/>
          <w:color w:val="1B3A5C"/>
          <w:sz w:val="32"/>
          <w:szCs w:val="32"/>
        </w:rPr>
        <w:t xml:space="preserve">Executive Summary</w:t>
      </w:r>
    </w:p>
    <w:p>
      <w:pPr>
        <w:spacing w:after="120" w:line="276"/>
      </w:pPr>
      <w:r>
        <w:rPr>
          <w:rFonts w:ascii="Arial" w:cs="Arial" w:eastAsia="Arial" w:hAnsi="Arial"/>
          <w:color w:val="1A1A1A"/>
          <w:sz w:val="21"/>
          <w:szCs w:val="21"/>
        </w:rPr>
        <w:t xml:space="preserve">All 62 FAT-P components have at least one User Manual. Coverage is complete. However, the manuals divide into two distinct generations with sharply different levels of compliance with the Teaching Documents Style Guide.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2F6FA" w:val="clear"/>
            <w:tcMar>
              <w:top w:type="dxa" w:w="120"/>
              <w:left w:type="dxa" w:w="140"/>
              <w:bottom w:type="dxa" w:w="120"/>
              <w:right w:type="dxa" w:w="140"/>
            </w:tcMar>
          </w:tcPr>
          <w:p>
            <w:pPr>
              <w:jc w:val="center"/>
            </w:pPr>
            <w:r>
              <w:rPr>
                <w:rFonts w:ascii="Arial" w:cs="Arial" w:eastAsia="Arial" w:hAnsi="Arial"/>
                <w:b/>
                <w:bCs/>
                <w:color w:val="1B3A5C"/>
                <w:sz w:val="40"/>
                <w:szCs w:val="40"/>
              </w:rPr>
              <w:t xml:space="preserve">62</w:t>
            </w:r>
          </w:p>
          <w:p>
            <w:pPr>
              <w:spacing w:before="40"/>
              <w:jc w:val="center"/>
            </w:pPr>
            <w:r>
              <w:rPr>
                <w:rFonts w:ascii="Arial" w:cs="Arial" w:eastAsia="Arial" w:hAnsi="Arial"/>
                <w:color w:val="4A6F8A"/>
                <w:sz w:val="16"/>
                <w:szCs w:val="16"/>
              </w:rPr>
              <w:t xml:space="preserve">Components</w:t>
            </w:r>
          </w:p>
        </w:tc>
        <w:tc>
          <w:tcPr>
            <w:tcW w:type="dxa" w:w="2340"/>
            <w:tcBorders>
              <w:top w:val="none" w:color="FFFFFF" w:sz="0"/>
              <w:left w:val="none" w:color="FFFFFF" w:sz="0"/>
              <w:bottom w:val="none" w:color="FFFFFF" w:sz="0"/>
              <w:right w:val="none" w:color="FFFFFF" w:sz="0"/>
            </w:tcBorders>
            <w:shd w:fill="F2F6FA" w:val="clear"/>
            <w:tcMar>
              <w:top w:type="dxa" w:w="120"/>
              <w:left w:type="dxa" w:w="140"/>
              <w:bottom w:type="dxa" w:w="120"/>
              <w:right w:type="dxa" w:w="140"/>
            </w:tcMar>
          </w:tcPr>
          <w:p>
            <w:pPr>
              <w:jc w:val="center"/>
            </w:pPr>
            <w:r>
              <w:rPr>
                <w:rFonts w:ascii="Arial" w:cs="Arial" w:eastAsia="Arial" w:hAnsi="Arial"/>
                <w:b/>
                <w:bCs/>
                <w:color w:val="2D8B4E"/>
                <w:sz w:val="40"/>
                <w:szCs w:val="40"/>
              </w:rPr>
              <w:t xml:space="preserve">20</w:t>
            </w:r>
          </w:p>
          <w:p>
            <w:pPr>
              <w:spacing w:before="40"/>
              <w:jc w:val="center"/>
            </w:pPr>
            <w:r>
              <w:rPr>
                <w:rFonts w:ascii="Arial" w:cs="Arial" w:eastAsia="Arial" w:hAnsi="Arial"/>
                <w:color w:val="4A6F8A"/>
                <w:sz w:val="16"/>
                <w:szCs w:val="16"/>
              </w:rPr>
              <w:t xml:space="preserve">Full Compliance</w:t>
            </w:r>
          </w:p>
        </w:tc>
        <w:tc>
          <w:tcPr>
            <w:tcW w:type="dxa" w:w="2340"/>
            <w:tcBorders>
              <w:top w:val="none" w:color="FFFFFF" w:sz="0"/>
              <w:left w:val="none" w:color="FFFFFF" w:sz="0"/>
              <w:bottom w:val="none" w:color="FFFFFF" w:sz="0"/>
              <w:right w:val="none" w:color="FFFFFF" w:sz="0"/>
            </w:tcBorders>
            <w:shd w:fill="F2F6FA" w:val="clear"/>
            <w:tcMar>
              <w:top w:type="dxa" w:w="120"/>
              <w:left w:type="dxa" w:w="140"/>
              <w:bottom w:type="dxa" w:w="120"/>
              <w:right w:type="dxa" w:w="140"/>
            </w:tcMar>
          </w:tcPr>
          <w:p>
            <w:pPr>
              <w:jc w:val="center"/>
            </w:pPr>
            <w:r>
              <w:rPr>
                <w:rFonts w:ascii="Arial" w:cs="Arial" w:eastAsia="Arial" w:hAnsi="Arial"/>
                <w:b/>
                <w:bCs/>
                <w:color w:val="D4850A"/>
                <w:sz w:val="40"/>
                <w:szCs w:val="40"/>
              </w:rPr>
              <w:t xml:space="preserve">30</w:t>
            </w:r>
          </w:p>
          <w:p>
            <w:pPr>
              <w:spacing w:before="40"/>
              <w:jc w:val="center"/>
            </w:pPr>
            <w:r>
              <w:rPr>
                <w:rFonts w:ascii="Arial" w:cs="Arial" w:eastAsia="Arial" w:hAnsi="Arial"/>
                <w:color w:val="4A6F8A"/>
                <w:sz w:val="16"/>
                <w:szCs w:val="16"/>
              </w:rPr>
              <w:t xml:space="preserve">Content-Only</w:t>
            </w:r>
          </w:p>
        </w:tc>
        <w:tc>
          <w:tcPr>
            <w:tcW w:type="dxa" w:w="2340"/>
            <w:tcBorders>
              <w:top w:val="none" w:color="FFFFFF" w:sz="0"/>
              <w:left w:val="none" w:color="FFFFFF" w:sz="0"/>
              <w:bottom w:val="none" w:color="FFFFFF" w:sz="0"/>
              <w:right w:val="none" w:color="FFFFFF" w:sz="0"/>
            </w:tcBorders>
            <w:shd w:fill="F2F6FA" w:val="clear"/>
            <w:tcMar>
              <w:top w:type="dxa" w:w="120"/>
              <w:left w:type="dxa" w:w="140"/>
              <w:bottom w:type="dxa" w:w="120"/>
              <w:right w:type="dxa" w:w="140"/>
            </w:tcMar>
          </w:tcPr>
          <w:p>
            <w:pPr>
              <w:jc w:val="center"/>
            </w:pPr>
            <w:r>
              <w:rPr>
                <w:rFonts w:ascii="Arial" w:cs="Arial" w:eastAsia="Arial" w:hAnsi="Arial"/>
                <w:b/>
                <w:bCs/>
                <w:color w:val="C0392B"/>
                <w:sz w:val="40"/>
                <w:szCs w:val="40"/>
              </w:rPr>
              <w:t xml:space="preserve">28</w:t>
            </w:r>
          </w:p>
          <w:p>
            <w:pPr>
              <w:spacing w:before="40"/>
              <w:jc w:val="center"/>
            </w:pPr>
            <w:r>
              <w:rPr>
                <w:rFonts w:ascii="Arial" w:cs="Arial" w:eastAsia="Arial" w:hAnsi="Arial"/>
                <w:color w:val="4A6F8A"/>
                <w:sz w:val="16"/>
                <w:szCs w:val="16"/>
              </w:rPr>
              <w:t xml:space="preserve">Missing YAML</w:t>
            </w:r>
          </w:p>
        </w:tc>
      </w:tr>
    </w:tbl>
    <w:p>
      <w:pPr>
        <w:spacing w:after="120"/>
      </w:pPr>
    </w:p>
    <w:p>
      <w:pPr>
        <w:spacing w:after="120" w:line="276"/>
      </w:pPr>
      <w:r>
        <w:rPr>
          <w:rFonts w:ascii="Arial" w:cs="Arial" w:eastAsia="Arial" w:hAnsi="Arial"/>
          <w:b/>
          <w:bCs/>
          <w:color w:val="1A1A1A"/>
          <w:sz w:val="21"/>
          <w:szCs w:val="21"/>
        </w:rPr>
        <w:t xml:space="preserve">Generation 2 (post-Style Guide): </w:t>
      </w:r>
      <w:r>
        <w:rPr>
          <w:rFonts w:ascii="Arial" w:cs="Arial" w:eastAsia="Arial" w:hAnsi="Arial"/>
          <w:color w:val="1A1A1A"/>
          <w:sz w:val="21"/>
          <w:szCs w:val="21"/>
        </w:rPr>
        <w:t xml:space="preserve">37 manuals use the </w:t>
      </w:r>
      <w:r>
        <w:rPr>
          <w:rFonts w:ascii="Arial" w:cs="Arial" w:eastAsia="Arial" w:hAnsi="Arial"/>
          <w:b/>
          <w:bCs/>
          <w:color w:val="1A1A1A"/>
          <w:sz w:val="21"/>
          <w:szCs w:val="21"/>
        </w:rPr>
        <w:t xml:space="preserve">User Manual - Component.md</w:t>
      </w:r>
      <w:r>
        <w:rPr>
          <w:rFonts w:ascii="Arial" w:cs="Arial" w:eastAsia="Arial" w:hAnsi="Arial"/>
          <w:color w:val="1A1A1A"/>
          <w:sz w:val="21"/>
          <w:szCs w:val="21"/>
        </w:rPr>
        <w:t xml:space="preserve"> naming convention. Most have YAML front matter, User Manual Cards, and structural scaffolding. Of these, approximately 20 are fully compliant with the Style Guide.</w:t>
      </w:r>
    </w:p>
    <w:p>
      <w:pPr>
        <w:spacing w:after="120" w:line="276"/>
      </w:pPr>
      <w:r>
        <w:rPr>
          <w:rFonts w:ascii="Arial" w:cs="Arial" w:eastAsia="Arial" w:hAnsi="Arial"/>
          <w:b/>
          <w:bCs/>
          <w:color w:val="1A1A1A"/>
          <w:sz w:val="21"/>
          <w:szCs w:val="21"/>
        </w:rPr>
        <w:t xml:space="preserve">Generation 1 (pre-Style Guide): </w:t>
      </w:r>
      <w:r>
        <w:rPr>
          <w:rFonts w:ascii="Arial" w:cs="Arial" w:eastAsia="Arial" w:hAnsi="Arial"/>
          <w:color w:val="1A1A1A"/>
          <w:sz w:val="21"/>
          <w:szCs w:val="21"/>
        </w:rPr>
        <w:t xml:space="preserve">28 manuals use the </w:t>
      </w:r>
      <w:r>
        <w:rPr>
          <w:rFonts w:ascii="Arial" w:cs="Arial" w:eastAsia="Arial" w:hAnsi="Arial"/>
          <w:b/>
          <w:bCs/>
          <w:color w:val="1A1A1A"/>
          <w:sz w:val="21"/>
          <w:szCs w:val="21"/>
        </w:rPr>
        <w:t xml:space="preserve">Component_User_Manual.md</w:t>
      </w:r>
      <w:r>
        <w:rPr>
          <w:rFonts w:ascii="Arial" w:cs="Arial" w:eastAsia="Arial" w:hAnsi="Arial"/>
          <w:color w:val="1A1A1A"/>
          <w:sz w:val="21"/>
          <w:szCs w:val="21"/>
        </w:rPr>
        <w:t xml:space="preserve"> naming convention. These have zero YAML front matter, no User Manual Cards, no "Not covered" sections, and use the legacy H1 title format. Many are among the largest and most detailed manuals in the library (Expected: 2,073 lines; FatPTest: 4,849 lines; FeatureManager: 2,812 lines), so content quality is often high. Structural compliance with the Teaching Documents Style Guide is zero.</w:t>
      </w:r>
    </w:p>
    <w:p>
      <w:pPr>
        <w:spacing w:after="120" w:line="276"/>
      </w:pPr>
      <w:r>
        <w:rPr>
          <w:rFonts w:ascii="Arial" w:cs="Arial" w:eastAsia="Arial" w:hAnsi="Arial"/>
          <w:b/>
          <w:bCs/>
          <w:color w:val="1A1A1A"/>
          <w:sz w:val="21"/>
          <w:szCs w:val="21"/>
        </w:rPr>
        <w:t xml:space="preserve">Critical finding: </w:t>
      </w:r>
      <w:r>
        <w:rPr>
          <w:rFonts w:ascii="Arial" w:cs="Arial" w:eastAsia="Arial" w:hAnsi="Arial"/>
          <w:color w:val="1A1A1A"/>
          <w:sz w:val="21"/>
          <w:szCs w:val="21"/>
        </w:rPr>
        <w:t xml:space="preserve">16 manuals with YAML front matter still declare </w:t>
      </w:r>
      <w:r>
        <w:rPr>
          <w:rFonts w:ascii="Arial" w:cs="Arial" w:eastAsia="Arial" w:hAnsi="Arial"/>
          <w:b/>
          <w:bCs/>
          <w:color w:val="1A1A1A"/>
          <w:sz w:val="21"/>
          <w:szCs w:val="21"/>
        </w:rPr>
        <w:t xml:space="preserve">cxx_standard: "C++17"</w:t>
      </w:r>
      <w:r>
        <w:rPr>
          <w:rFonts w:ascii="Arial" w:cs="Arial" w:eastAsia="Arial" w:hAnsi="Arial"/>
          <w:color w:val="1A1A1A"/>
          <w:sz w:val="21"/>
          <w:szCs w:val="21"/>
        </w:rPr>
        <w:t xml:space="preserve">, which is stale. The library minimum changed to C++20 in Development Guidelines v3.2.</w:t>
      </w:r>
    </w:p>
    <w:p>
      <w:r>
        <w:br w:type="page"/>
      </w:r>
    </w:p>
    <w:p>
      <w:pPr>
        <w:pStyle w:val="Heading1"/>
        <w:spacing w:before="360" w:after="200"/>
      </w:pPr>
      <w:r>
        <w:rPr>
          <w:rFonts w:ascii="Arial" w:cs="Arial" w:eastAsia="Arial" w:hAnsi="Arial"/>
          <w:b/>
          <w:bCs/>
          <w:color w:val="1B3A5C"/>
          <w:sz w:val="32"/>
          <w:szCs w:val="32"/>
        </w:rPr>
        <w:t xml:space="preserve">Compliance Metrics</w:t>
      </w:r>
    </w:p>
    <w:p>
      <w:pPr>
        <w:pStyle w:val="Heading2"/>
        <w:spacing w:before="280" w:after="140"/>
      </w:pPr>
      <w:r>
        <w:rPr>
          <w:rFonts w:ascii="Arial" w:cs="Arial" w:eastAsia="Arial" w:hAnsi="Arial"/>
          <w:b/>
          <w:bCs/>
          <w:color w:val="4A6F8A"/>
          <w:sz w:val="26"/>
          <w:szCs w:val="26"/>
        </w:rPr>
        <w:t xml:space="preserve">Structural Elements</w:t>
      </w:r>
    </w:p>
    <w:p>
      <w:pPr>
        <w:spacing w:after="120" w:line="276"/>
      </w:pPr>
      <w:r>
        <w:rPr>
          <w:rFonts w:ascii="Arial" w:cs="Arial" w:eastAsia="Arial" w:hAnsi="Arial"/>
          <w:color w:val="1A1A1A"/>
          <w:sz w:val="21"/>
          <w:szCs w:val="21"/>
        </w:rPr>
        <w:t xml:space="preserve">The Teaching Documents Style Guide requires six structural elements for every User Manual. The table below shows adoption rates across all 65 manuals.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Required Element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Present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Missing</w:t>
            </w:r>
          </w:p>
        </w:tc>
        <w:tc>
          <w:tcPr>
            <w:tcW w:type="dxa" w:w="2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Compliance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YAML Front Matter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37</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28</w:t>
            </w:r>
          </w:p>
        </w:tc>
        <w:tc>
          <w:tcPr>
            <w:tcW w:type="dxa" w:w="2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D4850A"/>
                <w:sz w:val="18"/>
                <w:szCs w:val="18"/>
              </w:rPr>
              <w:t xml:space="preserve">57%</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User Manual Card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38</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42%</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"Not covered" Section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22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43</w:t>
            </w:r>
          </w:p>
        </w:tc>
        <w:tc>
          <w:tcPr>
            <w:tcW w:type="dxa" w:w="2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34%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Scope Statement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~37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~28</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~57%</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Prerequisites Section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~37</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~28</w:t>
            </w:r>
          </w:p>
        </w:tc>
        <w:tc>
          <w:tcPr>
            <w:tcW w:type="dxa" w:w="2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~57%</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Troubleshooting Section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~60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~5</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~92%</w:t>
            </w:r>
          </w:p>
        </w:tc>
      </w:tr>
    </w:tbl>
    <w:p>
      <w:pPr>
        <w:spacing w:after="200"/>
      </w:pPr>
    </w:p>
    <w:p>
      <w:pPr>
        <w:pStyle w:val="Heading2"/>
        <w:spacing w:before="280" w:after="140"/>
      </w:pPr>
      <w:r>
        <w:rPr>
          <w:rFonts w:ascii="Arial" w:cs="Arial" w:eastAsia="Arial" w:hAnsi="Arial"/>
          <w:b/>
          <w:bCs/>
          <w:color w:val="4A6F8A"/>
          <w:sz w:val="26"/>
          <w:szCs w:val="26"/>
        </w:rPr>
        <w:t xml:space="preserve">C++ Standard Declaration</w:t>
      </w:r>
    </w:p>
    <w:p>
      <w:pPr>
        <w:spacing w:after="120" w:line="276"/>
      </w:pPr>
      <w:r>
        <w:rPr>
          <w:rFonts w:ascii="Arial" w:cs="Arial" w:eastAsia="Arial" w:hAnsi="Arial"/>
          <w:color w:val="1A1A1A"/>
          <w:sz w:val="21"/>
          <w:szCs w:val="21"/>
        </w:rPr>
        <w:t xml:space="preserve">The library minimum standard changed from C++17 to C++20 in Development Guidelines v3.2 (January 2026). The cxx_standard field in YAML front matter should reflect this.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cxx_standard Value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"C++20" (correct)</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21</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D8B4E"/>
                <w:sz w:val="18"/>
                <w:szCs w:val="18"/>
              </w:rPr>
              <w:t xml:space="preserve">Correct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"C++17" (stale)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Stale</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No YAML (no field)</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28</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D4850A"/>
                <w:sz w:val="18"/>
                <w:szCs w:val="18"/>
              </w:rPr>
              <w:t xml:space="preserve">Missing</w:t>
            </w:r>
          </w:p>
        </w:tc>
      </w:tr>
    </w:tbl>
    <w:p>
      <w:pPr>
        <w:spacing w:after="200"/>
      </w:pPr>
    </w:p>
    <w:p>
      <w:pPr>
        <w:pStyle w:val="Heading2"/>
        <w:spacing w:before="280" w:after="140"/>
      </w:pPr>
      <w:r>
        <w:rPr>
          <w:rFonts w:ascii="Arial" w:cs="Arial" w:eastAsia="Arial" w:hAnsi="Arial"/>
          <w:b/>
          <w:bCs/>
          <w:color w:val="4A6F8A"/>
          <w:sz w:val="26"/>
          <w:szCs w:val="26"/>
        </w:rPr>
        <w:t xml:space="preserve">Naming Convention</w:t>
      </w:r>
    </w:p>
    <w:p>
      <w:pPr>
        <w:spacing w:after="120" w:line="276"/>
      </w:pPr>
      <w:r>
        <w:rPr>
          <w:rFonts w:ascii="Arial" w:cs="Arial" w:eastAsia="Arial" w:hAnsi="Arial"/>
          <w:color w:val="1A1A1A"/>
          <w:sz w:val="21"/>
          <w:szCs w:val="21"/>
        </w:rPr>
        <w:t xml:space="preserve">The Teaching Documents Style Guide specifies the filename format: User Manual - Component.md with H1 title # User Manual - Component. Three conventions are currently in use.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Convention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User Manual - Component.md</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36</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Current standard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Component_User_Manual.md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27</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Legacy (pre-Style Guide)</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User_Manual_-_Component.md</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One-off (CircularBuffer)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New filename, legacy H1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6</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Mixed (filename updated, H1 not)</w:t>
            </w:r>
          </w:p>
        </w:tc>
      </w:tr>
    </w:tbl>
    <w:p>
      <w:r>
        <w:br w:type="page"/>
      </w:r>
    </w:p>
    <w:p>
      <w:pPr>
        <w:pStyle w:val="Heading1"/>
        <w:spacing w:before="360" w:after="200"/>
      </w:pPr>
      <w:r>
        <w:rPr>
          <w:rFonts w:ascii="Arial" w:cs="Arial" w:eastAsia="Arial" w:hAnsi="Arial"/>
          <w:b/>
          <w:bCs/>
          <w:color w:val="1B3A5C"/>
          <w:sz w:val="32"/>
          <w:szCs w:val="32"/>
        </w:rPr>
        <w:t xml:space="preserve">Adequacy Assessment</w:t>
      </w:r>
    </w:p>
    <w:p>
      <w:pPr>
        <w:pStyle w:val="Heading2"/>
        <w:spacing w:before="280" w:after="140"/>
      </w:pPr>
      <w:r>
        <w:rPr>
          <w:rFonts w:ascii="Arial" w:cs="Arial" w:eastAsia="Arial" w:hAnsi="Arial"/>
          <w:b/>
          <w:bCs/>
          <w:color w:val="4A6F8A"/>
          <w:sz w:val="26"/>
          <w:szCs w:val="26"/>
        </w:rPr>
        <w:t xml:space="preserve">Tier 1: Structurally Compliant (~20 manuals)</w:t>
      </w:r>
    </w:p>
    <w:p>
      <w:pPr>
        <w:spacing w:after="120" w:line="276"/>
      </w:pPr>
      <w:r>
        <w:rPr>
          <w:rFonts w:ascii="Arial" w:cs="Arial" w:eastAsia="Arial" w:hAnsi="Arial"/>
          <w:color w:val="1A1A1A"/>
          <w:sz w:val="21"/>
          <w:szCs w:val="21"/>
        </w:rPr>
        <w:t xml:space="preserve">These manuals have YAML front matter, User Manual Card, Scope, "Not covered," Prerequisites, Troubleshooting, correct cxx_standard, and the current filename convention. They meet or substantially meet the Teaching Documents Style Guide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1200"/>
        <w:gridCol w:w="1960"/>
      </w:tblGrid>
      <w:tr>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Lines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YAML</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Card</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cxx_standard</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FatPConfig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102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CppFeatureDetection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EnhancedBoundsChecking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111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PlatformDetection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ViewLifetimeTracking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311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AllocationStrategies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324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SlidingFileWindow</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510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RateLimiter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522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EnforcedInit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573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CoroutineTask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582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SimdDetection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615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FatPBenchmarkRunner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695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MemoryMappedFile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744</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Cbor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791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BinarySerialization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880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Tensor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974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ServiceLocator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1330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ThreadPool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2180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bl>
    <w:p>
      <w:pPr>
        <w:spacing w:after="200"/>
      </w:pPr>
    </w:p>
    <w:p>
      <w:pPr>
        <w:pStyle w:val="Heading2"/>
        <w:spacing w:before="280" w:after="140"/>
      </w:pPr>
      <w:r>
        <w:rPr>
          <w:rFonts w:ascii="Arial" w:cs="Arial" w:eastAsia="Arial" w:hAnsi="Arial"/>
          <w:b/>
          <w:bCs/>
          <w:color w:val="4A6F8A"/>
          <w:sz w:val="26"/>
          <w:szCs w:val="26"/>
        </w:rPr>
        <w:t xml:space="preserve">Tier 2: Content-Adequate, Structurally Non-Compliant (~30 manuals)</w:t>
      </w:r>
    </w:p>
    <w:p>
      <w:pPr>
        <w:spacing w:after="120" w:line="276"/>
      </w:pPr>
      <w:r>
        <w:rPr>
          <w:rFonts w:ascii="Arial" w:cs="Arial" w:eastAsia="Arial" w:hAnsi="Arial"/>
          <w:color w:val="1A1A1A"/>
          <w:sz w:val="21"/>
          <w:szCs w:val="21"/>
        </w:rPr>
        <w:t xml:space="preserve">These manuals have substantial content (often 1,000+ lines) with architecture explanations, code examples, migration guides, and troubleshooting. However, they are missing YAML front matter, User Manual Cards, and "Not covered" sections. These are the highest-value remediation targets because the content already exists; only scaffolding needs to be added.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1200"/>
        <w:gridCol w:w="1960"/>
      </w:tblGrid>
      <w:tr>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Lines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YAML</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Card</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Naming</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FatPTest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4849</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Stringify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4237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D4850A"/>
                <w:sz w:val="18"/>
                <w:szCs w:val="18"/>
              </w:rPr>
              <w:t xml:space="preserve">new</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JsonLite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3578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FeatureManager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2812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AlignedVector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2276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Expected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2073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DebugOnly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1946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CheckedArithmetic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1914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DiagnosticLogger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1809</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StringPool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1674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ConstexprUtilities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1540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IdGenerator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1532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FatPJsonLite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1398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NumaAllocator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1387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ConcurrencyPolicies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1353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Factory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1333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ContractException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1264</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Signal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1256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FloatingPointComparison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1214</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CacheUtilities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1158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EqualityComparisons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1135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Enforce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1133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EnumPlus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1128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ScopeGuard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1105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CSRMatrix</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1063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D4850A"/>
                <w:sz w:val="18"/>
                <w:szCs w:val="18"/>
              </w:rPr>
              <w:t xml:space="preserve">new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SimdVector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968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D4850A"/>
                <w:sz w:val="18"/>
                <w:szCs w:val="18"/>
              </w:rPr>
              <w:t xml:space="preserve">new</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HpcVector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820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D4850A"/>
                <w:sz w:val="18"/>
                <w:szCs w:val="18"/>
              </w:rPr>
              <w:t xml:space="preserve">new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ValueGuard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805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r>
    </w:tbl>
    <w:p>
      <w:pPr>
        <w:spacing w:after="200"/>
      </w:pPr>
    </w:p>
    <w:p>
      <w:pPr>
        <w:pStyle w:val="Heading2"/>
        <w:spacing w:before="280" w:after="140"/>
      </w:pPr>
      <w:r>
        <w:rPr>
          <w:rFonts w:ascii="Arial" w:cs="Arial" w:eastAsia="Arial" w:hAnsi="Arial"/>
          <w:b/>
          <w:bCs/>
          <w:color w:val="4A6F8A"/>
          <w:sz w:val="26"/>
          <w:szCs w:val="26"/>
        </w:rPr>
        <w:t xml:space="preserve">Tier 3: Structurally Compliant but Content-Thin (4 manuals)</w:t>
      </w:r>
    </w:p>
    <w:p>
      <w:pPr>
        <w:spacing w:after="120" w:line="276"/>
      </w:pPr>
      <w:r>
        <w:rPr>
          <w:rFonts w:ascii="Arial" w:cs="Arial" w:eastAsia="Arial" w:hAnsi="Arial"/>
          <w:color w:val="1A1A1A"/>
          <w:sz w:val="21"/>
          <w:szCs w:val="21"/>
        </w:rPr>
        <w:t xml:space="preserve">These manuals have proper YAML and Cards but are very short (100–115 lines). For macro-reference components like FatPConfig and CppFeatureDetection, brevity may be appropriate. For EnhancedBoundsChecking, the manual covers the API adequately but skips the teaching elements the Style Guide requires (opening story, architecture explanation, why-before-how pattern).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Lines</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FatPConfig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102</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Acceptable — macro reference header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CppFeatureDetection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110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Acceptable — macro reference header</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EnhancedBoundsChecking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111</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Thin — missing teaching elements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PlatformDetection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115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Acceptable — macro reference header</w:t>
            </w:r>
          </w:p>
        </w:tc>
      </w:tr>
    </w:tbl>
    <w:p>
      <w:r>
        <w:br w:type="page"/>
      </w:r>
    </w:p>
    <w:p>
      <w:pPr>
        <w:pStyle w:val="Heading1"/>
        <w:spacing w:before="360" w:after="200"/>
      </w:pPr>
      <w:r>
        <w:rPr>
          <w:rFonts w:ascii="Arial" w:cs="Arial" w:eastAsia="Arial" w:hAnsi="Arial"/>
          <w:b/>
          <w:bCs/>
          <w:color w:val="1B3A5C"/>
          <w:sz w:val="32"/>
          <w:szCs w:val="32"/>
        </w:rPr>
        <w:t xml:space="preserve">Stale C++17 References</w:t>
      </w:r>
    </w:p>
    <w:p>
      <w:pPr>
        <w:spacing w:after="120" w:line="276"/>
      </w:pPr>
      <w:r>
        <w:rPr>
          <w:rFonts w:ascii="Arial" w:cs="Arial" w:eastAsia="Arial" w:hAnsi="Arial"/>
          <w:color w:val="1A1A1A"/>
          <w:sz w:val="21"/>
          <w:szCs w:val="21"/>
        </w:rPr>
        <w:t xml:space="preserve">The following 16 manuals have YAML front matter declaring cxx_standard: "C++17". Since the library minimum standard changed to C++20 in Development Guidelines v3.2 (January 2026), these should all be updated to "C++20". This is a mechanical fix.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200"/>
        <w:gridCol w:w="24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Lines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Current</w:t>
            </w:r>
          </w:p>
        </w:tc>
        <w:tc>
          <w:tcPr>
            <w:tcW w:type="dxa" w:w="2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Required</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BitSet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955</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CircularBuffer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552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FastHashMap</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942</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FlatMap/FlatSet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1759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IntrusiveList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1150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Lock-Free Queues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1252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ObjectPool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1463</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PolicyIterator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1469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SlotMap</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1064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SmallVector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1641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SparseSet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1107</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StableHashMap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1736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Stacktrace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1096</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StrongId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726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TensorStridePolicy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1054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WorkQueue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1221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r>
    </w:tbl>
    <w:p>
      <w:r>
        <w:br w:type="page"/>
      </w:r>
    </w:p>
    <w:p>
      <w:pPr>
        <w:pStyle w:val="Heading1"/>
        <w:spacing w:before="360" w:after="200"/>
      </w:pPr>
      <w:r>
        <w:rPr>
          <w:rFonts w:ascii="Arial" w:cs="Arial" w:eastAsia="Arial" w:hAnsi="Arial"/>
          <w:b/>
          <w:bCs/>
          <w:color w:val="1B3A5C"/>
          <w:sz w:val="32"/>
          <w:szCs w:val="32"/>
        </w:rPr>
        <w:t xml:space="preserve">Full Inventory</w:t>
      </w:r>
    </w:p>
    <w:p>
      <w:pPr>
        <w:spacing w:after="120" w:line="276"/>
      </w:pPr>
      <w:r>
        <w:rPr>
          <w:rFonts w:ascii="Arial" w:cs="Arial" w:eastAsia="Arial" w:hAnsi="Arial"/>
          <w:color w:val="1A1A1A"/>
          <w:sz w:val="21"/>
          <w:szCs w:val="21"/>
        </w:rPr>
        <w:t xml:space="preserve">Complete listing of all 65 User Manuals sorted by component name, with compliance indicators.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700"/>
        <w:gridCol w:w="700"/>
        <w:gridCol w:w="900"/>
        <w:gridCol w:w="1060"/>
        <w:gridCol w:w="900"/>
        <w:gridCol w:w="170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Lines</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YAML</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Card</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NotCov</w:t>
            </w:r>
          </w:p>
        </w:tc>
        <w:tc>
          <w:tcPr>
            <w:tcW w:type="dxa" w:w="1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 Std</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Compliance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AlignedVector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2276</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AllocationStrategies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324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BinarySerialization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880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BitSet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955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50A"/>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CacheUtilities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1158</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Cbor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791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CheckedArithmetic</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1914</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CircularBuffer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552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Concepts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1244</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D4850A"/>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ConcurrencyPolicies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1353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ConstexprUtilities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1540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ContractException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1264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CoroutineTask</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582</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CppFeatureDetection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CSRMatrix</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1063</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DebugOnly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1946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DiagnosticLogger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1809</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Enforce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1133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EnforcedInit</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573</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EnhancedBoundsChecking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111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EnumPlus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1128</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EqualityComparisons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1135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Expected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2073</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Factory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1333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FastHashMap</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942</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D4850A"/>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FatPBenchmarkRunner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695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FatPConfig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102</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FatPJsonLite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1398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FatPTest</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4849</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FeatureManager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2812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FlatMap/FlatSet</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1759</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FloatingPointComparison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1214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HpcVector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820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IdGenerator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1532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IntrusiveList</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1150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JsonLite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3578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Lock-Free Queues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1252</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MemoryMappedFile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744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NumaAllocator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1387</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ObjectPool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1463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50A"/>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PlatformDetection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115</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PolicyIterator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1469</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RateLimiter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522</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Reflection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944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50A"/>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ScopeGuard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1105</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ServiceLocator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1330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Signal</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1256</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SimdDetection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615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SimdVector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968</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SlidingFileWindow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510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SlotMap</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1064</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D4850A"/>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SmallVector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1641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SparseSet</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1107</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StableHashMap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1736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Stacktrace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1096</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D4850A"/>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StateMachine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1018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850A"/>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Stringify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4237</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StringPool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1674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StrongId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726</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D4850A"/>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Tensor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974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TensorStridePolicy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1054</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ThreadPool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2180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ValueGuard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805</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999999"/>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Legacy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C0392B"/>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ViewLifetimeTracking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311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C++20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B4E"/>
                <w:sz w:val="18"/>
                <w:szCs w:val="18"/>
              </w:rPr>
              <w:t xml:space="preserve">Full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WorkQueue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1221</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C0392B"/>
                <w:sz w:val="18"/>
                <w:szCs w:val="18"/>
              </w:rPr>
              <w:t xml:space="preserve">C++17</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2D8B4E"/>
                <w:sz w:val="18"/>
                <w:szCs w:val="18"/>
              </w:rPr>
              <w:t xml:space="preserve">New</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color w:val="2D8B4E"/>
                <w:sz w:val="18"/>
                <w:szCs w:val="18"/>
              </w:rPr>
              <w:t xml:space="preserve">Full</w:t>
            </w:r>
          </w:p>
        </w:tc>
      </w:tr>
    </w:tbl>
    <w:p>
      <w:r>
        <w:br w:type="page"/>
      </w:r>
    </w:p>
    <w:p>
      <w:pPr>
        <w:pStyle w:val="Heading1"/>
        <w:spacing w:before="360" w:after="200"/>
      </w:pPr>
      <w:r>
        <w:rPr>
          <w:rFonts w:ascii="Arial" w:cs="Arial" w:eastAsia="Arial" w:hAnsi="Arial"/>
          <w:b/>
          <w:bCs/>
          <w:color w:val="1B3A5C"/>
          <w:sz w:val="32"/>
          <w:szCs w:val="32"/>
        </w:rPr>
        <w:t xml:space="preserve">Recommended Remediation</w:t>
      </w:r>
    </w:p>
    <w:p>
      <w:pPr>
        <w:pStyle w:val="Heading2"/>
        <w:spacing w:before="280" w:after="140"/>
      </w:pPr>
      <w:r>
        <w:rPr>
          <w:rFonts w:ascii="Arial" w:cs="Arial" w:eastAsia="Arial" w:hAnsi="Arial"/>
          <w:b/>
          <w:bCs/>
          <w:color w:val="4A6F8A"/>
          <w:sz w:val="26"/>
          <w:szCs w:val="26"/>
        </w:rPr>
        <w:t xml:space="preserve">Priority 1: Batch-Fix cxx_standard (Mechanical)</w:t>
      </w:r>
    </w:p>
    <w:p>
      <w:pPr>
        <w:spacing w:after="120" w:line="276"/>
      </w:pPr>
      <w:r>
        <w:rPr>
          <w:rFonts w:ascii="Arial" w:cs="Arial" w:eastAsia="Arial" w:hAnsi="Arial"/>
          <w:color w:val="1A1A1A"/>
          <w:sz w:val="21"/>
          <w:szCs w:val="21"/>
        </w:rPr>
        <w:t xml:space="preserve">Update all 16 YAML cxx_standard: "C++17" declarations to "C++20". This is a search-and-replace operation with no content judgment required. Also update any C++17 references in prose prerequisites tables.</w:t>
      </w:r>
    </w:p>
    <w:p>
      <w:pPr>
        <w:pStyle w:val="Heading2"/>
        <w:spacing w:before="280" w:after="140"/>
      </w:pPr>
      <w:r>
        <w:rPr>
          <w:rFonts w:ascii="Arial" w:cs="Arial" w:eastAsia="Arial" w:hAnsi="Arial"/>
          <w:b/>
          <w:bCs/>
          <w:color w:val="4A6F8A"/>
          <w:sz w:val="26"/>
          <w:szCs w:val="26"/>
        </w:rPr>
        <w:t xml:space="preserve">Priority 2: Add YAML + Cards to Generation 1 Manuals</w:t>
      </w:r>
    </w:p>
    <w:p>
      <w:pPr>
        <w:spacing w:after="120" w:line="276"/>
      </w:pPr>
      <w:r>
        <w:rPr>
          <w:rFonts w:ascii="Arial" w:cs="Arial" w:eastAsia="Arial" w:hAnsi="Arial"/>
          <w:color w:val="1A1A1A"/>
          <w:sz w:val="21"/>
          <w:szCs w:val="21"/>
        </w:rPr>
        <w:t xml:space="preserve">The 28 Generation 1 manuals are currently invisible to AI semantic search because they have no YAML topics, no doc_id for cross-referencing, and no Cards for RAG retrieval. Adding scaffolding to these documents is the highest-value work item because the content already exists. The largest manuals (FatPTest at 4,849 lines, JsonLite at 3,578 lines, FeatureManager at 2,812 lines) represent the most valuable unlockable content.</w:t>
      </w:r>
    </w:p>
    <w:p>
      <w:pPr>
        <w:pStyle w:val="Heading2"/>
        <w:spacing w:before="280" w:after="140"/>
      </w:pPr>
      <w:r>
        <w:rPr>
          <w:rFonts w:ascii="Arial" w:cs="Arial" w:eastAsia="Arial" w:hAnsi="Arial"/>
          <w:b/>
          <w:bCs/>
          <w:color w:val="4A6F8A"/>
          <w:sz w:val="26"/>
          <w:szCs w:val="26"/>
        </w:rPr>
        <w:t xml:space="preserve">Priority 3: Rename Legacy Files</w:t>
      </w:r>
    </w:p>
    <w:p>
      <w:pPr>
        <w:spacing w:after="120" w:line="276"/>
      </w:pPr>
      <w:r>
        <w:rPr>
          <w:rFonts w:ascii="Arial" w:cs="Arial" w:eastAsia="Arial" w:hAnsi="Arial"/>
          <w:color w:val="1A1A1A"/>
          <w:sz w:val="21"/>
          <w:szCs w:val="21"/>
        </w:rPr>
        <w:t xml:space="preserve">Rename the 27 Component_User_Manual.md files and the 1 User_Manual_-_CircularBuffer.md file to User Manual - Component.md format. This is filesystem churn but aligns with the Style Guide naming convention and enables consistent tooling.</w:t>
      </w:r>
    </w:p>
    <w:p>
      <w:pPr>
        <w:pStyle w:val="Heading2"/>
        <w:spacing w:before="280" w:after="140"/>
      </w:pPr>
      <w:r>
        <w:rPr>
          <w:rFonts w:ascii="Arial" w:cs="Arial" w:eastAsia="Arial" w:hAnsi="Arial"/>
          <w:b/>
          <w:bCs/>
          <w:color w:val="4A6F8A"/>
          <w:sz w:val="26"/>
          <w:szCs w:val="26"/>
        </w:rPr>
        <w:t xml:space="preserve">Priority 4: Add Missing Structural Sections</w:t>
      </w:r>
    </w:p>
    <w:p>
      <w:pPr>
        <w:spacing w:after="120" w:line="276"/>
      </w:pPr>
      <w:r>
        <w:rPr>
          <w:rFonts w:ascii="Arial" w:cs="Arial" w:eastAsia="Arial" w:hAnsi="Arial"/>
          <w:color w:val="1A1A1A"/>
          <w:sz w:val="21"/>
          <w:szCs w:val="21"/>
        </w:rPr>
        <w:t xml:space="preserve">Add "Not covered" and "Prerequisites" sections to the approximately 43 manuals missing them. Add User Manual Cards to the approximately 38 manuals missing them.</w:t>
      </w:r>
    </w:p>
    <w:p>
      <w:pPr>
        <w:pStyle w:val="Heading2"/>
        <w:spacing w:before="280" w:after="140"/>
      </w:pPr>
      <w:r>
        <w:rPr>
          <w:rFonts w:ascii="Arial" w:cs="Arial" w:eastAsia="Arial" w:hAnsi="Arial"/>
          <w:b/>
          <w:bCs/>
          <w:color w:val="4A6F8A"/>
          <w:sz w:val="26"/>
          <w:szCs w:val="26"/>
        </w:rPr>
        <w:t xml:space="preserve">Priority 5: H1 Title Alignment</w:t>
      </w:r>
    </w:p>
    <w:p>
      <w:pPr>
        <w:spacing w:after="120" w:line="276"/>
      </w:pPr>
      <w:r>
        <w:rPr>
          <w:rFonts w:ascii="Arial" w:cs="Arial" w:eastAsia="Arial" w:hAnsi="Arial"/>
          <w:color w:val="1A1A1A"/>
          <w:sz w:val="21"/>
          <w:szCs w:val="21"/>
        </w:rPr>
        <w:t xml:space="preserve">6 manuals have the new filename convention but use the legacy H1 format (# Component User Manual instead of # User Manual - Component). These include CSRMatrix, FastHashMap, HpcVector, SimdVector, Stringify, and BitSet. The H1 title should match the filename prefix per the Style Guide.</w:t>
      </w:r>
    </w:p>
    <w:p>
      <w:pPr>
        <w:spacing w:after="300"/>
      </w:pPr>
    </w:p>
    <w:p>
      <w:pPr>
        <w:pBdr>
          <w:top w:val="single" w:color="1B3A5C" w:sz="4" w:space="1"/>
        </w:pBdr>
        <w:spacing w:before="200"/>
      </w:pPr>
    </w:p>
    <w:p>
      <w:pPr>
        <w:spacing w:before="80"/>
      </w:pPr>
      <w:r>
        <w:rPr>
          <w:rFonts w:ascii="Arial" w:cs="Arial" w:eastAsia="Arial" w:hAnsi="Arial"/>
          <w:i/>
          <w:iCs/>
          <w:color w:val="4A6F8A"/>
          <w:sz w:val="18"/>
          <w:szCs w:val="18"/>
        </w:rPr>
        <w:t xml:space="preserve">Generated from FAT-P Library source archive, February 2026.</w:t>
      </w:r>
    </w:p>
    <w:p>
      <w:r>
        <w:rPr>
          <w:rFonts w:ascii="Arial" w:cs="Arial" w:eastAsia="Arial" w:hAnsi="Arial"/>
          <w:i/>
          <w:iCs/>
          <w:color w:val="4A6F8A"/>
          <w:sz w:val="18"/>
          <w:szCs w:val="18"/>
        </w:rPr>
        <w:t xml:space="preserve">Audited against Teaching Documents Style Guide v1.5 and Development Guidelines v3.6.</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4A6F8A"/>
        <w:sz w:val="16"/>
        <w:szCs w:val="16"/>
      </w:rPr>
      <w:t xml:space="preserve">Page </w:t>
    </w:r>
    <w:r>
      <w:rPr>
        <w:rFonts w:ascii="Arial" w:cs="Arial" w:eastAsia="Arial" w:hAnsi="Arial"/>
        <w:color w:val="4A6F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4A6F8A"/>
        <w:sz w:val="16"/>
        <w:szCs w:val="16"/>
      </w:rPr>
      <w:t xml:space="preserve">FAT-P User Manual Compliance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4A6F8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2026-02-15T07:13:18.772Z</dcterms:created>
  <dcterms:modified xsi:type="dcterms:W3CDTF">2026-02-15T07:13:18.772Z</dcterms:modified>
</cp:coreProperties>
</file>

<file path=docProps/custom.xml><?xml version="1.0" encoding="utf-8"?>
<Properties xmlns="http://schemas.openxmlformats.org/officeDocument/2006/custom-properties" xmlns:vt="http://schemas.openxmlformats.org/officeDocument/2006/docPropsVTypes"/>
</file>