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w:hAnsi="Aptos"/>
          <w:b/>
          <w:color w:val="1F4E79"/>
          <w:sz w:val="44"/>
        </w:rPr>
        <w:t>Bridging Act 1: From Requirements to Class Shape</w:t>
      </w:r>
    </w:p>
    <w:p>
      <w:pPr>
        <w:pStyle w:val="Subtitle"/>
        <w:spacing w:after="220"/>
      </w:pPr>
      <w:r>
        <w:rPr>
          <w:rFonts w:ascii="Aptos" w:hAnsi="Aptos"/>
          <w:i/>
          <w:color w:val="6B7280"/>
          <w:sz w:val="22"/>
        </w:rPr>
        <w:t>A short note on motivating the real design work in ArrayView, especially in a classroom setting with a blackboard.</w:t>
      </w:r>
    </w:p>
    <w:tbl>
      <w:tblPr>
        <w:tblW w:type="auto" w:w="0"/>
        <w:jc w:val="center"/>
        <w:tblLook w:firstColumn="1" w:firstRow="1" w:lastColumn="0" w:lastRow="0" w:noHBand="0" w:noVBand="1" w:val="04A0"/>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Pr>
      <w:tblGrid>
        <w:gridCol w:w="9576"/>
      </w:tblGrid>
      <w:tr>
        <w:tc>
          <w:tcPr>
            <w:tcW w:type="dxa" w:w="9792"/>
            <w:shd w:fill="EEF4FB" w:val="clear"/>
            <w:tcMar>
              <w:top w:w="110" w:type="dxa"/>
              <w:start w:w="150" w:type="dxa"/>
              <w:bottom w:w="110" w:type="dxa"/>
              <w:end w:w="150" w:type="dxa"/>
            </w:tcMar>
            <w:vAlign w:val="center"/>
          </w:tcPr>
          <w:p>
            <w:pPr>
              <w:spacing w:after="0" w:line="259" w:lineRule="auto"/>
            </w:pPr>
            <w:r>
              <w:rPr>
                <w:rFonts w:ascii="Aptos" w:hAnsi="Aptos"/>
                <w:b/>
                <w:sz w:val="22"/>
              </w:rPr>
              <w:t xml:space="preserve">Core idea: </w:t>
            </w:r>
            <w:r>
              <w:rPr>
                <w:rFonts w:ascii="Aptos" w:hAnsi="Aptos"/>
                <w:sz w:val="22"/>
              </w:rPr>
              <w:t>the requirements do not imply methods first. They imply obligations. Once those obligations are explicit, the representation and interface stop feeling magical.</w:t>
            </w:r>
          </w:p>
        </w:tc>
      </w:tr>
    </w:tbl>
    <w:p>
      <w:pPr>
        <w:spacing w:before="180" w:after="140" w:line="264" w:lineRule="auto"/>
      </w:pPr>
      <w:r>
        <w:rPr>
          <w:rFonts w:ascii="Aptos" w:hAnsi="Aptos"/>
          <w:sz w:val="21"/>
        </w:rPr>
        <w:t>The missing step between the needs in Act 1 and the class interface is not a minor transition. It is the central design move in the whole talk. If that move is skipped, the audience sees a jump from "here are the pressures" to "here is a finished class," and the interface feels invented rather than forced.</w:t>
      </w:r>
    </w:p>
    <w:p>
      <w:pPr>
        <w:pStyle w:val="Heading1"/>
        <w:spacing w:before="140" w:after="100"/>
      </w:pPr>
      <w:r>
        <w:rPr>
          <w:rFonts w:ascii="Aptos" w:hAnsi="Aptos"/>
          <w:b/>
          <w:color w:val="1F4E79"/>
          <w:sz w:val="28"/>
        </w:rPr>
        <w:t>1. What is really happening in that missing step</w:t>
      </w:r>
    </w:p>
    <w:p>
      <w:pPr>
        <w:spacing w:before="0" w:after="100" w:line="264" w:lineRule="auto"/>
      </w:pPr>
      <w:r>
        <w:rPr>
          <w:rFonts w:ascii="Aptos" w:hAnsi="Aptos"/>
          <w:sz w:val="21"/>
        </w:rPr>
        <w:t>The better framing is this: the requirements force a representation. Before talking about member functions, the design has to answer what information the object must carry, what information can live entirely in the type system, what invariants must hold, and what operations can be derived from that representation.</w:t>
      </w:r>
    </w:p>
    <w:p>
      <w:pPr>
        <w:spacing w:before="0" w:after="100" w:line="264" w:lineRule="auto"/>
      </w:pPr>
      <w:r>
        <w:rPr>
          <w:rFonts w:ascii="Aptos" w:hAnsi="Aptos"/>
          <w:sz w:val="21"/>
        </w:rPr>
        <w:t>That turns the transition into an engineering argument instead of an API reveal. The class surface becomes the visible consequence of deeper choices, not the starting point.</w:t>
      </w:r>
    </w:p>
    <w:p>
      <w:pPr>
        <w:pStyle w:val="Heading2"/>
        <w:spacing w:before="100" w:after="80"/>
      </w:pPr>
      <w:r>
        <w:rPr>
          <w:rFonts w:ascii="Aptos" w:hAnsi="Aptos"/>
          <w:b/>
          <w:color w:val="264A60"/>
          <w:sz w:val="24"/>
        </w:rPr>
        <w:t>Requirements -&gt; obligations -&gt; class consequences</w:t>
      </w:r>
    </w:p>
    <w:tbl>
      <w:tblPr>
        <w:tblW w:type="auto" w:w="0"/>
        <w:jc w:val="center"/>
        <w:tblLook w:firstColumn="1" w:firstRow="1" w:lastColumn="0" w:lastRow="0" w:noHBand="0" w:noVBand="1" w:val="04A0"/>
        <w:tblBorders>
          <w:top w:val="single" w:sz="8" w:space="0" w:color="C7D6EA"/>
          <w:left w:val="single" w:sz="8" w:space="0" w:color="C7D6EA"/>
          <w:bottom w:val="single" w:sz="8" w:space="0" w:color="C7D6EA"/>
          <w:right w:val="single" w:sz="8" w:space="0" w:color="C7D6EA"/>
          <w:insideH w:val="single" w:sz="8" w:space="0" w:color="C7D6EA"/>
          <w:insideV w:val="single" w:sz="8" w:space="0" w:color="C7D6EA"/>
        </w:tblBorders>
      </w:tblPr>
      <w:tblGrid>
        <w:gridCol w:w="2880"/>
        <w:gridCol w:w="3240"/>
        <w:gridCol w:w="3240"/>
      </w:tblGrid>
      <w:tr>
        <w:tc>
          <w:tcPr>
            <w:tcW w:type="dxa" w:w="3264"/>
            <w:shd w:fill="DCE6F1" w:val="clear"/>
            <w:tcMar>
              <w:top w:w="100" w:type="dxa"/>
              <w:start w:w="105" w:type="dxa"/>
              <w:bottom w:w="100" w:type="dxa"/>
              <w:end w:w="105" w:type="dxa"/>
            </w:tcMar>
            <w:vAlign w:val="center"/>
          </w:tcPr>
          <w:p>
            <w:pPr>
              <w:spacing w:after="0"/>
            </w:pPr>
            <w:r>
              <w:rPr>
                <w:rFonts w:ascii="Aptos" w:hAnsi="Aptos"/>
                <w:b/>
                <w:sz w:val="20"/>
              </w:rPr>
              <w:t>Pressure from Act 1</w:t>
            </w:r>
          </w:p>
        </w:tc>
        <w:tc>
          <w:tcPr>
            <w:tcW w:type="dxa" w:w="3264"/>
            <w:shd w:fill="DCE6F1" w:val="clear"/>
            <w:tcMar>
              <w:top w:w="100" w:type="dxa"/>
              <w:start w:w="105" w:type="dxa"/>
              <w:bottom w:w="100" w:type="dxa"/>
              <w:end w:w="105" w:type="dxa"/>
            </w:tcMar>
            <w:vAlign w:val="center"/>
          </w:tcPr>
          <w:p>
            <w:pPr>
              <w:spacing w:after="0"/>
            </w:pPr>
            <w:r>
              <w:rPr>
                <w:rFonts w:ascii="Aptos" w:hAnsi="Aptos"/>
                <w:b/>
                <w:sz w:val="20"/>
              </w:rPr>
              <w:t>What the design must answer</w:t>
            </w:r>
          </w:p>
        </w:tc>
        <w:tc>
          <w:tcPr>
            <w:tcW w:type="dxa" w:w="3264"/>
            <w:shd w:fill="DCE6F1" w:val="clear"/>
            <w:tcMar>
              <w:top w:w="100" w:type="dxa"/>
              <w:start w:w="105" w:type="dxa"/>
              <w:bottom w:w="100" w:type="dxa"/>
              <w:end w:w="105" w:type="dxa"/>
            </w:tcMar>
            <w:vAlign w:val="center"/>
          </w:tcPr>
          <w:p>
            <w:pPr>
              <w:spacing w:after="0"/>
            </w:pPr>
            <w:r>
              <w:rPr>
                <w:rFonts w:ascii="Aptos" w:hAnsi="Aptos"/>
                <w:b/>
                <w:sz w:val="20"/>
              </w:rPr>
              <w:t>What falls out in the class</w:t>
            </w:r>
          </w:p>
        </w:tc>
      </w:tr>
      <w:tr>
        <w:tc>
          <w:tcPr>
            <w:tcW w:type="dxa" w:w="2880"/>
            <w:shd w:fill="FFFFFF" w:val="clear"/>
            <w:tcMar>
              <w:top w:w="80" w:type="dxa"/>
              <w:start w:w="105" w:type="dxa"/>
              <w:bottom w:w="80" w:type="dxa"/>
              <w:end w:w="105" w:type="dxa"/>
            </w:tcMar>
            <w:vAlign w:val="center"/>
          </w:tcPr>
          <w:p>
            <w:pPr>
              <w:spacing w:after="0" w:line="252" w:lineRule="auto"/>
            </w:pPr>
            <w:r>
              <w:rPr>
                <w:rFonts w:ascii="Aptos" w:hAnsi="Aptos"/>
                <w:sz w:val="20"/>
              </w:rPr>
              <w:t>Runtime-sized dimensions</w:t>
            </w:r>
          </w:p>
        </w:tc>
        <w:tc>
          <w:tcPr>
            <w:tcW w:type="dxa" w:w="3240"/>
            <w:shd w:fill="FFFFFF" w:val="clear"/>
            <w:tcMar>
              <w:top w:w="80" w:type="dxa"/>
              <w:start w:w="105" w:type="dxa"/>
              <w:bottom w:w="80" w:type="dxa"/>
              <w:end w:w="105" w:type="dxa"/>
            </w:tcMar>
            <w:vAlign w:val="center"/>
          </w:tcPr>
          <w:p>
            <w:pPr>
              <w:spacing w:after="0" w:line="252" w:lineRule="auto"/>
            </w:pPr>
            <w:r>
              <w:rPr>
                <w:rFonts w:ascii="Aptos" w:hAnsi="Aptos"/>
                <w:sz w:val="20"/>
              </w:rPr>
              <w:t>Which extents are only known at runtime, and where do they live?</w:t>
            </w:r>
          </w:p>
        </w:tc>
        <w:tc>
          <w:tcPr>
            <w:tcW w:type="dxa" w:w="3240"/>
            <w:shd w:fill="FFFFFF" w:val="clear"/>
            <w:tcMar>
              <w:top w:w="80" w:type="dxa"/>
              <w:start w:w="105" w:type="dxa"/>
              <w:bottom w:w="80" w:type="dxa"/>
              <w:end w:w="105" w:type="dxa"/>
            </w:tcMar>
            <w:vAlign w:val="center"/>
          </w:tcPr>
          <w:p>
            <w:pPr>
              <w:spacing w:after="0" w:line="252" w:lineRule="auto"/>
            </w:pPr>
            <w:r>
              <w:rPr>
                <w:rFonts w:ascii="Aptos" w:hAnsi="Aptos"/>
                <w:sz w:val="20"/>
              </w:rPr>
              <w:t>A runtime storage object such as ExtentStorage&lt;Dims...&gt;</w:t>
            </w:r>
          </w:p>
        </w:tc>
      </w:tr>
      <w:tr>
        <w:tc>
          <w:tcPr>
            <w:tcW w:type="dxa" w:w="2880"/>
            <w:shd w:fill="FFFFFF" w:val="clear"/>
            <w:tcMar>
              <w:top w:w="80" w:type="dxa"/>
              <w:start w:w="105" w:type="dxa"/>
              <w:bottom w:w="80" w:type="dxa"/>
              <w:end w:w="105" w:type="dxa"/>
            </w:tcMar>
            <w:vAlign w:val="center"/>
          </w:tcPr>
          <w:p>
            <w:pPr>
              <w:spacing w:after="0" w:line="252" w:lineRule="auto"/>
            </w:pPr>
            <w:r>
              <w:rPr>
                <w:rFonts w:ascii="Aptos" w:hAnsi="Aptos"/>
                <w:sz w:val="20"/>
              </w:rPr>
              <w:t>Mixed static and dynamic extents</w:t>
            </w:r>
          </w:p>
        </w:tc>
        <w:tc>
          <w:tcPr>
            <w:tcW w:type="dxa" w:w="3240"/>
            <w:shd w:fill="FFFFFF" w:val="clear"/>
            <w:tcMar>
              <w:top w:w="80" w:type="dxa"/>
              <w:start w:w="105" w:type="dxa"/>
              <w:bottom w:w="80" w:type="dxa"/>
              <w:end w:w="105" w:type="dxa"/>
            </w:tcMar>
            <w:vAlign w:val="center"/>
          </w:tcPr>
          <w:p>
            <w:pPr>
              <w:spacing w:after="0" w:line="252" w:lineRule="auto"/>
            </w:pPr>
            <w:r>
              <w:rPr>
                <w:rFonts w:ascii="Aptos" w:hAnsi="Aptos"/>
                <w:sz w:val="20"/>
              </w:rPr>
              <w:t>Which facts belong in the type and which belong in the object?</w:t>
            </w:r>
          </w:p>
        </w:tc>
        <w:tc>
          <w:tcPr>
            <w:tcW w:type="dxa" w:w="3240"/>
            <w:shd w:fill="FFFFFF" w:val="clear"/>
            <w:tcMar>
              <w:top w:w="80" w:type="dxa"/>
              <w:start w:w="105" w:type="dxa"/>
              <w:bottom w:w="80" w:type="dxa"/>
              <w:end w:w="105" w:type="dxa"/>
            </w:tcMar>
            <w:vAlign w:val="center"/>
          </w:tcPr>
          <w:p>
            <w:pPr>
              <w:spacing w:after="0" w:line="252" w:lineRule="auto"/>
            </w:pPr>
            <w:r>
              <w:rPr>
                <w:rFonts w:ascii="Aptos" w:hAnsi="Aptos"/>
                <w:sz w:val="20"/>
              </w:rPr>
              <w:t>Dims... becomes the center of the design; only dynamic extents are stored</w:t>
            </w:r>
          </w:p>
        </w:tc>
      </w:tr>
      <w:tr>
        <w:tc>
          <w:tcPr>
            <w:tcW w:type="dxa" w:w="2880"/>
            <w:shd w:fill="FFFFFF" w:val="clear"/>
            <w:tcMar>
              <w:top w:w="80" w:type="dxa"/>
              <w:start w:w="105" w:type="dxa"/>
              <w:bottom w:w="80" w:type="dxa"/>
              <w:end w:w="105" w:type="dxa"/>
            </w:tcMar>
            <w:vAlign w:val="center"/>
          </w:tcPr>
          <w:p>
            <w:pPr>
              <w:spacing w:after="0" w:line="252" w:lineRule="auto"/>
            </w:pPr>
            <w:r>
              <w:rPr>
                <w:rFonts w:ascii="Aptos" w:hAnsi="Aptos"/>
                <w:sz w:val="20"/>
              </w:rPr>
              <w:t>Multi-index access</w:t>
            </w:r>
          </w:p>
        </w:tc>
        <w:tc>
          <w:tcPr>
            <w:tcW w:type="dxa" w:w="3240"/>
            <w:shd w:fill="FFFFFF" w:val="clear"/>
            <w:tcMar>
              <w:top w:w="80" w:type="dxa"/>
              <w:start w:w="105" w:type="dxa"/>
              <w:bottom w:w="80" w:type="dxa"/>
              <w:end w:w="105" w:type="dxa"/>
            </w:tcMar>
            <w:vAlign w:val="center"/>
          </w:tcPr>
          <w:p>
            <w:pPr>
              <w:spacing w:after="0" w:line="252" w:lineRule="auto"/>
            </w:pPr>
            <w:r>
              <w:rPr>
                <w:rFonts w:ascii="Aptos" w:hAnsi="Aptos"/>
                <w:sz w:val="20"/>
              </w:rPr>
              <w:t>How does the type map indices to a linear offset?</w:t>
            </w:r>
          </w:p>
        </w:tc>
        <w:tc>
          <w:tcPr>
            <w:tcW w:type="dxa" w:w="3240"/>
            <w:shd w:fill="FFFFFF" w:val="clear"/>
            <w:tcMar>
              <w:top w:w="80" w:type="dxa"/>
              <w:start w:w="105" w:type="dxa"/>
              <w:bottom w:w="80" w:type="dxa"/>
              <w:end w:w="105" w:type="dxa"/>
            </w:tcMar>
            <w:vAlign w:val="center"/>
          </w:tcPr>
          <w:p>
            <w:pPr>
              <w:spacing w:after="0" w:line="252" w:lineRule="auto"/>
            </w:pPr>
            <w:r>
              <w:rPr>
                <w:rFonts w:ascii="Aptos" w:hAnsi="Aptos"/>
                <w:sz w:val="20"/>
              </w:rPr>
              <w:t>extent&lt;I&gt;(), stride&lt;I&gt;(), and linear-offset machinery</w:t>
            </w:r>
          </w:p>
        </w:tc>
      </w:tr>
      <w:tr>
        <w:tc>
          <w:tcPr>
            <w:tcW w:type="dxa" w:w="2880"/>
            <w:shd w:fill="FFFFFF" w:val="clear"/>
            <w:tcMar>
              <w:top w:w="80" w:type="dxa"/>
              <w:start w:w="105" w:type="dxa"/>
              <w:bottom w:w="80" w:type="dxa"/>
              <w:end w:w="105" w:type="dxa"/>
            </w:tcMar>
            <w:vAlign w:val="center"/>
          </w:tcPr>
          <w:p>
            <w:pPr>
              <w:spacing w:after="0" w:line="252" w:lineRule="auto"/>
            </w:pPr>
            <w:r>
              <w:rPr>
                <w:rFonts w:ascii="Aptos" w:hAnsi="Aptos"/>
                <w:sz w:val="20"/>
              </w:rPr>
              <w:t>Kokkos bridge</w:t>
            </w:r>
          </w:p>
        </w:tc>
        <w:tc>
          <w:tcPr>
            <w:tcW w:type="dxa" w:w="3240"/>
            <w:shd w:fill="FFFFFF" w:val="clear"/>
            <w:tcMar>
              <w:top w:w="80" w:type="dxa"/>
              <w:start w:w="105" w:type="dxa"/>
              <w:bottom w:w="80" w:type="dxa"/>
              <w:end w:w="105" w:type="dxa"/>
            </w:tcMar>
            <w:vAlign w:val="center"/>
          </w:tcPr>
          <w:p>
            <w:pPr>
              <w:spacing w:after="0" w:line="252" w:lineRule="auto"/>
            </w:pPr>
            <w:r>
              <w:rPr>
                <w:rFonts w:ascii="Aptos" w:hAnsi="Aptos"/>
                <w:sz w:val="20"/>
              </w:rPr>
              <w:t>How does the design recover the type-level encoding Kokkos expects?</w:t>
            </w:r>
          </w:p>
        </w:tc>
        <w:tc>
          <w:tcPr>
            <w:tcW w:type="dxa" w:w="3240"/>
            <w:shd w:fill="FFFFFF" w:val="clear"/>
            <w:tcMar>
              <w:top w:w="80" w:type="dxa"/>
              <w:start w:w="105" w:type="dxa"/>
              <w:bottom w:w="80" w:type="dxa"/>
              <w:end w:w="105" w:type="dxa"/>
            </w:tcMar>
            <w:vAlign w:val="center"/>
          </w:tcPr>
          <w:p>
            <w:pPr>
              <w:spacing w:after="0" w:line="252" w:lineRule="auto"/>
            </w:pPr>
            <w:r>
              <w:rPr>
                <w:rFonts w:ascii="Aptos" w:hAnsi="Aptos"/>
                <w:sz w:val="20"/>
              </w:rPr>
              <w:t>Traits and type-reconstruction machinery</w:t>
            </w:r>
          </w:p>
        </w:tc>
      </w:tr>
      <w:tr>
        <w:tc>
          <w:tcPr>
            <w:tcW w:type="dxa" w:w="2880"/>
            <w:shd w:fill="FFFFFF" w:val="clear"/>
            <w:tcMar>
              <w:top w:w="80" w:type="dxa"/>
              <w:start w:w="105" w:type="dxa"/>
              <w:bottom w:w="80" w:type="dxa"/>
              <w:end w:w="105" w:type="dxa"/>
            </w:tcMar>
            <w:vAlign w:val="center"/>
          </w:tcPr>
          <w:p>
            <w:pPr>
              <w:spacing w:after="0" w:line="252" w:lineRule="auto"/>
            </w:pPr>
            <w:r>
              <w:rPr>
                <w:rFonts w:ascii="Aptos" w:hAnsi="Aptos"/>
                <w:sz w:val="20"/>
              </w:rPr>
              <w:t>Non-owning, cheap, safe wrapper</w:t>
            </w:r>
          </w:p>
        </w:tc>
        <w:tc>
          <w:tcPr>
            <w:tcW w:type="dxa" w:w="3240"/>
            <w:shd w:fill="FFFFFF" w:val="clear"/>
            <w:tcMar>
              <w:top w:w="80" w:type="dxa"/>
              <w:start w:w="105" w:type="dxa"/>
              <w:bottom w:w="80" w:type="dxa"/>
              <w:end w:w="105" w:type="dxa"/>
            </w:tcMar>
            <w:vAlign w:val="center"/>
          </w:tcPr>
          <w:p>
            <w:pPr>
              <w:spacing w:after="0" w:line="252" w:lineRule="auto"/>
            </w:pPr>
            <w:r>
              <w:rPr>
                <w:rFonts w:ascii="Aptos" w:hAnsi="Aptos"/>
                <w:sz w:val="20"/>
              </w:rPr>
              <w:t>What invariants must hold at construction and access?</w:t>
            </w:r>
          </w:p>
        </w:tc>
        <w:tc>
          <w:tcPr>
            <w:tcW w:type="dxa" w:w="3240"/>
            <w:shd w:fill="FFFFFF" w:val="clear"/>
            <w:tcMar>
              <w:top w:w="80" w:type="dxa"/>
              <w:start w:w="105" w:type="dxa"/>
              <w:bottom w:w="80" w:type="dxa"/>
              <w:end w:w="105" w:type="dxa"/>
            </w:tcMar>
            <w:vAlign w:val="center"/>
          </w:tcPr>
          <w:p>
            <w:pPr>
              <w:spacing w:after="0" w:line="252" w:lineRule="auto"/>
            </w:pPr>
            <w:r>
              <w:rPr>
                <w:rFonts w:ascii="Aptos" w:hAnsi="Aptos"/>
                <w:sz w:val="20"/>
              </w:rPr>
              <w:t>Pointer + contracts: non-owning, bounds-checked, layout assumptions, const behavior</w:t>
            </w:r>
          </w:p>
        </w:tc>
      </w:tr>
    </w:tbl>
    <w:p>
      <w:pPr>
        <w:pStyle w:val="Heading1"/>
        <w:spacing w:before="160" w:after="100"/>
      </w:pPr>
      <w:r>
        <w:rPr>
          <w:rFonts w:ascii="Aptos" w:hAnsi="Aptos"/>
          <w:b/>
          <w:color w:val="1F4E79"/>
          <w:sz w:val="28"/>
        </w:rPr>
        <w:t>2. The simplest narrative bridge to insert into the talk</w:t>
      </w:r>
    </w:p>
    <w:p>
      <w:pPr>
        <w:spacing w:before="0" w:after="80" w:line="264" w:lineRule="auto"/>
      </w:pPr>
      <w:r>
        <w:rPr>
          <w:rFonts w:ascii="Aptos" w:hAnsi="Aptos"/>
          <w:sz w:val="21"/>
        </w:rPr>
        <w:t>One clean way to motivate the transition is to add two short slides or one short board derivation between "Four Requirements" and "Introducing ArrayView."</w:t>
      </w:r>
    </w:p>
    <w:p>
      <w:pPr>
        <w:pStyle w:val="Heading2"/>
        <w:spacing w:before="40" w:after="60"/>
      </w:pPr>
      <w:r>
        <w:rPr>
          <w:rFonts w:ascii="Aptos" w:hAnsi="Aptos"/>
          <w:b/>
          <w:color w:val="264A60"/>
          <w:sz w:val="24"/>
        </w:rPr>
        <w:t>Slide or board step A: What the type must be able to answer</w:t>
      </w:r>
    </w:p>
    <w:p>
      <w:pPr>
        <w:spacing w:after="40" w:line="247" w:lineRule="auto"/>
        <w:ind w:left="360" w:hanging="230"/>
      </w:pPr>
      <w:r>
        <w:rPr>
          <w:rFonts w:ascii="Aptos" w:hAnsi="Aptos"/>
          <w:sz w:val="21"/>
        </w:rPr>
        <w:t>• What is the element type?</w:t>
      </w:r>
    </w:p>
    <w:p>
      <w:pPr>
        <w:spacing w:after="40" w:line="247" w:lineRule="auto"/>
        <w:ind w:left="360" w:hanging="230"/>
      </w:pPr>
      <w:r>
        <w:rPr>
          <w:rFonts w:ascii="Aptos" w:hAnsi="Aptos"/>
          <w:sz w:val="21"/>
        </w:rPr>
        <w:t>• How many dimensions are there?</w:t>
      </w:r>
    </w:p>
    <w:p>
      <w:pPr>
        <w:spacing w:after="40" w:line="247" w:lineRule="auto"/>
        <w:ind w:left="360" w:hanging="230"/>
      </w:pPr>
      <w:r>
        <w:rPr>
          <w:rFonts w:ascii="Aptos" w:hAnsi="Aptos"/>
          <w:sz w:val="21"/>
        </w:rPr>
        <w:t>• Which extents are compile-time constants?</w:t>
      </w:r>
    </w:p>
    <w:p>
      <w:pPr>
        <w:spacing w:after="40" w:line="247" w:lineRule="auto"/>
        <w:ind w:left="360" w:hanging="230"/>
      </w:pPr>
      <w:r>
        <w:rPr>
          <w:rFonts w:ascii="Aptos" w:hAnsi="Aptos"/>
          <w:sz w:val="21"/>
        </w:rPr>
        <w:t>• Which extents must be stored at runtime?</w:t>
      </w:r>
    </w:p>
    <w:p>
      <w:pPr>
        <w:spacing w:after="40" w:line="247" w:lineRule="auto"/>
        <w:ind w:left="360" w:hanging="230"/>
      </w:pPr>
      <w:r>
        <w:rPr>
          <w:rFonts w:ascii="Aptos" w:hAnsi="Aptos"/>
          <w:sz w:val="21"/>
        </w:rPr>
        <w:t>• How is multi-index access reduced to a linear offset?</w:t>
      </w:r>
    </w:p>
    <w:p>
      <w:pPr>
        <w:spacing w:after="40" w:line="247" w:lineRule="auto"/>
        <w:ind w:left="360" w:hanging="230"/>
      </w:pPr>
      <w:r>
        <w:rPr>
          <w:rFonts w:ascii="Aptos" w:hAnsi="Aptos"/>
          <w:sz w:val="21"/>
        </w:rPr>
        <w:t>• How can the same information be translated into the Kokkos DataType encoding?</w:t>
      </w:r>
    </w:p>
    <w:p>
      <w:pPr>
        <w:pStyle w:val="Heading2"/>
        <w:spacing w:before="60" w:after="60"/>
      </w:pPr>
      <w:r>
        <w:rPr>
          <w:rFonts w:ascii="Aptos" w:hAnsi="Aptos"/>
          <w:b/>
          <w:color w:val="264A60"/>
          <w:sz w:val="24"/>
        </w:rPr>
        <w:t>Slide or board step B: Those answers determine the class shape</w:t>
      </w:r>
    </w:p>
    <w:p>
      <w:pPr>
        <w:spacing w:after="40" w:line="247" w:lineRule="auto"/>
        <w:ind w:left="360" w:hanging="230"/>
      </w:pPr>
      <w:r>
        <w:rPr>
          <w:rFonts w:ascii="Aptos" w:hAnsi="Aptos"/>
          <w:sz w:val="21"/>
        </w:rPr>
        <w:t>• T lives in the type.</w:t>
      </w:r>
    </w:p>
    <w:p>
      <w:pPr>
        <w:spacing w:after="40" w:line="247" w:lineRule="auto"/>
        <w:ind w:left="360" w:hanging="230"/>
      </w:pPr>
      <w:r>
        <w:rPr>
          <w:rFonts w:ascii="Aptos" w:hAnsi="Aptos"/>
          <w:sz w:val="21"/>
        </w:rPr>
        <w:t>• Dims... lives in the type.</w:t>
      </w:r>
    </w:p>
    <w:p>
      <w:pPr>
        <w:spacing w:after="40" w:line="247" w:lineRule="auto"/>
        <w:ind w:left="360" w:hanging="230"/>
      </w:pPr>
      <w:r>
        <w:rPr>
          <w:rFonts w:ascii="Aptos" w:hAnsi="Aptos"/>
          <w:sz w:val="21"/>
        </w:rPr>
        <w:t>• Only dynamic extents belong in object storage.</w:t>
      </w:r>
    </w:p>
    <w:p>
      <w:pPr>
        <w:spacing w:after="40" w:line="247" w:lineRule="auto"/>
        <w:ind w:left="360" w:hanging="230"/>
      </w:pPr>
      <w:r>
        <w:rPr>
          <w:rFonts w:ascii="Aptos" w:hAnsi="Aptos"/>
          <w:sz w:val="21"/>
        </w:rPr>
        <w:t>• The visible interface is mostly queries and operations derived from that representation.</w:t>
      </w:r>
    </w:p>
    <w:p>
      <w:pPr>
        <w:pStyle w:val="Heading1"/>
        <w:spacing w:before="160" w:after="100"/>
      </w:pPr>
      <w:r>
        <w:rPr>
          <w:rFonts w:ascii="Aptos" w:hAnsi="Aptos"/>
          <w:b/>
          <w:color w:val="1F4E79"/>
          <w:sz w:val="28"/>
        </w:rPr>
        <w:t>3. Blackboard framing that makes the transition feel earned</w:t>
      </w:r>
    </w:p>
    <w:p>
      <w:pPr>
        <w:spacing w:before="0" w:after="100" w:line="264" w:lineRule="auto"/>
      </w:pPr>
      <w:r>
        <w:rPr>
          <w:rFonts w:ascii="Aptos" w:hAnsi="Aptos"/>
          <w:sz w:val="21"/>
        </w:rPr>
        <w:t>In a classroom, the most natural move is not to present this as "now I will show you the API." Instead, ask: what does the object absolutely need to know? Write down pointer, rank, extents, layout assumption, mutability rule, and lifetime rule.</w:t>
      </w:r>
    </w:p>
    <w:p>
      <w:pPr>
        <w:spacing w:before="0" w:after="100" w:line="264" w:lineRule="auto"/>
      </w:pPr>
      <w:r>
        <w:rPr>
          <w:rFonts w:ascii="Aptos" w:hAnsi="Aptos"/>
          <w:sz w:val="21"/>
        </w:rPr>
        <w:t>Then split those facts into two groups on the board: what belongs in the type, and what belongs in the runtime object. That derivation naturally produces T and Dims... in the type, while only dynamic extents need storage in the object.</w:t>
      </w:r>
    </w:p>
    <w:p>
      <w:pPr>
        <w:spacing w:before="0" w:after="100" w:line="264" w:lineRule="auto"/>
      </w:pPr>
      <w:r>
        <w:rPr>
          <w:rFonts w:ascii="Aptos" w:hAnsi="Aptos"/>
          <w:sz w:val="21"/>
        </w:rPr>
        <w:t>At that point the audience can see that the later acts are not separate tricks. Act 2 is about storing the runtime part of Dims.... Act 3 is about reconstructing types from Dims.... The Kokkos bridge is about translating the same source of truth. That is why this bridge is not extra material; it makes the later material feel inevitable.</w:t>
      </w:r>
    </w:p>
    <w:tbl>
      <w:tblPr>
        <w:tblW w:type="auto" w:w="0"/>
        <w:jc w:val="center"/>
        <w:tblLook w:firstColumn="1" w:firstRow="1" w:lastColumn="0" w:lastRow="0" w:noHBand="0" w:noVBand="1" w:val="04A0"/>
        <w:tblBorders>
          <w:top w:val="single" w:sz="8" w:space="0" w:color="C7D6EA"/>
          <w:left w:val="single" w:sz="8" w:space="0" w:color="C7D6EA"/>
          <w:bottom w:val="single" w:sz="8" w:space="0" w:color="C7D6EA"/>
          <w:right w:val="single" w:sz="8" w:space="0" w:color="C7D6EA"/>
          <w:insideH w:val="single" w:sz="8" w:space="0" w:color="C7D6EA"/>
          <w:insideV w:val="single" w:sz="8" w:space="0" w:color="C7D6EA"/>
        </w:tblBorders>
      </w:tblPr>
      <w:tblGrid>
        <w:gridCol w:w="9576"/>
      </w:tblGrid>
      <w:tr>
        <w:tc>
          <w:tcPr>
            <w:tcW w:type="dxa" w:w="9792"/>
            <w:shd w:fill="F6F8FB" w:val="clear"/>
            <w:tcMar>
              <w:top w:w="100" w:type="dxa"/>
              <w:start w:w="140" w:type="dxa"/>
              <w:bottom w:w="100" w:type="dxa"/>
              <w:end w:w="140" w:type="dxa"/>
            </w:tcMar>
          </w:tcPr>
          <w:p>
            <w:pPr>
              <w:spacing w:after="0" w:line="252" w:lineRule="auto"/>
            </w:pPr>
            <w:r>
              <w:rPr>
                <w:rFonts w:ascii="Aptos" w:hAnsi="Aptos"/>
                <w:b/>
                <w:sz w:val="21"/>
              </w:rPr>
              <w:t xml:space="preserve">A useful line to say out loud: </w:t>
            </w:r>
            <w:r>
              <w:rPr>
                <w:rFonts w:ascii="Aptos" w:hAnsi="Aptos"/>
                <w:i/>
                <w:sz w:val="21"/>
              </w:rPr>
              <w:t>"I am not introducing ArrayView as a class first. I am introducing Dims... as the design. The class shape follows from that."</w:t>
            </w:r>
          </w:p>
        </w:tc>
      </w:tr>
    </w:tbl>
    <w:sectPr w:rsidR="00FC693F" w:rsidRPr="0006063C" w:rsidSect="00034616">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4A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B728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