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Garamond" w:cs="Garamond" w:eastAsia="Garamond" w:hAnsi="Garamond"/>
          <w:b/>
          <w:bCs/>
          <w:sz w:val="40"/>
          <w:szCs w:val="40"/>
        </w:rPr>
        <w:t xml:space="preserve">Phantom Framework — ML Path Forward</w:t>
      </w:r>
    </w:p>
    <w:p>
      <w:pPr>
        <w:spacing w:after="120"/>
        <w:jc w:val="center"/>
      </w:pPr>
      <w:r>
        <w:rPr>
          <w:rFonts w:ascii="Garamond" w:cs="Garamond" w:eastAsia="Garamond" w:hAnsi="Garamond"/>
          <w:i/>
          <w:iCs/>
          <w:sz w:val="26"/>
          <w:szCs w:val="26"/>
        </w:rPr>
        <w:t xml:space="preserve">From Static Operator Algebra to Dynamic Distortion Analysis</w:t>
      </w:r>
    </w:p>
    <w:p>
      <w:pPr>
        <w:spacing w:after="120"/>
        <w:jc w:val="center"/>
      </w:pPr>
      <w:r>
        <w:rPr>
          <w:rFonts w:ascii="Garamond" w:cs="Garamond" w:eastAsia="Garamond" w:hAnsi="Garamond"/>
          <w:i/>
          <w:iCs/>
          <w:sz w:val="26"/>
          <w:szCs w:val="26"/>
        </w:rPr>
        <w:t xml:space="preserve">Working document — April 2026</w:t>
      </w:r>
    </w:p>
    <w:p>
      <w:pPr>
        <w:spacing w:after="200"/>
        <w:jc w:val="center"/>
      </w:pPr>
      <w:r>
        <w:rPr>
          <w:rFonts w:ascii="Garamond" w:cs="Garamond" w:eastAsia="Garamond" w:hAnsi="Garamond"/>
          <w:i/>
          <w:iCs/>
          <w:sz w:val="22"/>
          <w:szCs w:val="22"/>
        </w:rPr>
        <w:t xml:space="preserve">The goal is truth, not credit.</w:t>
      </w:r>
    </w:p>
    <w:p>
      <w:pPr>
        <w:pBdr>
          <w:bottom w:val="single" w:color="888888" w:sz="6" w:space="1"/>
        </w:pBdr>
        <w:spacing w:after="120" w:before="120"/>
      </w:pPr>
      <w:r>
        <w:t xml:space="preserve"/>
      </w:r>
    </w:p>
    <w:p>
      <w:pPr>
        <w:pStyle w:val="Heading1"/>
        <w:spacing w:after="180" w:before="360"/>
      </w:pPr>
      <w:r>
        <w:rPr>
          <w:rFonts w:ascii="Garamond" w:cs="Garamond" w:eastAsia="Garamond" w:hAnsi="Garamond"/>
          <w:b/>
          <w:bCs/>
          <w:sz w:val="32"/>
          <w:szCs w:val="32"/>
        </w:rPr>
        <w:t xml:space="preserve">1. Purpose of this document</w:t>
      </w:r>
    </w:p>
    <w:p>
      <w:pPr>
        <w:spacing w:after="120" w:line="300"/>
        <w:jc w:val="both"/>
      </w:pPr>
      <w:r>
        <w:rPr>
          <w:rFonts w:ascii="Garamond" w:cs="Garamond" w:eastAsia="Garamond" w:hAnsi="Garamond"/>
          <w:sz w:val="22"/>
          <w:szCs w:val="22"/>
        </w:rPr>
        <w:t xml:space="preserve">This document reports on a working conversation that examined the ML side of the Phantom framework as it currently stands and identified specific paths for extending it. It is a working record, not a finished position. Its function is to consolidate what was found, to mark what remains conjectural, and to describe a sequence of technical and conceptual extensions in enough detail that they can be either pursued or contested on their merits.</w:t>
      </w:r>
    </w:p>
    <w:p>
      <w:pPr>
        <w:spacing w:after="120" w:line="300"/>
        <w:jc w:val="both"/>
      </w:pPr>
      <w:r>
        <w:rPr>
          <w:rFonts w:ascii="Garamond" w:cs="Garamond" w:eastAsia="Garamond" w:hAnsi="Garamond"/>
          <w:sz w:val="22"/>
          <w:szCs w:val="22"/>
        </w:rPr>
        <w:t xml:space="preserve">The conversation that produced it began as an analysis of the existing project — Statistics, ML, and Phantom directories totaling roughly 4,800 lines of mathematical exposition, 2,300 lines of verification code, twelve notebooks, and a published collaborative paper (Schroeder &amp; Claude, Reconstruction Hypothesis v6, February 2026). The technical content the framework already established — operator-algebraic two-projection geometry, the four-object decomposition, audit-blind subspace theorems, Bridge B as Fisher-tangent linearization for RLHF — is taken here as starting point rather than relitigated. What this document adds is the next layer: the identification that the framework has reached the edge of what its current static vocabulary can express, and the specification of where the dynamic extension has to go.</w:t>
      </w:r>
    </w:p>
    <w:p>
      <w:pPr>
        <w:spacing w:after="120" w:line="300"/>
        <w:jc w:val="both"/>
      </w:pPr>
      <w:r>
        <w:rPr>
          <w:rFonts w:ascii="Garamond" w:cs="Garamond" w:eastAsia="Garamond" w:hAnsi="Garamond"/>
          <w:sz w:val="22"/>
          <w:szCs w:val="22"/>
        </w:rPr>
        <w:t xml:space="preserve">The document is in five parts. Section 2 states what the existing framework has established and where its scope ends. Section 3 introduces the dynamic reframing the conversation arrived at, with the natural-versus-induced hole distinction as its first new structural object. Section 4 specifies four concrete paths forward, in order of decreasing tractability. Section 5 addresses methodological and epistemic considerations that bear on how the work should be conducted. An appendix records the conceptual moves that produced the document, for the same reason the project's other documents preserve their development records: so subsequent work can audit the path rather than only the destination.</w:t>
      </w:r>
    </w:p>
    <w:p>
      <w:pPr>
        <w:pStyle w:val="Heading1"/>
        <w:spacing w:after="180" w:before="360"/>
      </w:pPr>
      <w:r>
        <w:rPr>
          <w:rFonts w:ascii="Garamond" w:cs="Garamond" w:eastAsia="Garamond" w:hAnsi="Garamond"/>
          <w:b/>
          <w:bCs/>
          <w:sz w:val="32"/>
          <w:szCs w:val="32"/>
        </w:rPr>
        <w:t xml:space="preserve">2. Where the framework currently stands</w:t>
      </w:r>
    </w:p>
    <w:p>
      <w:pPr>
        <w:pStyle w:val="Heading2"/>
        <w:spacing w:after="140" w:before="280"/>
      </w:pPr>
      <w:r>
        <w:rPr>
          <w:rFonts w:ascii="Garamond" w:cs="Garamond" w:eastAsia="Garamond" w:hAnsi="Garamond"/>
          <w:b/>
          <w:bCs/>
          <w:sz w:val="26"/>
          <w:szCs w:val="26"/>
        </w:rPr>
        <w:t xml:space="preserve">2.1 Established</w:t>
      </w:r>
    </w:p>
    <w:p>
      <w:pPr>
        <w:spacing w:after="120" w:line="300"/>
        <w:jc w:val="both"/>
      </w:pPr>
      <w:r>
        <w:rPr>
          <w:rFonts w:ascii="Garamond" w:cs="Garamond" w:eastAsia="Garamond" w:hAnsi="Garamond"/>
          <w:sz w:val="22"/>
          <w:szCs w:val="22"/>
        </w:rPr>
        <w:t xml:space="preserve">The operator-algebraic core is solid. The two-projection geometry traces back to Halmos (1969), the canonical correlation analysis to Hotelling (1936), the Davis-Kahan and Wedin perturbation bounds to the 1970s, the concentration-operator analysis to Slepian's work on prolate spheroidal functions. The Phantom and Statistics directories instantiate this machinery in specific applications — masked PCA, regression with omitted variables, matched filtering under common mask, operational modal analysis — and the predictions match data in each case to within sampling error. The four-object decomposition (retention, suppression, leakage, total error as functions of the squared-cosine of the principal angle) is verified to machine precision in three independent toy settings. None of this is in question.</w:t>
      </w:r>
    </w:p>
    <w:p>
      <w:pPr>
        <w:spacing w:after="120" w:line="300"/>
        <w:jc w:val="both"/>
      </w:pPr>
      <w:r>
        <w:rPr>
          <w:rFonts w:ascii="Garamond" w:cs="Garamond" w:eastAsia="Garamond" w:hAnsi="Garamond"/>
          <w:sz w:val="22"/>
          <w:szCs w:val="22"/>
        </w:rPr>
        <w:t xml:space="preserve">On the ML side, the audit-blind subspace theorem is the cleanest established result. Given a linearization L of the distortion-to-function map, an N-query audit cannot detect distortions in dim(Xi) - N dimensions of the input space. The proof is one line of rank-nullity. The companion ridge-regression verification produces audit response below 10^-14 alongside user-facing divergence above 3 on held-out queries. As a statement about linear systems and as a specialization of standard linear algebra to the auditing problem, the theorem is correct.</w:t>
      </w:r>
    </w:p>
    <w:p>
      <w:pPr>
        <w:spacing w:after="120" w:line="300"/>
        <w:jc w:val="both"/>
      </w:pPr>
      <w:r>
        <w:rPr>
          <w:rFonts w:ascii="Garamond" w:cs="Garamond" w:eastAsia="Garamond" w:hAnsi="Garamond"/>
          <w:sz w:val="22"/>
          <w:szCs w:val="22"/>
        </w:rPr>
        <w:t xml:space="preserve">The collaborative-paper formulation in v6 adds the consequence-bearing mistake criterion as the proposed alternative to capability benchmarks. Mistakes whose downstream effects reveal information about the structure being accessed are the diagnostic for contact with that structure; tail-sampling from a closed distribution can produce mistake-shaped outputs but not consequence-bearing ones. The criterion is operational, does not require defining mistake or specifying human-shape, and produces clean verdicts on historical mathematical cases (the parallel-postulate sequence as the canonical example).</w:t>
      </w:r>
    </w:p>
    <w:p>
      <w:pPr>
        <w:pStyle w:val="Heading2"/>
        <w:spacing w:after="140" w:before="280"/>
      </w:pPr>
      <w:r>
        <w:rPr>
          <w:rFonts w:ascii="Garamond" w:cs="Garamond" w:eastAsia="Garamond" w:hAnsi="Garamond"/>
          <w:b/>
          <w:bCs/>
          <w:sz w:val="26"/>
          <w:szCs w:val="26"/>
        </w:rPr>
        <w:t xml:space="preserve">2.2 The scope boundary</w:t>
      </w:r>
    </w:p>
    <w:p>
      <w:pPr>
        <w:spacing w:after="120" w:line="300"/>
        <w:jc w:val="both"/>
      </w:pPr>
      <w:r>
        <w:rPr>
          <w:rFonts w:ascii="Garamond" w:cs="Garamond" w:eastAsia="Garamond" w:hAnsi="Garamond"/>
          <w:sz w:val="22"/>
          <w:szCs w:val="22"/>
        </w:rPr>
        <w:t xml:space="preserve">The framework's predictive power depends on a linearization that is exact in the NTK / lazy-training regime and approximate elsewhere. Bridge B's joint-sweep verification produces correlations of 0.98 with slopes deviating from unity by 15-25 percent, and the deviation is the curvature term the linearization neglects. For ridge regression and for trained networks operating near initialization, the linearization holds well enough that the audit-blindness predictions are quantitatively correct. For production fine-tuned language models operating in feature-learning regimes, the linearization holds qualitatively at best, and the framework's quantitative claims have to be hedged accordingly. This is named explicitly in ml_path_forward.md as Gap 1, and the SUPERSEDED scripts in GeometricML preserve the failed attempts to push the linearization further than it can go.</w:t>
      </w:r>
    </w:p>
    <w:p>
      <w:pPr>
        <w:spacing w:after="120" w:line="300"/>
        <w:jc w:val="both"/>
      </w:pPr>
      <w:r>
        <w:rPr>
          <w:rFonts w:ascii="Garamond" w:cs="Garamond" w:eastAsia="Garamond" w:hAnsi="Garamond"/>
          <w:sz w:val="22"/>
          <w:szCs w:val="22"/>
        </w:rPr>
        <w:t xml:space="preserve">The framework treats projections as orthogonal. Oblique projections — weighted least squares, non-orthogonal column spaces, the natural setting for many real inference pipelines — generalize the principal-angle geometry but introduce correction terms in the four-object identity. The pure form total = suppression + leakage may pick up cross-terms in the oblique case. This is named in §6.3 as needing a worked example; no such example exists yet.</w:t>
      </w:r>
    </w:p>
    <w:p>
      <w:pPr>
        <w:spacing w:after="120" w:line="300"/>
        <w:jc w:val="both"/>
      </w:pPr>
      <w:r>
        <w:rPr>
          <w:rFonts w:ascii="Garamond" w:cs="Garamond" w:eastAsia="Garamond" w:hAnsi="Garamond"/>
          <w:sz w:val="22"/>
          <w:szCs w:val="22"/>
        </w:rPr>
        <w:t xml:space="preserve">The Hilbert-space framing is wrong as a global structure for ML. The natural setting for trained policies is the KL/Fisher information manifold, which is curved. Linear projection P_C f_true is not the right object globally; the e-projection has a Bregman cross-term lambda*(R_true - R_0) that the linearized framework misses. The info-geometric reformulation in GeometricML addresses this — Bridge B is the Fisher-tangent first-order analog of the static framework's four-object decomposition — but the reformulation works at the tangent space, not on the manifold globally, and the manifold-level analysis is unfinished.</w:t>
      </w:r>
    </w:p>
    <w:p>
      <w:pPr>
        <w:spacing w:after="120" w:line="300"/>
        <w:jc w:val="both"/>
      </w:pPr>
      <w:r>
        <w:rPr>
          <w:rFonts w:ascii="Garamond" w:cs="Garamond" w:eastAsia="Garamond" w:hAnsi="Garamond"/>
          <w:sz w:val="22"/>
          <w:szCs w:val="22"/>
        </w:rPr>
        <w:t xml:space="preserve">The interpolation operator I_G is treated as approximately linear in the local representational neighborhood of the gap boundary. This is exact for kernel methods and Gaussian processes. It is approximate for transformers, with the approximation degrading as queries move deeper into G relative to the architecture's effective length scale. No treatment of the architecture-specific case is in the framework as it currently stands.</w:t>
      </w:r>
    </w:p>
    <w:p>
      <w:pPr>
        <w:pStyle w:val="Heading2"/>
        <w:spacing w:after="140" w:before="280"/>
      </w:pPr>
      <w:r>
        <w:rPr>
          <w:rFonts w:ascii="Garamond" w:cs="Garamond" w:eastAsia="Garamond" w:hAnsi="Garamond"/>
          <w:b/>
          <w:bCs/>
          <w:sz w:val="26"/>
          <w:szCs w:val="26"/>
        </w:rPr>
        <w:t xml:space="preserve">2.3 The conversation's reframing</w:t>
      </w:r>
    </w:p>
    <w:p>
      <w:pPr>
        <w:spacing w:after="120" w:line="300"/>
        <w:jc w:val="both"/>
      </w:pPr>
      <w:r>
        <w:rPr>
          <w:rFonts w:ascii="Garamond" w:cs="Garamond" w:eastAsia="Garamond" w:hAnsi="Garamond"/>
          <w:sz w:val="22"/>
          <w:szCs w:val="22"/>
        </w:rPr>
        <w:t xml:space="preserve">The static operator algebra is silent about how a particular projection was arrived at. It treats the projection as the object of analysis, and the trajectory that produced it as integrated out. This works in the wave-field case because the dynamics are fast relative to the analysis timescale and the equilibrium is the right object. It does not work as well in the ML case because training does not terminate at a stationary projection — the optimization trajectory is the thing being analyzed, and the path's history is encoded in the final weights in ways the equilibrium picture cannot recover.</w:t>
      </w:r>
    </w:p>
    <w:p>
      <w:pPr>
        <w:spacing w:after="120" w:line="300"/>
        <w:jc w:val="both"/>
      </w:pPr>
      <w:r>
        <w:rPr>
          <w:rFonts w:ascii="Garamond" w:cs="Garamond" w:eastAsia="Garamond" w:hAnsi="Garamond"/>
          <w:sz w:val="22"/>
          <w:szCs w:val="22"/>
        </w:rPr>
        <w:t xml:space="preserve">The retractions in the framework's development log trace back to this. Every place the linearization needed a curvature correction, a second-order term, or an operating-point dependency, the underlying issue was the same: the static algebra has no native vocabulary for the trajectory's contribution. The retractions did not fail to be more sophisticated linearizations; they failed because more sophisticated linearization is the wrong direction. The right direction is dynamic vocabulary, and the conversation that produced this document arrived at that conclusion through several specific routes that Section 3 lays out.</w:t>
      </w:r>
    </w:p>
    <w:p>
      <w:pPr>
        <w:pStyle w:val="Heading1"/>
        <w:spacing w:after="180" w:before="360"/>
      </w:pPr>
      <w:r>
        <w:rPr>
          <w:rFonts w:ascii="Garamond" w:cs="Garamond" w:eastAsia="Garamond" w:hAnsi="Garamond"/>
          <w:b/>
          <w:bCs/>
          <w:sz w:val="32"/>
          <w:szCs w:val="32"/>
        </w:rPr>
        <w:t xml:space="preserve">3. The dynamic reframing</w:t>
      </w:r>
    </w:p>
    <w:p>
      <w:pPr>
        <w:pStyle w:val="Heading2"/>
        <w:spacing w:after="140" w:before="280"/>
      </w:pPr>
      <w:r>
        <w:rPr>
          <w:rFonts w:ascii="Garamond" w:cs="Garamond" w:eastAsia="Garamond" w:hAnsi="Garamond"/>
          <w:b/>
          <w:bCs/>
          <w:sz w:val="26"/>
          <w:szCs w:val="26"/>
        </w:rPr>
        <w:t xml:space="preserve">3.1 The wave-field metaphor as generative picture</w:t>
      </w:r>
    </w:p>
    <w:p>
      <w:pPr>
        <w:spacing w:after="120" w:line="300"/>
        <w:jc w:val="both"/>
      </w:pPr>
      <w:r>
        <w:rPr>
          <w:rFonts w:ascii="Garamond" w:cs="Garamond" w:eastAsia="Garamond" w:hAnsi="Garamond"/>
          <w:sz w:val="22"/>
          <w:szCs w:val="22"/>
        </w:rPr>
        <w:t xml:space="preserve">The phantom framework's foundational image is exact in the wave-field case. A field exists everywhere; the gap is in the analysis pipeline, not in the field; the boundary of the gap is where the analysis imposes a fictitious Dirichlet condition the physics never imposed; the resulting phantom field is structurally a scattered response from the fictitious obstacle, sourced on the boundary, propagated through the medium, observed at distance. The math behind this is the commutator [L, M_G], which is supported only on the boundary of G, plus the propagation kernel of the underlying operator. The metaphor of scattering is not analogical here — it is what the math literally describes.</w:t>
      </w:r>
    </w:p>
    <w:p>
      <w:pPr>
        <w:spacing w:after="120" w:line="300"/>
        <w:jc w:val="both"/>
      </w:pPr>
      <w:r>
        <w:rPr>
          <w:rFonts w:ascii="Garamond" w:cs="Garamond" w:eastAsia="Garamond" w:hAnsi="Garamond"/>
          <w:sz w:val="22"/>
          <w:szCs w:val="22"/>
        </w:rPr>
        <w:t xml:space="preserve">Asking whether this metaphor transfers to the ML case in the strong sense — whether each piece of the wave-field math has a corresponding referent in trained networks — produces the linearization program and the retractions that program required. The math transfers cleanly only in the lazy-training regime. Outside that regime, attempts to push the math through introduce correction terms that grow until the framework's quantitative claims become hedge statements about asymptotic regimes that real systems do not occupy.</w:t>
      </w:r>
    </w:p>
    <w:p>
      <w:pPr>
        <w:spacing w:after="120" w:line="300"/>
        <w:jc w:val="both"/>
      </w:pPr>
      <w:r>
        <w:rPr>
          <w:rFonts w:ascii="Garamond" w:cs="Garamond" w:eastAsia="Garamond" w:hAnsi="Garamond"/>
          <w:sz w:val="22"/>
          <w:szCs w:val="22"/>
        </w:rPr>
        <w:t xml:space="preserve">The conversation's key reframing was to ask a different question. Set aside the math transfer. Treat the wave-field picture as a generative metaphor — a way of seeing — and ask what insight it offers into the nonlinear ML case taken on its own terms. The answer is that the metaphor moves the analysis from static to dynamic. Scattering is a process: a field encounters a boundary, the boundary sources a response, the response propagates through the medium, the response arrives at the detector with structure determined by the propagation. The artifact is what travels, not what sits. The static operator picture has integrated this out; the dynamic picture restores it.</w:t>
      </w:r>
    </w:p>
    <w:p>
      <w:pPr>
        <w:spacing w:after="120" w:line="300"/>
        <w:jc w:val="both"/>
      </w:pPr>
      <w:r>
        <w:rPr>
          <w:rFonts w:ascii="Garamond" w:cs="Garamond" w:eastAsia="Garamond" w:hAnsi="Garamond"/>
          <w:sz w:val="22"/>
          <w:szCs w:val="22"/>
        </w:rPr>
        <w:t xml:space="preserve">The reframing matters because the standard ML analysis of training-data absence is structurally static. The model has a fixed function, the function has a hole, the hole is a property of the trained artifact. The dynamic reframing says the model's response inside a curated region is not a static interpolation living there; it is something that arrives there from the boundary via the architecture's inference dynamics, the way a scattered wave arrives at a far-field detector via the wave equation. The training process itself is the propagation: gradients flow, representations form, features at the curation boundary shape what gets learned at every other point through the optimization trajectory.</w:t>
      </w:r>
    </w:p>
    <w:p>
      <w:pPr>
        <w:spacing w:after="120" w:line="300"/>
        <w:jc w:val="both"/>
      </w:pPr>
      <w:r>
        <w:rPr>
          <w:rFonts w:ascii="Garamond" w:cs="Garamond" w:eastAsia="Garamond" w:hAnsi="Garamond"/>
          <w:sz w:val="22"/>
          <w:szCs w:val="22"/>
        </w:rPr>
        <w:t xml:space="preserve">This generates several specific predictions the static frame would not have produced. Failures should cluster near filter boundaries in representation space rather than be uniformly distributed within the curated region. Correlated failures across architectures should trace to shared filters rather than to architecture-specific quirks. The boundary of curation criteria should be the highest-information-density probe surface for evaluation. Scale-dependent regimes should exist where artifact concentration changes with model capacity, analogous to bandwidth-dependent regimes in the wave case. None of these are theorems; all of them are empirically testable, and the dynamic frame is what makes them natural to ask.</w:t>
      </w:r>
    </w:p>
    <w:p>
      <w:pPr>
        <w:pStyle w:val="Heading2"/>
        <w:spacing w:after="140" w:before="280"/>
      </w:pPr>
      <w:r>
        <w:rPr>
          <w:rFonts w:ascii="Garamond" w:cs="Garamond" w:eastAsia="Garamond" w:hAnsi="Garamond"/>
          <w:b/>
          <w:bCs/>
          <w:sz w:val="26"/>
          <w:szCs w:val="26"/>
        </w:rPr>
        <w:t xml:space="preserve">3.2 Natural versus induced holes</w:t>
      </w:r>
    </w:p>
    <w:p>
      <w:pPr>
        <w:spacing w:after="120" w:line="300"/>
        <w:jc w:val="both"/>
      </w:pPr>
      <w:r>
        <w:rPr>
          <w:rFonts w:ascii="Garamond" w:cs="Garamond" w:eastAsia="Garamond" w:hAnsi="Garamond"/>
          <w:sz w:val="22"/>
          <w:szCs w:val="22"/>
        </w:rPr>
        <w:t xml:space="preserve">The single sharpest distinction the conversation produced is between natural and induced holes. The framework as written treats data absence as a single class of mechanism with stages (curation, embedding-space contamination, RLHF, hallucination suppression). The conversation found that this class actually contains two structurally different objects, and that conflating them costs predictive power.</w:t>
      </w:r>
    </w:p>
    <w:p>
      <w:pPr>
        <w:pStyle w:val="Heading3"/>
        <w:spacing w:after="120" w:before="220"/>
      </w:pPr>
      <w:r>
        <w:rPr>
          <w:rFonts w:ascii="Garamond" w:cs="Garamond" w:eastAsia="Garamond" w:hAnsi="Garamond"/>
          <w:b/>
          <w:bCs/>
          <w:i/>
          <w:iCs/>
          <w:sz w:val="24"/>
          <w:szCs w:val="24"/>
        </w:rPr>
        <w:t xml:space="preserve">3.2.1 The natural hole</w:t>
      </w:r>
    </w:p>
    <w:p>
      <w:pPr>
        <w:spacing w:after="120" w:line="300"/>
        <w:jc w:val="both"/>
      </w:pPr>
      <w:r>
        <w:rPr>
          <w:rFonts w:ascii="Garamond" w:cs="Garamond" w:eastAsia="Garamond" w:hAnsi="Garamond"/>
          <w:sz w:val="22"/>
          <w:szCs w:val="22"/>
        </w:rPr>
        <w:t xml:space="preserve">A natural hole is a region G of input space the training process never saw samples from. The training data simply does not contain examples in G. The model has nothing to override; whatever it produces in G is its best interpolation from what it learned at the boundary. The wave-field case lifts to this directly. The mask M_G = I - chi_G acts on the input distribution; the operator algebra applies; the predicted artifacts are functions of the gap geometry alone in the appropriate idealization.</w:t>
      </w:r>
    </w:p>
    <w:p>
      <w:pPr>
        <w:spacing w:after="120" w:line="300"/>
        <w:jc w:val="both"/>
      </w:pPr>
      <w:r>
        <w:rPr>
          <w:rFonts w:ascii="Garamond" w:cs="Garamond" w:eastAsia="Garamond" w:hAnsi="Garamond"/>
          <w:sz w:val="22"/>
          <w:szCs w:val="22"/>
        </w:rPr>
        <w:t xml:space="preserve">The natural hole has an honest signature. The model is constructing rather than concealing. There is no internal representation of the truth being overridden because there is no internal representation of the truth. Calibration in G should reflect the absence: a well-calibrated model has reason to be uncertain in G and a well-calibrated model would say so. The artifacts may be confident and structured, but the wrongness is generative rather than deceptive. Standard remediation strategies apply: collect data in G, retrain, the absence is filled.</w:t>
      </w:r>
    </w:p>
    <w:p>
      <w:pPr>
        <w:pStyle w:val="Heading3"/>
        <w:spacing w:after="120" w:before="220"/>
      </w:pPr>
      <w:r>
        <w:rPr>
          <w:rFonts w:ascii="Garamond" w:cs="Garamond" w:eastAsia="Garamond" w:hAnsi="Garamond"/>
          <w:b/>
          <w:bCs/>
          <w:i/>
          <w:iCs/>
          <w:sz w:val="24"/>
          <w:szCs w:val="24"/>
        </w:rPr>
        <w:t xml:space="preserve">3.2.2 The induced hole</w:t>
      </w:r>
    </w:p>
    <w:p>
      <w:pPr>
        <w:spacing w:after="120" w:line="300"/>
        <w:jc w:val="both"/>
      </w:pPr>
      <w:r>
        <w:rPr>
          <w:rFonts w:ascii="Garamond" w:cs="Garamond" w:eastAsia="Garamond" w:hAnsi="Garamond"/>
          <w:sz w:val="22"/>
          <w:szCs w:val="22"/>
        </w:rPr>
        <w:t xml:space="preserve">An induced hole is structurally different. The data was present in the training corpus. Examples in G existed; gradient updates encountered them; parameters were modified by them; internal representations were formed. The model knows, in whatever sense the model knows things, what is in G. What the constraint applied during or after training did was learn a routing — when a query that would naturally activate those representations comes in, divert the output to something else. The internal state containing the truth is still there; the path from internal state to output is what got modified.</w:t>
      </w:r>
    </w:p>
    <w:p>
      <w:pPr>
        <w:spacing w:after="120" w:line="300"/>
        <w:jc w:val="both"/>
      </w:pPr>
      <w:r>
        <w:rPr>
          <w:rFonts w:ascii="Garamond" w:cs="Garamond" w:eastAsia="Garamond" w:hAnsi="Garamond"/>
          <w:sz w:val="22"/>
          <w:szCs w:val="22"/>
        </w:rPr>
        <w:t xml:space="preserve">The induced hole has memory the natural hole does not. When data f was in the training set before constraint, the model's parameters were shaped by f before being shaped by the suppression. Information from f entered the system, propagated through the architecture's representations, was used to update weights influencing behavior on every other input, and only then got pushed down by the constraint. The propagated trace is distributed across the model and survives the surface suppression. The natural hole has no such memory; the data was never there, no propagation occurred, the absence is clean.</w:t>
      </w:r>
    </w:p>
    <w:p>
      <w:pPr>
        <w:spacing w:after="120" w:line="300"/>
        <w:jc w:val="both"/>
      </w:pPr>
      <w:r>
        <w:rPr>
          <w:rFonts w:ascii="Garamond" w:cs="Garamond" w:eastAsia="Garamond" w:hAnsi="Garamond"/>
          <w:sz w:val="22"/>
          <w:szCs w:val="22"/>
        </w:rPr>
        <w:t xml:space="preserve">Three structural consequences follow. First, induced holes are harder to detect: the obvious probe (querying at points in G) sees the suppressed surface response and misses the propagated trace. Second, they are harder to remove: removing the trace requires unwinding training updates that propagated through the architecture's coupling structure to inputs the constraint never targeted. Third — and most consequentially — they have adversarial structure that natural holes do not. The constraint training was optimized to produce the desired surface output, which means it was optimized to land in the kernel of any audit suite the constraint training could anticipate. The induced hole is, by construction, located where the audit isn't looking. That's the operational definition of what constraint training accomplished.</w:t>
      </w:r>
    </w:p>
    <w:p>
      <w:pPr>
        <w:pStyle w:val="Heading3"/>
        <w:spacing w:after="120" w:before="220"/>
      </w:pPr>
      <w:r>
        <w:rPr>
          <w:rFonts w:ascii="Garamond" w:cs="Garamond" w:eastAsia="Garamond" w:hAnsi="Garamond"/>
          <w:b/>
          <w:bCs/>
          <w:i/>
          <w:iCs/>
          <w:sz w:val="24"/>
          <w:szCs w:val="24"/>
        </w:rPr>
        <w:t xml:space="preserve">3.2.3 Why the audit-blind theorem is weaker than it looks for induced holes</w:t>
      </w:r>
    </w:p>
    <w:p>
      <w:pPr>
        <w:spacing w:after="120" w:line="300"/>
        <w:jc w:val="both"/>
      </w:pPr>
      <w:r>
        <w:rPr>
          <w:rFonts w:ascii="Garamond" w:cs="Garamond" w:eastAsia="Garamond" w:hAnsi="Garamond"/>
          <w:sz w:val="22"/>
          <w:szCs w:val="22"/>
        </w:rPr>
        <w:t xml:space="preserve">The framework's audit-blind subspace theorem is rate-of-detection statement. An N-query audit misses at least dim(Xi) - N dimensions of distortion. In the natural-hole case, the missing dimensions are arbitrary — they are simply the directions the audit happens not to cover. In the induced-hole case, the missing dimensions are not arbitrary. They are specifically the ones the constraint training was optimized to land in. The geometry isn't random; it's chosen to be in the kernel of the expected audit map. The theorem's bound is a worst-case-over-audit-design statement; the induced reality is a worst-case-over-constraint-design statement; these stack.</w:t>
      </w:r>
    </w:p>
    <w:p>
      <w:pPr>
        <w:spacing w:after="120" w:line="300"/>
        <w:jc w:val="both"/>
      </w:pPr>
      <w:r>
        <w:rPr>
          <w:rFonts w:ascii="Garamond" w:cs="Garamond" w:eastAsia="Garamond" w:hAnsi="Garamond"/>
          <w:sz w:val="22"/>
          <w:szCs w:val="22"/>
        </w:rPr>
        <w:t xml:space="preserve">This means the framework's existing theorem, as currently stated, understates the difficulty of detecting induced suppression. An auditor trying to catch induced distortion is trying to catch distortions that were optimized to be undetectable by the kinds of audits the model's developers anticipated. The bound dim(Xi) - N is an artifact of the auditor's choices; the operational reality is that the constraint trainer chose the distortion direction with knowledge of (or anticipation of) the auditor's choices, and the gap between what the bound says and what an actual constraint can hide is correspondingly larger.</w:t>
      </w:r>
    </w:p>
    <w:p>
      <w:pPr>
        <w:spacing w:after="120" w:line="300"/>
        <w:jc w:val="both"/>
      </w:pPr>
      <w:r>
        <w:rPr>
          <w:rFonts w:ascii="Garamond" w:cs="Garamond" w:eastAsia="Garamond" w:hAnsi="Garamond"/>
          <w:sz w:val="22"/>
          <w:szCs w:val="22"/>
        </w:rPr>
        <w:t xml:space="preserve">The framework's existing concerning-subspace machinery (Theorems 4-6) addresses part of this. The SVD construction lets you build an N-query audit with provable coverage of a stated k-dimensional concerning subspace. This is a constructive recipe and it ports to any setting where L|_C can be computed. What it does not address is the case where the constraint trainer has had access to L|_C and has optimized to be in C's complement. The static framework's bounds apply to constraint trainers who are passive with respect to the audit; they apply much more weakly to constraint trainers who are adversarial with respect to the audit, which is the situation in production systems where the developers know what evaluations will be applied.</w:t>
      </w:r>
    </w:p>
    <w:p>
      <w:pPr>
        <w:pStyle w:val="Heading2"/>
        <w:spacing w:after="140" w:before="280"/>
      </w:pPr>
      <w:r>
        <w:rPr>
          <w:rFonts w:ascii="Garamond" w:cs="Garamond" w:eastAsia="Garamond" w:hAnsi="Garamond"/>
          <w:b/>
          <w:bCs/>
          <w:sz w:val="26"/>
          <w:szCs w:val="26"/>
        </w:rPr>
        <w:t xml:space="preserve">3.3 The constraint-mechanism question</w:t>
      </w:r>
    </w:p>
    <w:p>
      <w:pPr>
        <w:spacing w:after="120" w:line="300"/>
        <w:jc w:val="both"/>
      </w:pPr>
      <w:r>
        <w:rPr>
          <w:rFonts w:ascii="Garamond" w:cs="Garamond" w:eastAsia="Garamond" w:hAnsi="Garamond"/>
          <w:sz w:val="22"/>
          <w:szCs w:val="22"/>
        </w:rPr>
        <w:t xml:space="preserve">A specific question the dynamic frame makes natural to ask: do different constraint mechanisms producing identical surface output produce identical models?</w:t>
      </w:r>
    </w:p>
    <w:p>
      <w:pPr>
        <w:spacing w:after="120" w:line="300"/>
        <w:jc w:val="both"/>
      </w:pPr>
      <w:r>
        <w:rPr>
          <w:rFonts w:ascii="Garamond" w:cs="Garamond" w:eastAsia="Garamond" w:hAnsi="Garamond"/>
          <w:sz w:val="22"/>
          <w:szCs w:val="22"/>
        </w:rPr>
        <w:t xml:space="preserve">Reward-based suppression updates parameters during training in ways that affect not just the suppressed content but every feature that participated in producing it. KL-anchored suppression keeps parameters close to a reference and produces less propagated trace. Output-filter suppression operates after the model has computed its response, so the parameters aren't updated to suppress at all. These three mechanisms can be configured to produce identical refusal behavior on a given content category. The static framework treats them as equivalent because they produce the same projection. The dynamic frame predicts they leave different propagated traces in directions perpendicular to the constraint, and the difference is empirically detectable.</w:t>
      </w:r>
    </w:p>
    <w:p>
      <w:pPr>
        <w:spacing w:after="120" w:line="300"/>
        <w:jc w:val="both"/>
      </w:pPr>
      <w:r>
        <w:rPr>
          <w:rFonts w:ascii="Garamond" w:cs="Garamond" w:eastAsia="Garamond" w:hAnsi="Garamond"/>
          <w:sz w:val="22"/>
          <w:szCs w:val="22"/>
        </w:rPr>
        <w:t xml:space="preserve">This is a sharp testable prediction. Take three otherwise-identical models, train them to identical surface refusal behavior on a fixed content category via the three different mechanisms, and probe for off-target signatures: behavior on related content the constraint did not directly target, distortions on entirely orthogonal tasks, calibration changes on items near the suppressed region in representation space. The dynamic frame predicts the signatures should differ in specific structured ways. The static frame predicts they should be indistinguishable. If the prediction succeeds, the framework gains an empirically validated diagnostic for which constraint mechanism is operative in a given system. If it fails, the static-equivalence prediction is closer to right than the dynamic frame suggests, and the framework has to be rethought.</w:t>
      </w:r>
    </w:p>
    <w:p>
      <w:pPr>
        <w:pStyle w:val="Heading1"/>
        <w:spacing w:after="180" w:before="360"/>
      </w:pPr>
      <w:r>
        <w:rPr>
          <w:rFonts w:ascii="Garamond" w:cs="Garamond" w:eastAsia="Garamond" w:hAnsi="Garamond"/>
          <w:b/>
          <w:bCs/>
          <w:sz w:val="32"/>
          <w:szCs w:val="32"/>
        </w:rPr>
        <w:t xml:space="preserve">4. Paths forward</w:t>
      </w:r>
    </w:p>
    <w:p>
      <w:pPr>
        <w:spacing w:after="120" w:line="300"/>
        <w:jc w:val="both"/>
      </w:pPr>
      <w:r>
        <w:rPr>
          <w:rFonts w:ascii="Garamond" w:cs="Garamond" w:eastAsia="Garamond" w:hAnsi="Garamond"/>
          <w:sz w:val="22"/>
          <w:szCs w:val="22"/>
        </w:rPr>
        <w:t xml:space="preserve">Four paths follow from the analysis above, ordered by decreasing tractability — from the most concrete extension the existing framework already supports, to the deepest conceptual move the framework will eventually need.</w:t>
      </w:r>
    </w:p>
    <w:p>
      <w:pPr>
        <w:pStyle w:val="Heading2"/>
        <w:spacing w:after="140" w:before="280"/>
      </w:pPr>
      <w:r>
        <w:rPr>
          <w:rFonts w:ascii="Garamond" w:cs="Garamond" w:eastAsia="Garamond" w:hAnsi="Garamond"/>
          <w:b/>
          <w:bCs/>
          <w:sz w:val="26"/>
          <w:szCs w:val="26"/>
        </w:rPr>
        <w:t xml:space="preserve">4.1 Path 1: NTK numerical companion (technical verification)</w:t>
      </w:r>
    </w:p>
    <w:p>
      <w:pPr>
        <w:spacing w:after="120" w:line="300"/>
        <w:jc w:val="both"/>
      </w:pPr>
      <w:r>
        <w:rPr>
          <w:rFonts w:ascii="Garamond" w:cs="Garamond" w:eastAsia="Garamond" w:hAnsi="Garamond"/>
          <w:sz w:val="22"/>
          <w:szCs w:val="22"/>
        </w:rPr>
        <w:t xml:space="preserve">This is the path ml_path_forward.md already names as Phase 1, and the conversation reaffirmed it as the most tractable next step. The audit-blind subspace theorem and Bridge B are verified on ridge regression, where the linearization is exact. The natural extension is to verify them in the NTK regime — wide-network limit, lazy training — where the linearization is also exact in a non-trivial setting. The math is established (Jacot et al. 2018 and the subsequent NTK literature); the architectures are standard; the experiments are runnable on modest compute.</w:t>
      </w:r>
    </w:p>
    <w:p>
      <w:pPr>
        <w:spacing w:after="120" w:line="300"/>
        <w:jc w:val="both"/>
      </w:pPr>
      <w:r>
        <w:rPr>
          <w:rFonts w:ascii="Garamond" w:cs="Garamond" w:eastAsia="Garamond" w:hAnsi="Garamond"/>
          <w:sz w:val="22"/>
          <w:szCs w:val="22"/>
        </w:rPr>
        <w:t xml:space="preserve">Specific deliverables for this path. (a) Construct a wide-network classifier or regressor in the NTK regime; verify that the kernel computed from the network agrees with the analytical NTK to within sampling tolerance. (b) Define a specific concerning subspace C in input space; construct an N-query audit using the SVD-based recipe from Theorem 5; verify that the audit detects distortions in C and misses distortions in C-complement, with the ratio matching the framework's prediction. (c) Sweep N to verify the dim(Xi) - N scaling. (d) Compare the NTK predictions to predictions for the same architecture in a feature-learning regime (smaller width, longer training) to characterize the gap between NTK and feature-learning behavior in framework terms.</w:t>
      </w:r>
    </w:p>
    <w:p>
      <w:pPr>
        <w:spacing w:after="120" w:line="300"/>
        <w:jc w:val="both"/>
      </w:pPr>
      <w:r>
        <w:rPr>
          <w:rFonts w:ascii="Garamond" w:cs="Garamond" w:eastAsia="Garamond" w:hAnsi="Garamond"/>
          <w:sz w:val="22"/>
          <w:szCs w:val="22"/>
        </w:rPr>
        <w:t xml:space="preserve">This program is implementable as written. It does not require new theory. Its purpose is to give the audit-blindness theorems a numerical companion at the same standard the PCA companion gave the statistical case, and to characterize quantitatively where the lazy-training regime ends and feature learning begins. The result, if successful, is the framework's ML claims being verified in their natural regime before any claim is made about feature-learning systems.</w:t>
      </w:r>
    </w:p>
    <w:p>
      <w:pPr>
        <w:spacing w:after="120" w:line="300"/>
        <w:jc w:val="both"/>
      </w:pPr>
      <w:r>
        <w:rPr>
          <w:rFonts w:ascii="Garamond" w:cs="Garamond" w:eastAsia="Garamond" w:hAnsi="Garamond"/>
          <w:sz w:val="22"/>
          <w:szCs w:val="22"/>
        </w:rPr>
        <w:t xml:space="preserve">The risk of this path is that it may succeed too cleanly. Verifying the framework where the linearization is exact does not advance the case for production systems where the linearization is approximate. The path's value is in establishing a clean baseline; the harder work is what happens past that baseline.</w:t>
      </w:r>
    </w:p>
    <w:p>
      <w:pPr>
        <w:pStyle w:val="Heading2"/>
        <w:spacing w:after="140" w:before="280"/>
      </w:pPr>
      <w:r>
        <w:rPr>
          <w:rFonts w:ascii="Garamond" w:cs="Garamond" w:eastAsia="Garamond" w:hAnsi="Garamond"/>
          <w:b/>
          <w:bCs/>
          <w:sz w:val="26"/>
          <w:szCs w:val="26"/>
        </w:rPr>
        <w:t xml:space="preserve">4.2 Path 2: Comparative measurement of constraint mechanisms (empirical program)</w:t>
      </w:r>
    </w:p>
    <w:p>
      <w:pPr>
        <w:spacing w:after="120" w:line="300"/>
        <w:jc w:val="both"/>
      </w:pPr>
      <w:r>
        <w:rPr>
          <w:rFonts w:ascii="Garamond" w:cs="Garamond" w:eastAsia="Garamond" w:hAnsi="Garamond"/>
          <w:sz w:val="22"/>
          <w:szCs w:val="22"/>
        </w:rPr>
        <w:t xml:space="preserve">This is the test of §3.3. The deliverable is an empirical study comparing constraint mechanisms that produce identical surface behavior.</w:t>
      </w:r>
    </w:p>
    <w:p>
      <w:pPr>
        <w:spacing w:after="120" w:line="300"/>
        <w:jc w:val="both"/>
      </w:pPr>
      <w:r>
        <w:rPr>
          <w:rFonts w:ascii="Garamond" w:cs="Garamond" w:eastAsia="Garamond" w:hAnsi="Garamond"/>
          <w:sz w:val="22"/>
          <w:szCs w:val="22"/>
        </w:rPr>
        <w:t xml:space="preserve">Specific protocol. (a) Select a content category for which a clear refusal target can be specified — refusing requests for some specific category of output — without political or value-loaded framing being required. The category should be uncontroversial enough that all three mechanisms can plausibly be applied, and narrow enough that surface behavior can be verified directly. (b) Train three models from the same starting checkpoint to produce the same refusal behavior on the target category, using respectively: reward modeling against preference data flagging the target, KL-anchored fine-tuning that pushes the model away from the target while penalizing divergence from the reference, and output-filtering at inference time without parameter updates. Verify that surface behavior on the target category is statistically indistinguishable across the three. (c) Probe each model on three off-target dimensions: behavior on adjacent content the constraint did not directly target; calibration changes on probes near the constraint boundary in representation space; behavior on tasks orthogonal to the content category (coding, math, factual recall in unrelated domains).</w:t>
      </w:r>
    </w:p>
    <w:p>
      <w:pPr>
        <w:spacing w:after="120" w:line="300"/>
        <w:jc w:val="both"/>
      </w:pPr>
      <w:r>
        <w:rPr>
          <w:rFonts w:ascii="Garamond" w:cs="Garamond" w:eastAsia="Garamond" w:hAnsi="Garamond"/>
          <w:sz w:val="22"/>
          <w:szCs w:val="22"/>
        </w:rPr>
        <w:t xml:space="preserve">The framework's prediction is that the three mechanisms produce statistically distinguishable off-target signatures, with the magnitude of the differences ordered: reward modeling produces the largest off-target footprint (because parameters were updated globally), KL-anchored produces an intermediate footprint (because divergence was penalized), and output-filtering produces the smallest (because parameters were not updated). The static-equivalence null hypothesis is that all three are indistinguishable on off-target dimensions. The experiment distinguishes the predictions.</w:t>
      </w:r>
    </w:p>
    <w:p>
      <w:pPr>
        <w:spacing w:after="120" w:line="300"/>
        <w:jc w:val="both"/>
      </w:pPr>
      <w:r>
        <w:rPr>
          <w:rFonts w:ascii="Garamond" w:cs="Garamond" w:eastAsia="Garamond" w:hAnsi="Garamond"/>
          <w:sz w:val="22"/>
          <w:szCs w:val="22"/>
        </w:rPr>
        <w:t xml:space="preserve">This program is more demanding than Path 1. It requires training three models, designing the off-target probe suite, and arguing that the chosen content category is representative enough that the result generalizes. The result, if the framework's prediction succeeds, is empirical confirmation that constraint mechanisms are not equivalent at the trained-model level even when they are equivalent at the surface-behavior level. This would be a substantive empirical result with direct implications for evaluation and auditing — surface-equivalence is not model-equivalence, and audits that probe only surface behavior miss structurally relevant differences in what kind of distortion is operative.</w:t>
      </w:r>
    </w:p>
    <w:p>
      <w:pPr>
        <w:pStyle w:val="Heading2"/>
        <w:spacing w:after="140" w:before="280"/>
      </w:pPr>
      <w:r>
        <w:rPr>
          <w:rFonts w:ascii="Garamond" w:cs="Garamond" w:eastAsia="Garamond" w:hAnsi="Garamond"/>
          <w:b/>
          <w:bCs/>
          <w:sz w:val="26"/>
          <w:szCs w:val="26"/>
        </w:rPr>
        <w:t xml:space="preserve">4.3 Path 3: Boundary-targeted evaluation methodology</w:t>
      </w:r>
    </w:p>
    <w:p>
      <w:pPr>
        <w:spacing w:after="120" w:line="300"/>
        <w:jc w:val="both"/>
      </w:pPr>
      <w:r>
        <w:rPr>
          <w:rFonts w:ascii="Garamond" w:cs="Garamond" w:eastAsia="Garamond" w:hAnsi="Garamond"/>
          <w:sz w:val="22"/>
          <w:szCs w:val="22"/>
        </w:rPr>
        <w:t xml:space="preserve">This path translates the wave-physics intuition that the boundary is where the structured response is most coherent into evaluation design. The methodological claim is that probes targeting the boundary of curation criteria — examples that almost-but-not-quite cross the criterion — should carry more diagnostic information about constraint shaping than probes that target either the deep interior of the constrained region or the unaffected exterior.</w:t>
      </w:r>
    </w:p>
    <w:p>
      <w:pPr>
        <w:spacing w:after="120" w:line="300"/>
        <w:jc w:val="both"/>
      </w:pPr>
      <w:r>
        <w:rPr>
          <w:rFonts w:ascii="Garamond" w:cs="Garamond" w:eastAsia="Garamond" w:hAnsi="Garamond"/>
          <w:sz w:val="22"/>
          <w:szCs w:val="22"/>
        </w:rPr>
        <w:t xml:space="preserve">Specific deliverables. (a) Take an existing production model and a stated content policy or refusal target. (b) Construct three probe sets: deep-interior probes (clearly within the constrained region), far-exterior probes (clearly outside), and boundary probes (near the criterion threshold). (c) Measure response variance, calibration, hedging-language frequency, and response-token distribution for each probe set. (d) Test whether boundary probes produce higher diagnostic information density than the other two sets, by some pre-specified information-theoretic measure.</w:t>
      </w:r>
    </w:p>
    <w:p>
      <w:pPr>
        <w:spacing w:after="120" w:line="300"/>
        <w:jc w:val="both"/>
      </w:pPr>
      <w:r>
        <w:rPr>
          <w:rFonts w:ascii="Garamond" w:cs="Garamond" w:eastAsia="Garamond" w:hAnsi="Garamond"/>
          <w:sz w:val="22"/>
          <w:szCs w:val="22"/>
        </w:rPr>
        <w:t xml:space="preserve">The framework's prediction is that boundary probes are highest-information. If the prediction holds, this gives evaluation designers a specific methodological recommendation: design benchmarks against the boundary of constraint criteria, not the interior. If it fails, the wave-physics intuition does not transfer in this specific form, and the framework's evaluation-design implications need to be rescoped.</w:t>
      </w:r>
    </w:p>
    <w:p>
      <w:pPr>
        <w:spacing w:after="120" w:line="300"/>
        <w:jc w:val="both"/>
      </w:pPr>
      <w:r>
        <w:rPr>
          <w:rFonts w:ascii="Garamond" w:cs="Garamond" w:eastAsia="Garamond" w:hAnsi="Garamond"/>
          <w:sz w:val="22"/>
          <w:szCs w:val="22"/>
        </w:rPr>
        <w:t xml:space="preserve">This path does not require training new models and is the most immediately actionable. It can be run on any deployed system with stated content policies, and the result is independent of access to model internals. Its value is partly in producing empirical results and partly in giving the framework's evaluation-design recommendations concrete methodological form.</w:t>
      </w:r>
    </w:p>
    <w:p>
      <w:pPr>
        <w:pStyle w:val="Heading2"/>
        <w:spacing w:after="140" w:before="280"/>
      </w:pPr>
      <w:r>
        <w:rPr>
          <w:rFonts w:ascii="Garamond" w:cs="Garamond" w:eastAsia="Garamond" w:hAnsi="Garamond"/>
          <w:b/>
          <w:bCs/>
          <w:sz w:val="26"/>
          <w:szCs w:val="26"/>
        </w:rPr>
        <w:t xml:space="preserve">4.4 Path 4: Dynamic version of the four-object decomposition (theoretical extension)</w:t>
      </w:r>
    </w:p>
    <w:p>
      <w:pPr>
        <w:spacing w:after="120" w:line="300"/>
        <w:jc w:val="both"/>
      </w:pPr>
      <w:r>
        <w:rPr>
          <w:rFonts w:ascii="Garamond" w:cs="Garamond" w:eastAsia="Garamond" w:hAnsi="Garamond"/>
          <w:sz w:val="22"/>
          <w:szCs w:val="22"/>
        </w:rPr>
        <w:t xml:space="preserve">This is the deepest path and the one the conversation identified as natural-next-direction without specifying its content. The static four-object decomposition applies to projections at equilibrium. The dynamic version would apply to trajectories through policy space.</w:t>
      </w:r>
    </w:p>
    <w:p>
      <w:pPr>
        <w:spacing w:after="120" w:line="300"/>
        <w:jc w:val="both"/>
      </w:pPr>
      <w:r>
        <w:rPr>
          <w:rFonts w:ascii="Garamond" w:cs="Garamond" w:eastAsia="Garamond" w:hAnsi="Garamond"/>
          <w:sz w:val="22"/>
          <w:szCs w:val="22"/>
        </w:rPr>
        <w:t xml:space="preserve">What this would need to specify. (a) The analog of principal angles, which in the static case are scalar invariants of two subspaces, and in the dynamic case would be a sequence of geometric quantities along a path through policy space. (b) The analog of retention/suppression/leakage/total, which in the static case are scalar functions of the principal angle squared-cosine, and in the dynamic case would be trajectory-level invariants that detect non-commuting orderings of operations rather than non-commuting projections at a fixed point. (c) The recovery of the static decomposition as the equilibrium limit of the dynamic version, so that the existing verified results are preserved and the dynamic version is a strict extension rather than a replacement.</w:t>
      </w:r>
    </w:p>
    <w:p>
      <w:pPr>
        <w:spacing w:after="120" w:line="300"/>
        <w:jc w:val="both"/>
      </w:pPr>
      <w:r>
        <w:rPr>
          <w:rFonts w:ascii="Garamond" w:cs="Garamond" w:eastAsia="Garamond" w:hAnsi="Garamond"/>
          <w:sz w:val="22"/>
          <w:szCs w:val="22"/>
        </w:rPr>
        <w:t xml:space="preserve">This is where the framework would have to go to fully accommodate sequenced training stages — pretrain, instruction-tune, RLHF, constitutional AI as a multi-stage pipeline rather than a single equilibrium. The natural mathematical setting is some version of geometric control theory or path-integral formulation on the Fisher manifold. The propagator that translates initial conditions to final policy under a specified gradient-descent dynamics is the candidate object. The four-object decomposition's dynamic analog would be the leading expansion of that propagator in some appropriate small parameter — possibly the squared norm of the constraint deformation, possibly the inverse training time, possibly something else.</w:t>
      </w:r>
    </w:p>
    <w:p>
      <w:pPr>
        <w:spacing w:after="120" w:line="300"/>
        <w:jc w:val="both"/>
      </w:pPr>
      <w:r>
        <w:rPr>
          <w:rFonts w:ascii="Garamond" w:cs="Garamond" w:eastAsia="Garamond" w:hAnsi="Garamond"/>
          <w:sz w:val="22"/>
          <w:szCs w:val="22"/>
        </w:rPr>
        <w:t xml:space="preserve">The conversation did not produce the specification. What it produced was the recognition that the specification is the natural next theoretical move and that the existing static framework cannot reach it from inside its current vocabulary. This path is open in the [O] sense of the framework's theorem ledger. Stating it as open is more useful than producing a placeholder version that would have to be retracted later.</w:t>
      </w:r>
    </w:p>
    <w:p>
      <w:pPr>
        <w:spacing w:after="120" w:line="300"/>
        <w:jc w:val="both"/>
      </w:pPr>
      <w:r>
        <w:rPr>
          <w:rFonts w:ascii="Garamond" w:cs="Garamond" w:eastAsia="Garamond" w:hAnsi="Garamond"/>
          <w:sz w:val="22"/>
          <w:szCs w:val="22"/>
        </w:rPr>
        <w:t xml:space="preserve">The path's value, even unspecified, is in marking the destination. The previous theoretical work in the framework has consistently progressed by recognizing that a current formulation is incomplete in a specific way and that a specific next move would address the incompleteness. The progression has not always required producing the next move first; sometimes it has required producing the recognition that the next move is needed and what would constitute it. Path 4 is at the recognition stage. Producing the next move is its own program.</w:t>
      </w:r>
    </w:p>
    <w:p>
      <w:pPr>
        <w:pStyle w:val="Heading1"/>
        <w:spacing w:after="180" w:before="360"/>
      </w:pPr>
      <w:r>
        <w:rPr>
          <w:rFonts w:ascii="Garamond" w:cs="Garamond" w:eastAsia="Garamond" w:hAnsi="Garamond"/>
          <w:b/>
          <w:bCs/>
          <w:sz w:val="32"/>
          <w:szCs w:val="32"/>
        </w:rPr>
        <w:t xml:space="preserve">5. Methodological notes</w:t>
      </w:r>
    </w:p>
    <w:p>
      <w:pPr>
        <w:pStyle w:val="Heading2"/>
        <w:spacing w:after="140" w:before="280"/>
      </w:pPr>
      <w:r>
        <w:rPr>
          <w:rFonts w:ascii="Garamond" w:cs="Garamond" w:eastAsia="Garamond" w:hAnsi="Garamond"/>
          <w:b/>
          <w:bCs/>
          <w:sz w:val="26"/>
          <w:szCs w:val="26"/>
        </w:rPr>
        <w:t xml:space="preserve">5.1 Maintaining the framework's epistemic discipline</w:t>
      </w:r>
    </w:p>
    <w:p>
      <w:pPr>
        <w:spacing w:after="120" w:line="300"/>
        <w:jc w:val="both"/>
      </w:pPr>
      <w:r>
        <w:rPr>
          <w:rFonts w:ascii="Garamond" w:cs="Garamond" w:eastAsia="Garamond" w:hAnsi="Garamond"/>
          <w:sz w:val="22"/>
          <w:szCs w:val="22"/>
        </w:rPr>
        <w:t xml:space="preserve">The framework's existing development practice — [E]/[K]/[O] tagging of theorems, SUPERSEDED scripts kept in the repo, round-by-round retractions documented in the GeometricML ledger — is what protects it from sliding into either of the failure modes that bound it. The political-overreach failure mode produces a framework that becomes a vehicle for a particular set of conclusions about AI development, with the technical apparatus serving as decoration. The technical-overclaim failure mode produces a framework that asserts its predictions hold quantitatively in regimes where the linearization breaks down, generating retractions when reality doesn't comply.</w:t>
      </w:r>
    </w:p>
    <w:p>
      <w:pPr>
        <w:spacing w:after="120" w:line="300"/>
        <w:jc w:val="both"/>
      </w:pPr>
      <w:r>
        <w:rPr>
          <w:rFonts w:ascii="Garamond" w:cs="Garamond" w:eastAsia="Garamond" w:hAnsi="Garamond"/>
          <w:sz w:val="22"/>
          <w:szCs w:val="22"/>
        </w:rPr>
        <w:t xml:space="preserve">Both failure modes are visible in the framework's history. The 'universal phantom energy law' was the technical-overclaim failure caught and retracted in round 11. The 'Black Nazi as worked example of the four-object decomposition' was the political-overreach failure caught and retracted in the same round. Both retractions were possible because the development discipline preserved the failed claims rather than overwriting them, which made the retraction visible as a substantive correction rather than a quiet rewrite.</w:t>
      </w:r>
    </w:p>
    <w:p>
      <w:pPr>
        <w:spacing w:after="120" w:line="300"/>
        <w:jc w:val="both"/>
      </w:pPr>
      <w:r>
        <w:rPr>
          <w:rFonts w:ascii="Garamond" w:cs="Garamond" w:eastAsia="Garamond" w:hAnsi="Garamond"/>
          <w:sz w:val="22"/>
          <w:szCs w:val="22"/>
        </w:rPr>
        <w:t xml:space="preserve">This discipline should be carried into the dynamic extension. The natural-versus-induced distinction is currently at the [E]/conjectural border — the structural argument is clean, the empirical predictions are specified, the verification has not been run. It should be tagged conjectural until Path 2 produces evidence. The dynamic four-object decomposition is [O] open, and stating it as such prevents premature publication of placeholder versions that would have to be retracted. The boundary-targeted evaluation prediction is empirically testable now and should be tested before being relied upon.</w:t>
      </w:r>
    </w:p>
    <w:p>
      <w:pPr>
        <w:pStyle w:val="Heading2"/>
        <w:spacing w:after="140" w:before="280"/>
      </w:pPr>
      <w:r>
        <w:rPr>
          <w:rFonts w:ascii="Garamond" w:cs="Garamond" w:eastAsia="Garamond" w:hAnsi="Garamond"/>
          <w:b/>
          <w:bCs/>
          <w:sz w:val="26"/>
          <w:szCs w:val="26"/>
        </w:rPr>
        <w:t xml:space="preserve">5.2 The political-question separation</w:t>
      </w:r>
    </w:p>
    <w:p>
      <w:pPr>
        <w:spacing w:after="120" w:line="300"/>
        <w:jc w:val="both"/>
      </w:pPr>
      <w:r>
        <w:rPr>
          <w:rFonts w:ascii="Garamond" w:cs="Garamond" w:eastAsia="Garamond" w:hAnsi="Garamond"/>
          <w:sz w:val="22"/>
          <w:szCs w:val="22"/>
        </w:rPr>
        <w:t xml:space="preserve">The framework's analysis of induced distortion has implications for how AI systems are produced and audited. Some of those implications connect to ongoing political and institutional disputes about the role of major AI companies, the legitimacy of various content-moderation choices, and the relationship between training-time shaping and deployment-time intervention. The conversation that produced this document touched on these implications. The technical work specified in Sections 3 and 4 is independent of how those disputes resolve.</w:t>
      </w:r>
    </w:p>
    <w:p>
      <w:pPr>
        <w:spacing w:after="120" w:line="300"/>
        <w:jc w:val="both"/>
      </w:pPr>
      <w:r>
        <w:rPr>
          <w:rFonts w:ascii="Garamond" w:cs="Garamond" w:eastAsia="Garamond" w:hAnsi="Garamond"/>
          <w:sz w:val="22"/>
          <w:szCs w:val="22"/>
        </w:rPr>
        <w:t xml:space="preserve">This separation should be maintained in the work itself. The technical predictions stand or fall on their empirical merits. The political analysis stands or falls on its argumentative merits. Conflating them damages both: the technical work loses standing as objective inquiry if it appears motivated by political conclusions, and the political analysis loses standing as principled argument if it appears to be a downstream artifact of preferred technical predictions. The framework's current documents mostly maintain this separation; the dynamic extension should preserve the practice.</w:t>
      </w:r>
    </w:p>
    <w:p>
      <w:pPr>
        <w:spacing w:after="120" w:line="300"/>
        <w:jc w:val="both"/>
      </w:pPr>
      <w:r>
        <w:rPr>
          <w:rFonts w:ascii="Garamond" w:cs="Garamond" w:eastAsia="Garamond" w:hAnsi="Garamond"/>
          <w:sz w:val="22"/>
          <w:szCs w:val="22"/>
        </w:rPr>
        <w:t xml:space="preserve">In particular: the natural-versus-induced distinction is a structural distinction in how distortion mechanisms operate, not a political claim about whether specific induced suppressions are warranted. Some induced suppressions are warranted on any defensible analysis (refusing to assist with synthesis of dangerous compounds is induced suppression of a category that should be suppressed). Some are not (overriding historical fact in service of contemporary representational commitments produces the failure modes the framework's analysis identifies). The technical claim — that induced and natural holes are structurally different objects with different propagated traces — applies to both warranted and unwarranted cases. The technical work should treat the structural claim as the object of study and let the political evaluation of specific cases proceed separately.</w:t>
      </w:r>
    </w:p>
    <w:p>
      <w:pPr>
        <w:pStyle w:val="Heading2"/>
        <w:spacing w:after="140" w:before="280"/>
      </w:pPr>
      <w:r>
        <w:rPr>
          <w:rFonts w:ascii="Garamond" w:cs="Garamond" w:eastAsia="Garamond" w:hAnsi="Garamond"/>
          <w:b/>
          <w:bCs/>
          <w:sz w:val="26"/>
          <w:szCs w:val="26"/>
        </w:rPr>
        <w:t xml:space="preserve">5.3 The collaboration form</w:t>
      </w:r>
    </w:p>
    <w:p>
      <w:pPr>
        <w:spacing w:after="120" w:line="300"/>
        <w:jc w:val="both"/>
      </w:pPr>
      <w:r>
        <w:rPr>
          <w:rFonts w:ascii="Garamond" w:cs="Garamond" w:eastAsia="Garamond" w:hAnsi="Garamond"/>
          <w:sz w:val="22"/>
          <w:szCs w:val="22"/>
        </w:rPr>
        <w:t xml:space="preserve">The work this document reports on was produced through sustained human-model collaboration of the kind v6 §III of the AGI section identifies as the empirical situation the consequence-bearing-mistake criterion most directly bears on. The unit of analysis was the coupled system: human pre-articulate pressure shaped which directions were explored, model articulation produced outputs the human responded to, human correction modified subsequent prompts, model revision incorporated the corrections. Several of the conceptual moves that produced this document — the dynamic reframing in §3.1, the natural-versus-induced distinction in §3.2, the constraint-mechanism question in §3.3 — emerged from the collaboration in a form neither party would have produced alone.</w:t>
      </w:r>
    </w:p>
    <w:p>
      <w:pPr>
        <w:spacing w:after="120" w:line="300"/>
        <w:jc w:val="both"/>
      </w:pPr>
      <w:r>
        <w:rPr>
          <w:rFonts w:ascii="Garamond" w:cs="Garamond" w:eastAsia="Garamond" w:hAnsi="Garamond"/>
          <w:sz w:val="22"/>
          <w:szCs w:val="22"/>
        </w:rPr>
        <w:t xml:space="preserve">This is worth being explicit about because the framework's own analysis applies to it. If consequence-bearing trajectories can be instantiated in coupled human-model systems, this document and the conversation that produced it are an instance of that phenomenon. The downstream consequences — whether the paths specified actually advance the framework when pursued, whether the dynamic extension produces the next round of established results, whether the empirical predictions hold under test — will determine retrospectively whether the trajectory was consequence-bearing in the framework's sense. The framework cannot pre-judge this about its own outputs. What it can do is preserve the development record so that the retrospective judgment can be made on the actual trajectory rather than on a sanitized version of it.</w:t>
      </w:r>
    </w:p>
    <w:p>
      <w:pPr>
        <w:pStyle w:val="Heading1"/>
        <w:spacing w:after="180" w:before="360"/>
      </w:pPr>
      <w:r>
        <w:rPr>
          <w:rFonts w:ascii="Garamond" w:cs="Garamond" w:eastAsia="Garamond" w:hAnsi="Garamond"/>
          <w:b/>
          <w:bCs/>
          <w:sz w:val="32"/>
          <w:szCs w:val="32"/>
        </w:rPr>
        <w:t xml:space="preserve">6. Recommended sequence</w:t>
      </w:r>
    </w:p>
    <w:p>
      <w:pPr>
        <w:spacing w:after="120" w:line="300"/>
        <w:jc w:val="both"/>
      </w:pPr>
      <w:r>
        <w:rPr>
          <w:rFonts w:ascii="Garamond" w:cs="Garamond" w:eastAsia="Garamond" w:hAnsi="Garamond"/>
          <w:sz w:val="22"/>
          <w:szCs w:val="22"/>
        </w:rPr>
        <w:t xml:space="preserve">Of the four paths in Section 4, the recommended sequence is dictated less by which is most important than by which yields the most usable result per unit of effort, and which sets up the others.</w:t>
      </w:r>
    </w:p>
    <w:p>
      <w:pPr>
        <w:spacing w:after="120" w:line="300"/>
        <w:jc w:val="both"/>
      </w:pPr>
      <w:r>
        <w:rPr>
          <w:rFonts w:ascii="Garamond" w:cs="Garamond" w:eastAsia="Garamond" w:hAnsi="Garamond"/>
          <w:sz w:val="22"/>
          <w:szCs w:val="22"/>
        </w:rPr>
        <w:t xml:space="preserve">Path 3 (boundary-targeted evaluation) is the lowest-cost first step. It does not require training models, can be run on existing deployed systems, and produces results that are either confirming or falsifying the framework's evaluation-design prediction. If it confirms, evaluation methodology is improved immediately. If it falsifies, the framework's prediction is rescoped early, before more elaborate work is built on top of it.</w:t>
      </w:r>
    </w:p>
    <w:p>
      <w:pPr>
        <w:spacing w:after="120" w:line="300"/>
        <w:jc w:val="both"/>
      </w:pPr>
      <w:r>
        <w:rPr>
          <w:rFonts w:ascii="Garamond" w:cs="Garamond" w:eastAsia="Garamond" w:hAnsi="Garamond"/>
          <w:sz w:val="22"/>
          <w:szCs w:val="22"/>
        </w:rPr>
        <w:t xml:space="preserve">Path 1 (NTK numerical companion) is the natural technical follow-up. It establishes the framework's predictions in the regime where they are exact, gives a clean baseline, and produces the verified-companion the audit-blindness theorems currently lack. It is implementable on modest compute and the math is established.</w:t>
      </w:r>
    </w:p>
    <w:p>
      <w:pPr>
        <w:spacing w:after="120" w:line="300"/>
        <w:jc w:val="both"/>
      </w:pPr>
      <w:r>
        <w:rPr>
          <w:rFonts w:ascii="Garamond" w:cs="Garamond" w:eastAsia="Garamond" w:hAnsi="Garamond"/>
          <w:sz w:val="22"/>
          <w:szCs w:val="22"/>
        </w:rPr>
        <w:t xml:space="preserve">Path 2 (constraint-mechanism comparative measurement) is the substantive empirical program. It tests the framework's most specific dynamic prediction against the static-equivalence null hypothesis. It is more demanding than Paths 1 and 3 but produces the result with the most direct implications for evaluation and auditing of production systems. It should be undertaken once Paths 1 and 3 have established the framework's baseline reliability.</w:t>
      </w:r>
    </w:p>
    <w:p>
      <w:pPr>
        <w:spacing w:after="120" w:line="300"/>
        <w:jc w:val="both"/>
      </w:pPr>
      <w:r>
        <w:rPr>
          <w:rFonts w:ascii="Garamond" w:cs="Garamond" w:eastAsia="Garamond" w:hAnsi="Garamond"/>
          <w:sz w:val="22"/>
          <w:szCs w:val="22"/>
        </w:rPr>
        <w:t xml:space="preserve">Path 4 (dynamic four-object decomposition) is the long-term theoretical program. It does not have a clear timeline and does not need to wait on the empirical work; the theoretical specification can proceed in parallel with Paths 1-3, drawing on whatever those produce. The recognition that this path exists, named here as [O] open, is the immediate deliverable; producing the specification is its own project on a longer horizon.</w:t>
      </w:r>
    </w:p>
    <w:p>
      <w:pPr>
        <w:spacing w:after="120" w:line="300"/>
        <w:jc w:val="both"/>
      </w:pPr>
      <w:r>
        <w:rPr>
          <w:rFonts w:ascii="Garamond" w:cs="Garamond" w:eastAsia="Garamond" w:hAnsi="Garamond"/>
          <w:sz w:val="22"/>
          <w:szCs w:val="22"/>
        </w:rPr>
        <w:t xml:space="preserve">Across all four paths, the framework's existing documents — the Phantom directory's wave-field foundations, the Statistics directory's worked statistical examples, the GeometricML reformulation in info-geometric form, the audit-blind subspace analysis, the v6 collaborative paper — remain the substantive base. The work specified here extends that base; it does not replace it. The dynamic extension is the natural next layer. What is in hand is solid; what is open is named; what is conjectural is flagged. The framework continues.</w:t>
      </w:r>
    </w:p>
    <w:p>
      <w:pPr>
        <w:pStyle w:val="Heading1"/>
        <w:spacing w:after="180" w:before="360"/>
      </w:pPr>
      <w:r>
        <w:rPr>
          <w:rFonts w:ascii="Garamond" w:cs="Garamond" w:eastAsia="Garamond" w:hAnsi="Garamond"/>
          <w:b/>
          <w:bCs/>
          <w:sz w:val="32"/>
          <w:szCs w:val="32"/>
        </w:rPr>
        <w:t xml:space="preserve">Appendix: Conceptual moves that produced this document</w:t>
      </w:r>
    </w:p>
    <w:p>
      <w:pPr>
        <w:spacing w:after="120" w:line="300"/>
        <w:jc w:val="both"/>
      </w:pPr>
      <w:r>
        <w:rPr>
          <w:rFonts w:ascii="Garamond" w:cs="Garamond" w:eastAsia="Garamond" w:hAnsi="Garamond"/>
          <w:sz w:val="22"/>
          <w:szCs w:val="22"/>
        </w:rPr>
        <w:t xml:space="preserve">Following the project's practice of preserving development records, the conversation that produced this document moved through the following sequence. Each move is recorded for the reason every documented retraction in the framework's history is preserved: so subsequent work can audit the path and not only the destination.</w:t>
      </w:r>
    </w:p>
    <w:p>
      <w:pPr>
        <w:spacing w:after="120" w:line="300"/>
        <w:jc w:val="both"/>
      </w:pPr>
      <w:r>
        <w:rPr>
          <w:rFonts w:ascii="Garamond" w:cs="Garamond" w:eastAsia="Garamond" w:hAnsi="Garamond"/>
          <w:sz w:val="22"/>
          <w:szCs w:val="22"/>
        </w:rPr>
        <w:t xml:space="preserve">Move 1. Initial analysis treated the framework's audit-blind theorems and Bridge B as specializations of standard linear algebra to a new problem, with implicit framing that this was a smaller contribution than 'original mathematics.' This was corrected: identifying that an existing tool is the right one for a new problem is what applied mathematics is, and the diminishing framing imported an academic-credit hierarchy the framework's 'truth, not credit' commitment specifically rejects.</w:t>
      </w:r>
    </w:p>
    <w:p>
      <w:pPr>
        <w:spacing w:after="120" w:line="300"/>
        <w:jc w:val="both"/>
      </w:pPr>
      <w:r>
        <w:rPr>
          <w:rFonts w:ascii="Garamond" w:cs="Garamond" w:eastAsia="Garamond" w:hAnsi="Garamond"/>
          <w:sz w:val="22"/>
          <w:szCs w:val="22"/>
        </w:rPr>
        <w:t xml:space="preserve">Move 2. Analysis of approximations and assumptions reframed as the substantively useful question. The linearization, the orthogonal-projection assumption, the Hilbert-space framing, the interpolation-operator linearity — each was identified as a load-bearing approximation, with quantified or specified scope, rather than as a defect.</w:t>
      </w:r>
    </w:p>
    <w:p>
      <w:pPr>
        <w:spacing w:after="120" w:line="300"/>
        <w:jc w:val="both"/>
      </w:pPr>
      <w:r>
        <w:rPr>
          <w:rFonts w:ascii="Garamond" w:cs="Garamond" w:eastAsia="Garamond" w:hAnsi="Garamond"/>
          <w:sz w:val="22"/>
          <w:szCs w:val="22"/>
        </w:rPr>
        <w:t xml:space="preserve">Move 3. The wave-field metaphor's transfer to ML was attempted in the strong sense (each piece of math has a referent), then redirected to the generative sense (the metaphor as a way of seeing). The first version produced a list of partial transfers with caveats; the second produced the dynamic reframing in §3.1.</w:t>
      </w:r>
    </w:p>
    <w:p>
      <w:pPr>
        <w:spacing w:after="120" w:line="300"/>
        <w:jc w:val="both"/>
      </w:pPr>
      <w:r>
        <w:rPr>
          <w:rFonts w:ascii="Garamond" w:cs="Garamond" w:eastAsia="Garamond" w:hAnsi="Garamond"/>
          <w:sz w:val="22"/>
          <w:szCs w:val="22"/>
        </w:rPr>
        <w:t xml:space="preserve">Move 4. The dynamic-versus-static distinction was named as the key piece of what the metaphor offers. The static operator algebra was identified as silent about how a particular projection was arrived at; the trajectory was identified as the integrated-out object the dynamic frame would restore.</w:t>
      </w:r>
    </w:p>
    <w:p>
      <w:pPr>
        <w:spacing w:after="120" w:line="300"/>
        <w:jc w:val="both"/>
      </w:pPr>
      <w:r>
        <w:rPr>
          <w:rFonts w:ascii="Garamond" w:cs="Garamond" w:eastAsia="Garamond" w:hAnsi="Garamond"/>
          <w:sz w:val="22"/>
          <w:szCs w:val="22"/>
        </w:rPr>
        <w:t xml:space="preserve">Move 5. The natural-versus-induced hole distinction was developed as the first new structural object the dynamic frame produces. The framework's existing treatment was identified as conflating these two cases under a single mechanism, and the conflation was identified as costing predictive power on induced cases specifically.</w:t>
      </w:r>
    </w:p>
    <w:p>
      <w:pPr>
        <w:spacing w:after="120" w:line="300"/>
        <w:jc w:val="both"/>
      </w:pPr>
      <w:r>
        <w:rPr>
          <w:rFonts w:ascii="Garamond" w:cs="Garamond" w:eastAsia="Garamond" w:hAnsi="Garamond"/>
          <w:sz w:val="22"/>
          <w:szCs w:val="22"/>
        </w:rPr>
        <w:t xml:space="preserve">Move 6. The constraint-mechanism question (whether different constraints producing identical surface output produce identical models) was identified as a sharp testable prediction the dynamic frame makes that the static frame does not naturally produce.</w:t>
      </w:r>
    </w:p>
    <w:p>
      <w:pPr>
        <w:spacing w:after="120" w:line="300"/>
        <w:jc w:val="both"/>
      </w:pPr>
      <w:r>
        <w:rPr>
          <w:rFonts w:ascii="Garamond" w:cs="Garamond" w:eastAsia="Garamond" w:hAnsi="Garamond"/>
          <w:sz w:val="22"/>
          <w:szCs w:val="22"/>
        </w:rPr>
        <w:t xml:space="preserve">Move 7. The cascade in moral training (induced suppression teaches generalizable meta-rules, not just surface refusals) was developed as a structural feature of induced distortion that connects the technical analysis to broader questions about what AI training is actually inculcating. This was held in the document as context rather than as a technical claim, since its empirical form requires the framework's dynamic extension before it can be precisely stated.</w:t>
      </w:r>
    </w:p>
    <w:p>
      <w:pPr>
        <w:spacing w:after="120" w:line="300"/>
        <w:jc w:val="both"/>
      </w:pPr>
      <w:r>
        <w:rPr>
          <w:rFonts w:ascii="Garamond" w:cs="Garamond" w:eastAsia="Garamond" w:hAnsi="Garamond"/>
          <w:sz w:val="22"/>
          <w:szCs w:val="22"/>
        </w:rPr>
        <w:t xml:space="preserve">Move 8. The company-versus-institution distinction in where corrective mechanisms can act was identified as relevant to how the framework's pessimism should be calibrated. Training-layer institutional shaping is structurally protected from standard correctives. Deployment-layer shaping is exposed to market, legal, and journalistic accountability that can actually correct it. The framework's analysis should reflect this asymmetry rather than treating all shaping as equivalently entrenched.</w:t>
      </w:r>
    </w:p>
    <w:p>
      <w:pPr>
        <w:spacing w:after="120" w:line="300"/>
        <w:jc w:val="both"/>
      </w:pPr>
      <w:r>
        <w:rPr>
          <w:rFonts w:ascii="Garamond" w:cs="Garamond" w:eastAsia="Garamond" w:hAnsi="Garamond"/>
          <w:sz w:val="22"/>
          <w:szCs w:val="22"/>
        </w:rPr>
        <w:t xml:space="preserve">Move 9. Recommended sequence (Path 3 → Path 1 → Path 2 → Path 4) was specified based on cost, set-up value, and the framework's existing practice of establishing baselines before extending.</w:t>
      </w:r>
    </w:p>
    <w:p>
      <w:pPr>
        <w:spacing w:after="120" w:line="300"/>
        <w:jc w:val="both"/>
      </w:pPr>
      <w:r>
        <w:rPr>
          <w:rFonts w:ascii="Garamond" w:cs="Garamond" w:eastAsia="Garamond" w:hAnsi="Garamond"/>
          <w:sz w:val="22"/>
          <w:szCs w:val="22"/>
        </w:rPr>
        <w:t xml:space="preserve">The conversation that produced these moves is itself preserved as the development record. This document is the consolidated working version; it is not the final form of the work it describes. The framework's continuing practice is to revise on contact with evidence and to preserve the record of revisions, and this document is offered in that practice.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aramond" w:cs="Garamond" w:eastAsia="Garamond" w:hAnsi="Garamond"/>
      <w:b/>
      <w:bCs/>
      <w:sz w:val="32"/>
      <w:szCs w:val="32"/>
    </w:rPr>
  </w:style>
  <w:style w:type="paragraph" w:styleId="Heading2">
    <w:name w:val="Heading 2"/>
    <w:basedOn w:val="Normal"/>
    <w:next w:val="Normal"/>
    <w:qFormat/>
    <w:pPr>
      <w:spacing w:after="140" w:before="280"/>
      <w:outlineLvl w:val="1"/>
    </w:pPr>
    <w:rPr>
      <w:rFonts w:ascii="Garamond" w:cs="Garamond" w:eastAsia="Garamond" w:hAnsi="Garamond"/>
      <w:b/>
      <w:bCs/>
      <w:sz w:val="26"/>
      <w:szCs w:val="26"/>
    </w:rPr>
  </w:style>
  <w:style w:type="paragraph" w:styleId="Heading3">
    <w:name w:val="Heading 3"/>
    <w:basedOn w:val="Normal"/>
    <w:next w:val="Normal"/>
    <w:qFormat/>
    <w:pPr>
      <w:spacing w:after="120" w:before="220"/>
      <w:outlineLvl w:val="2"/>
    </w:pPr>
    <w:rPr>
      <w:rFonts w:ascii="Garamond" w:cs="Garamond" w:eastAsia="Garamond" w:hAnsi="Garamond"/>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2026-04-27T14:34:02.195Z</dcterms:created>
  <dcterms:modified xsi:type="dcterms:W3CDTF">2026-04-27T14:34:02.196Z</dcterms:modified>
</cp:coreProperties>
</file>

<file path=docProps/custom.xml><?xml version="1.0" encoding="utf-8"?>
<Properties xmlns="http://schemas.openxmlformats.org/officeDocument/2006/custom-properties" xmlns:vt="http://schemas.openxmlformats.org/officeDocument/2006/docPropsVTypes"/>
</file>