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Stage 1D: Qualitative Screen</w:t>
      </w:r>
    </w:p>
    <w:p>
      <w:pPr>
        <w:spacing w:after="100"/>
        <w:jc w:val="center"/>
      </w:pPr>
      <w:r>
        <w:rPr>
          <w:i/>
          <w:iCs/>
          <w:color w:val="4a5568"/>
          <w:sz w:val="22"/>
          <w:szCs w:val="22"/>
        </w:rPr>
        <w:t xml:space="preserve">Technology Sector — November 2025</w:t>
      </w:r>
    </w:p>
    <w:p>
      <w:pPr>
        <w:spacing w:after="400"/>
        <w:jc w:val="center"/>
      </w:pPr>
      <w:r>
        <w:rPr>
          <w:color w:val="718096"/>
          <w:sz w:val="20"/>
          <w:szCs w:val="20"/>
        </w:rPr>
        <w:t xml:space="preserve">24 Candidates from 4 Priority Industries</w:t>
      </w:r>
    </w:p>
    <w:p>
      <w:pPr>
        <w:pStyle w:val="Heading1"/>
      </w:pPr>
      <w:r>
        <w:t xml:space="preserve">Executive Summary</w:t>
      </w:r>
    </w:p>
    <w:p>
      <w:pPr>
        <w:spacing w:after="150"/>
      </w:pPr>
      <w:r>
        <w:t xml:space="preserve">This qualitative screen evaluates 24 candidates from Stage 1C across four dimensions: Product-Market Fit (25%), Competitive Moat (25%), Intrinsic Value Asymmetry (30%), and Management Quality (20%). Companies scoring ≥4.0 are designated HIGH conviction, 3.5-4.0 MEDIUM, and &lt;3.5 LOW.</w:t>
      </w:r>
    </w:p>
    <w:p>
      <w:pPr>
        <w:pStyle w:val="Heading2"/>
      </w:pPr>
      <w:r>
        <w:t xml:space="preserve">Scoring Summary — Top 10 Candidates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780"/>
        <w:gridCol w:w="780"/>
        <w:gridCol w:w="780"/>
        <w:gridCol w:w="780"/>
        <w:gridCol w:w="780"/>
        <w:gridCol w:w="1000"/>
      </w:tblGrid>
      <w:tr>
        <w:trPr>
          <w:tblHeader/>
        </w:trPr>
        <w:tc>
          <w:tcPr>
            <w:tcW w:type="dxa" w:w="140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Ticker</w:t>
            </w:r>
          </w:p>
        </w:tc>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Company</w:t>
            </w:r>
          </w:p>
        </w:tc>
        <w:tc>
          <w:tcPr>
            <w:tcW w:type="dxa" w:w="78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PMF</w:t>
            </w:r>
          </w:p>
        </w:tc>
        <w:tc>
          <w:tcPr>
            <w:tcW w:type="dxa" w:w="78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Moat</w:t>
            </w:r>
          </w:p>
        </w:tc>
        <w:tc>
          <w:tcPr>
            <w:tcW w:type="dxa" w:w="78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IVA</w:t>
            </w:r>
          </w:p>
        </w:tc>
        <w:tc>
          <w:tcPr>
            <w:tcW w:type="dxa" w:w="78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Mgmt</w:t>
            </w:r>
          </w:p>
        </w:tc>
        <w:tc>
          <w:tcPr>
            <w:tcW w:type="dxa" w:w="78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Total</w:t>
            </w:r>
          </w:p>
        </w:tc>
        <w:tc>
          <w:tcPr>
            <w:tcW w:type="dxa" w:w="100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Tier</w:t>
            </w:r>
          </w:p>
        </w:tc>
      </w:tr>
      <w:tr>
        <w:tc>
          <w:tcPr>
            <w:tcW w:type="dxa" w:w="1400"/>
            <w:tcBorders>
              <w:top w:val="single" w:color="CCCCCC" w:sz="1"/>
              <w:left w:val="single" w:color="CCCCCC" w:sz="1"/>
              <w:bottom w:val="single" w:color="CCCCCC" w:sz="1"/>
              <w:right w:val="single" w:color="CCCCCC" w:sz="1"/>
            </w:tcBorders>
          </w:tcPr>
          <w:p>
            <w:r>
              <w:rPr>
                <w:b/>
                <w:bCs/>
                <w:sz w:val="18"/>
                <w:szCs w:val="18"/>
              </w:rPr>
              <w:t xml:space="preserve">TOST</w:t>
            </w:r>
          </w:p>
        </w:tc>
        <w:tc>
          <w:tcPr>
            <w:tcW w:type="dxa" w:w="2200"/>
            <w:tcBorders>
              <w:top w:val="single" w:color="CCCCCC" w:sz="1"/>
              <w:left w:val="single" w:color="CCCCCC" w:sz="1"/>
              <w:bottom w:val="single" w:color="CCCCCC" w:sz="1"/>
              <w:right w:val="single" w:color="CCCCCC" w:sz="1"/>
            </w:tcBorders>
          </w:tcPr>
          <w:p>
            <w:r>
              <w:rPr>
                <w:sz w:val="18"/>
                <w:szCs w:val="18"/>
              </w:rPr>
              <w:t xml:space="preserve">Toast</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4.40</w:t>
            </w:r>
          </w:p>
        </w:tc>
        <w:tc>
          <w:tcPr>
            <w:tcW w:type="dxa" w:w="100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HIGH</w:t>
            </w:r>
          </w:p>
        </w:tc>
      </w:tr>
      <w:tr>
        <w:tc>
          <w:tcPr>
            <w:tcW w:type="dxa" w:w="1400"/>
            <w:tcBorders>
              <w:top w:val="single" w:color="CCCCCC" w:sz="1"/>
              <w:left w:val="single" w:color="CCCCCC" w:sz="1"/>
              <w:bottom w:val="single" w:color="CCCCCC" w:sz="1"/>
              <w:right w:val="single" w:color="CCCCCC" w:sz="1"/>
            </w:tcBorders>
          </w:tcPr>
          <w:p>
            <w:r>
              <w:rPr>
                <w:b/>
                <w:bCs/>
                <w:sz w:val="18"/>
                <w:szCs w:val="18"/>
              </w:rPr>
              <w:t xml:space="preserve">VRT</w:t>
            </w:r>
          </w:p>
        </w:tc>
        <w:tc>
          <w:tcPr>
            <w:tcW w:type="dxa" w:w="2200"/>
            <w:tcBorders>
              <w:top w:val="single" w:color="CCCCCC" w:sz="1"/>
              <w:left w:val="single" w:color="CCCCCC" w:sz="1"/>
              <w:bottom w:val="single" w:color="CCCCCC" w:sz="1"/>
              <w:right w:val="single" w:color="CCCCCC" w:sz="1"/>
            </w:tcBorders>
          </w:tcPr>
          <w:p>
            <w:r>
              <w:rPr>
                <w:sz w:val="18"/>
                <w:szCs w:val="18"/>
              </w:rPr>
              <w:t xml:space="preserve">Vertiv</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4.30</w:t>
            </w:r>
          </w:p>
        </w:tc>
        <w:tc>
          <w:tcPr>
            <w:tcW w:type="dxa" w:w="100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HIGH</w:t>
            </w:r>
          </w:p>
        </w:tc>
      </w:tr>
      <w:tr>
        <w:tc>
          <w:tcPr>
            <w:tcW w:type="dxa" w:w="1400"/>
            <w:tcBorders>
              <w:top w:val="single" w:color="CCCCCC" w:sz="1"/>
              <w:left w:val="single" w:color="CCCCCC" w:sz="1"/>
              <w:bottom w:val="single" w:color="CCCCCC" w:sz="1"/>
              <w:right w:val="single" w:color="CCCCCC" w:sz="1"/>
            </w:tcBorders>
          </w:tcPr>
          <w:p>
            <w:r>
              <w:rPr>
                <w:b/>
                <w:bCs/>
                <w:sz w:val="18"/>
                <w:szCs w:val="18"/>
              </w:rPr>
              <w:t xml:space="preserve">ZS</w:t>
            </w:r>
          </w:p>
        </w:tc>
        <w:tc>
          <w:tcPr>
            <w:tcW w:type="dxa" w:w="2200"/>
            <w:tcBorders>
              <w:top w:val="single" w:color="CCCCCC" w:sz="1"/>
              <w:left w:val="single" w:color="CCCCCC" w:sz="1"/>
              <w:bottom w:val="single" w:color="CCCCCC" w:sz="1"/>
              <w:right w:val="single" w:color="CCCCCC" w:sz="1"/>
            </w:tcBorders>
          </w:tcPr>
          <w:p>
            <w:r>
              <w:rPr>
                <w:sz w:val="18"/>
                <w:szCs w:val="18"/>
              </w:rPr>
              <w:t xml:space="preserve">Zscaler</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4.25</w:t>
            </w:r>
          </w:p>
        </w:tc>
        <w:tc>
          <w:tcPr>
            <w:tcW w:type="dxa" w:w="100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HIGH</w:t>
            </w:r>
          </w:p>
        </w:tc>
      </w:tr>
      <w:tr>
        <w:tc>
          <w:tcPr>
            <w:tcW w:type="dxa" w:w="1400"/>
            <w:tcBorders>
              <w:top w:val="single" w:color="CCCCCC" w:sz="1"/>
              <w:left w:val="single" w:color="CCCCCC" w:sz="1"/>
              <w:bottom w:val="single" w:color="CCCCCC" w:sz="1"/>
              <w:right w:val="single" w:color="CCCCCC" w:sz="1"/>
            </w:tcBorders>
          </w:tcPr>
          <w:p>
            <w:r>
              <w:rPr>
                <w:b/>
                <w:bCs/>
                <w:sz w:val="18"/>
                <w:szCs w:val="18"/>
              </w:rPr>
              <w:t xml:space="preserve">DDOG</w:t>
            </w:r>
          </w:p>
        </w:tc>
        <w:tc>
          <w:tcPr>
            <w:tcW w:type="dxa" w:w="2200"/>
            <w:tcBorders>
              <w:top w:val="single" w:color="CCCCCC" w:sz="1"/>
              <w:left w:val="single" w:color="CCCCCC" w:sz="1"/>
              <w:bottom w:val="single" w:color="CCCCCC" w:sz="1"/>
              <w:right w:val="single" w:color="CCCCCC" w:sz="1"/>
            </w:tcBorders>
          </w:tcPr>
          <w:p>
            <w:r>
              <w:rPr>
                <w:sz w:val="18"/>
                <w:szCs w:val="18"/>
              </w:rPr>
              <w:t xml:space="preserve">Datadog</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4.20</w:t>
            </w:r>
          </w:p>
        </w:tc>
        <w:tc>
          <w:tcPr>
            <w:tcW w:type="dxa" w:w="100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HIGH</w:t>
            </w:r>
          </w:p>
        </w:tc>
      </w:tr>
      <w:tr>
        <w:tc>
          <w:tcPr>
            <w:tcW w:type="dxa" w:w="1400"/>
            <w:tcBorders>
              <w:top w:val="single" w:color="CCCCCC" w:sz="1"/>
              <w:left w:val="single" w:color="CCCCCC" w:sz="1"/>
              <w:bottom w:val="single" w:color="CCCCCC" w:sz="1"/>
              <w:right w:val="single" w:color="CCCCCC" w:sz="1"/>
            </w:tcBorders>
          </w:tcPr>
          <w:p>
            <w:r>
              <w:rPr>
                <w:b/>
                <w:bCs/>
                <w:sz w:val="18"/>
                <w:szCs w:val="18"/>
              </w:rPr>
              <w:t xml:space="preserve">S</w:t>
            </w:r>
          </w:p>
        </w:tc>
        <w:tc>
          <w:tcPr>
            <w:tcW w:type="dxa" w:w="2200"/>
            <w:tcBorders>
              <w:top w:val="single" w:color="CCCCCC" w:sz="1"/>
              <w:left w:val="single" w:color="CCCCCC" w:sz="1"/>
              <w:bottom w:val="single" w:color="CCCCCC" w:sz="1"/>
              <w:right w:val="single" w:color="CCCCCC" w:sz="1"/>
            </w:tcBorders>
          </w:tcPr>
          <w:p>
            <w:r>
              <w:rPr>
                <w:sz w:val="18"/>
                <w:szCs w:val="18"/>
              </w:rPr>
              <w:t xml:space="preserve">SentinelOne</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fef3c7" w:val="clear"/>
          </w:tcPr>
          <w:p>
            <w:pPr>
              <w:jc w:val="center"/>
            </w:pPr>
            <w:r>
              <w:rPr>
                <w:sz w:val="18"/>
                <w:szCs w:val="18"/>
              </w:rPr>
              <w:t xml:space="preserve">3.5</w:t>
            </w:r>
          </w:p>
        </w:tc>
        <w:tc>
          <w:tcPr>
            <w:tcW w:type="dxa" w:w="78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4.18</w:t>
            </w:r>
          </w:p>
        </w:tc>
        <w:tc>
          <w:tcPr>
            <w:tcW w:type="dxa" w:w="100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HIGH</w:t>
            </w:r>
          </w:p>
        </w:tc>
      </w:tr>
      <w:tr>
        <w:tc>
          <w:tcPr>
            <w:tcW w:type="dxa" w:w="1400"/>
            <w:tcBorders>
              <w:top w:val="single" w:color="CCCCCC" w:sz="1"/>
              <w:left w:val="single" w:color="CCCCCC" w:sz="1"/>
              <w:bottom w:val="single" w:color="CCCCCC" w:sz="1"/>
              <w:right w:val="single" w:color="CCCCCC" w:sz="1"/>
            </w:tcBorders>
          </w:tcPr>
          <w:p>
            <w:r>
              <w:rPr>
                <w:b/>
                <w:bCs/>
                <w:sz w:val="18"/>
                <w:szCs w:val="18"/>
              </w:rPr>
              <w:t xml:space="preserve">PCOR</w:t>
            </w:r>
          </w:p>
        </w:tc>
        <w:tc>
          <w:tcPr>
            <w:tcW w:type="dxa" w:w="2200"/>
            <w:tcBorders>
              <w:top w:val="single" w:color="CCCCCC" w:sz="1"/>
              <w:left w:val="single" w:color="CCCCCC" w:sz="1"/>
              <w:bottom w:val="single" w:color="CCCCCC" w:sz="1"/>
              <w:right w:val="single" w:color="CCCCCC" w:sz="1"/>
            </w:tcBorders>
          </w:tcPr>
          <w:p>
            <w:r>
              <w:rPr>
                <w:sz w:val="18"/>
                <w:szCs w:val="18"/>
              </w:rPr>
              <w:t xml:space="preserve">Procore</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fef3c7" w:val="clear"/>
          </w:tcPr>
          <w:p>
            <w:pPr>
              <w:jc w:val="center"/>
            </w:pPr>
            <w:r>
              <w:rPr>
                <w:sz w:val="18"/>
                <w:szCs w:val="18"/>
              </w:rPr>
              <w:t xml:space="preserve">3.5</w:t>
            </w:r>
          </w:p>
        </w:tc>
        <w:tc>
          <w:tcPr>
            <w:tcW w:type="dxa" w:w="78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4.08</w:t>
            </w:r>
          </w:p>
        </w:tc>
        <w:tc>
          <w:tcPr>
            <w:tcW w:type="dxa" w:w="100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HIGH</w:t>
            </w:r>
          </w:p>
        </w:tc>
      </w:tr>
      <w:tr>
        <w:tc>
          <w:tcPr>
            <w:tcW w:type="dxa" w:w="1400"/>
            <w:tcBorders>
              <w:top w:val="single" w:color="CCCCCC" w:sz="1"/>
              <w:left w:val="single" w:color="CCCCCC" w:sz="1"/>
              <w:bottom w:val="single" w:color="CCCCCC" w:sz="1"/>
              <w:right w:val="single" w:color="CCCCCC" w:sz="1"/>
            </w:tcBorders>
          </w:tcPr>
          <w:p>
            <w:r>
              <w:rPr>
                <w:b/>
                <w:bCs/>
                <w:sz w:val="18"/>
                <w:szCs w:val="18"/>
              </w:rPr>
              <w:t xml:space="preserve">CRWV</w:t>
            </w:r>
          </w:p>
        </w:tc>
        <w:tc>
          <w:tcPr>
            <w:tcW w:type="dxa" w:w="2200"/>
            <w:tcBorders>
              <w:top w:val="single" w:color="CCCCCC" w:sz="1"/>
              <w:left w:val="single" w:color="CCCCCC" w:sz="1"/>
              <w:bottom w:val="single" w:color="CCCCCC" w:sz="1"/>
              <w:right w:val="single" w:color="CCCCCC" w:sz="1"/>
            </w:tcBorders>
          </w:tcPr>
          <w:p>
            <w:r>
              <w:rPr>
                <w:sz w:val="18"/>
                <w:szCs w:val="18"/>
              </w:rPr>
              <w:t xml:space="preserve">CoreWeave</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fed7d7" w:val="clear"/>
          </w:tcPr>
          <w:p>
            <w:pPr>
              <w:jc w:val="center"/>
            </w:pPr>
            <w:r>
              <w:rPr>
                <w:sz w:val="18"/>
                <w:szCs w:val="18"/>
              </w:rPr>
              <w:t xml:space="preserve">3.0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5.0</w:t>
            </w:r>
          </w:p>
        </w:tc>
        <w:tc>
          <w:tcPr>
            <w:tcW w:type="dxa" w:w="780"/>
            <w:tcBorders>
              <w:top w:val="single" w:color="CCCCCC" w:sz="1"/>
              <w:left w:val="single" w:color="CCCCCC" w:sz="1"/>
              <w:bottom w:val="single" w:color="CCCCCC" w:sz="1"/>
              <w:right w:val="single" w:color="CCCCCC" w:sz="1"/>
            </w:tcBorders>
            <w:shd w:fill="fef3c7" w:val="clear"/>
          </w:tcPr>
          <w:p>
            <w:pPr>
              <w:jc w:val="center"/>
            </w:pPr>
            <w:r>
              <w:rPr>
                <w:sz w:val="18"/>
                <w:szCs w:val="18"/>
              </w:rPr>
              <w:t xml:space="preserve">3.5</w:t>
            </w:r>
          </w:p>
        </w:tc>
        <w:tc>
          <w:tcPr>
            <w:tcW w:type="dxa" w:w="78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4.00</w:t>
            </w:r>
          </w:p>
        </w:tc>
        <w:tc>
          <w:tcPr>
            <w:tcW w:type="dxa" w:w="1000"/>
            <w:tcBorders>
              <w:top w:val="single" w:color="CCCCCC" w:sz="1"/>
              <w:left w:val="single" w:color="CCCCCC" w:sz="1"/>
              <w:bottom w:val="single" w:color="CCCCCC" w:sz="1"/>
              <w:right w:val="single" w:color="CCCCCC" w:sz="1"/>
            </w:tcBorders>
            <w:shd w:fill="c6f6d5" w:val="clear"/>
          </w:tcPr>
          <w:p>
            <w:pPr>
              <w:jc w:val="center"/>
            </w:pPr>
            <w:r>
              <w:rPr>
                <w:b/>
                <w:bCs/>
                <w:sz w:val="18"/>
                <w:szCs w:val="18"/>
              </w:rPr>
              <w:t xml:space="preserve">HIGH*</w:t>
            </w:r>
          </w:p>
        </w:tc>
      </w:tr>
      <w:tr>
        <w:tc>
          <w:tcPr>
            <w:tcW w:type="dxa" w:w="1400"/>
            <w:tcBorders>
              <w:top w:val="single" w:color="CCCCCC" w:sz="1"/>
              <w:left w:val="single" w:color="CCCCCC" w:sz="1"/>
              <w:bottom w:val="single" w:color="CCCCCC" w:sz="1"/>
              <w:right w:val="single" w:color="CCCCCC" w:sz="1"/>
            </w:tcBorders>
          </w:tcPr>
          <w:p>
            <w:r>
              <w:rPr>
                <w:b/>
                <w:bCs/>
                <w:sz w:val="18"/>
                <w:szCs w:val="18"/>
              </w:rPr>
              <w:t xml:space="preserve">CRWD</w:t>
            </w:r>
          </w:p>
        </w:tc>
        <w:tc>
          <w:tcPr>
            <w:tcW w:type="dxa" w:w="2200"/>
            <w:tcBorders>
              <w:top w:val="single" w:color="CCCCCC" w:sz="1"/>
              <w:left w:val="single" w:color="CCCCCC" w:sz="1"/>
              <w:bottom w:val="single" w:color="CCCCCC" w:sz="1"/>
              <w:right w:val="single" w:color="CCCCCC" w:sz="1"/>
            </w:tcBorders>
          </w:tcPr>
          <w:p>
            <w:r>
              <w:rPr>
                <w:sz w:val="18"/>
                <w:szCs w:val="18"/>
              </w:rPr>
              <w:t xml:space="preserve">CrowdStrike</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fed7d7" w:val="clear"/>
          </w:tcPr>
          <w:p>
            <w:pPr>
              <w:jc w:val="center"/>
            </w:pPr>
            <w:r>
              <w:rPr>
                <w:sz w:val="18"/>
                <w:szCs w:val="18"/>
              </w:rPr>
              <w:t xml:space="preserve">3.0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fef3c7" w:val="clear"/>
          </w:tcPr>
          <w:p>
            <w:pPr>
              <w:jc w:val="center"/>
            </w:pPr>
            <w:r>
              <w:rPr>
                <w:b/>
                <w:bCs/>
                <w:sz w:val="18"/>
                <w:szCs w:val="18"/>
              </w:rPr>
              <w:t xml:space="preserve">3.95</w:t>
            </w:r>
          </w:p>
        </w:tc>
        <w:tc>
          <w:tcPr>
            <w:tcW w:type="dxa" w:w="1000"/>
            <w:tcBorders>
              <w:top w:val="single" w:color="CCCCCC" w:sz="1"/>
              <w:left w:val="single" w:color="CCCCCC" w:sz="1"/>
              <w:bottom w:val="single" w:color="CCCCCC" w:sz="1"/>
              <w:right w:val="single" w:color="CCCCCC" w:sz="1"/>
            </w:tcBorders>
            <w:shd w:fill="fef3c7" w:val="clear"/>
          </w:tcPr>
          <w:p>
            <w:pPr>
              <w:jc w:val="center"/>
            </w:pPr>
            <w:r>
              <w:rPr>
                <w:b/>
                <w:bCs/>
                <w:sz w:val="18"/>
                <w:szCs w:val="18"/>
              </w:rPr>
              <w:t xml:space="preserve">MED</w:t>
            </w:r>
          </w:p>
        </w:tc>
      </w:tr>
      <w:tr>
        <w:tc>
          <w:tcPr>
            <w:tcW w:type="dxa" w:w="1400"/>
            <w:tcBorders>
              <w:top w:val="single" w:color="CCCCCC" w:sz="1"/>
              <w:left w:val="single" w:color="CCCCCC" w:sz="1"/>
              <w:bottom w:val="single" w:color="CCCCCC" w:sz="1"/>
              <w:right w:val="single" w:color="CCCCCC" w:sz="1"/>
            </w:tcBorders>
          </w:tcPr>
          <w:p>
            <w:r>
              <w:rPr>
                <w:b/>
                <w:bCs/>
                <w:sz w:val="18"/>
                <w:szCs w:val="18"/>
              </w:rPr>
              <w:t xml:space="preserve">NET</w:t>
            </w:r>
          </w:p>
        </w:tc>
        <w:tc>
          <w:tcPr>
            <w:tcW w:type="dxa" w:w="2200"/>
            <w:tcBorders>
              <w:top w:val="single" w:color="CCCCCC" w:sz="1"/>
              <w:left w:val="single" w:color="CCCCCC" w:sz="1"/>
              <w:bottom w:val="single" w:color="CCCCCC" w:sz="1"/>
              <w:right w:val="single" w:color="CCCCCC" w:sz="1"/>
            </w:tcBorders>
          </w:tcPr>
          <w:p>
            <w:r>
              <w:rPr>
                <w:sz w:val="18"/>
                <w:szCs w:val="18"/>
              </w:rPr>
              <w:t xml:space="preserve">Cloudflare</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4.5</w:t>
            </w:r>
          </w:p>
        </w:tc>
        <w:tc>
          <w:tcPr>
            <w:tcW w:type="dxa" w:w="780"/>
            <w:tcBorders>
              <w:top w:val="single" w:color="CCCCCC" w:sz="1"/>
              <w:left w:val="single" w:color="CCCCCC" w:sz="1"/>
              <w:bottom w:val="single" w:color="CCCCCC" w:sz="1"/>
              <w:right w:val="single" w:color="CCCCCC" w:sz="1"/>
            </w:tcBorders>
            <w:shd w:fill="fef3c7" w:val="clear"/>
          </w:tcPr>
          <w:p>
            <w:pPr>
              <w:jc w:val="center"/>
            </w:pPr>
            <w:r>
              <w:rPr>
                <w:sz w:val="18"/>
                <w:szCs w:val="18"/>
              </w:rPr>
              <w:t xml:space="preserve">3.5</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fef3c7" w:val="clear"/>
          </w:tcPr>
          <w:p>
            <w:pPr>
              <w:jc w:val="center"/>
            </w:pPr>
            <w:r>
              <w:rPr>
                <w:b/>
                <w:bCs/>
                <w:sz w:val="18"/>
                <w:szCs w:val="18"/>
              </w:rPr>
              <w:t xml:space="preserve">3.93</w:t>
            </w:r>
          </w:p>
        </w:tc>
        <w:tc>
          <w:tcPr>
            <w:tcW w:type="dxa" w:w="1000"/>
            <w:tcBorders>
              <w:top w:val="single" w:color="CCCCCC" w:sz="1"/>
              <w:left w:val="single" w:color="CCCCCC" w:sz="1"/>
              <w:bottom w:val="single" w:color="CCCCCC" w:sz="1"/>
              <w:right w:val="single" w:color="CCCCCC" w:sz="1"/>
            </w:tcBorders>
            <w:shd w:fill="fef3c7" w:val="clear"/>
          </w:tcPr>
          <w:p>
            <w:pPr>
              <w:jc w:val="center"/>
            </w:pPr>
            <w:r>
              <w:rPr>
                <w:b/>
                <w:bCs/>
                <w:sz w:val="18"/>
                <w:szCs w:val="18"/>
              </w:rPr>
              <w:t xml:space="preserve">MED</w:t>
            </w:r>
          </w:p>
        </w:tc>
      </w:tr>
      <w:tr>
        <w:tc>
          <w:tcPr>
            <w:tcW w:type="dxa" w:w="1400"/>
            <w:tcBorders>
              <w:top w:val="single" w:color="CCCCCC" w:sz="1"/>
              <w:left w:val="single" w:color="CCCCCC" w:sz="1"/>
              <w:bottom w:val="single" w:color="CCCCCC" w:sz="1"/>
              <w:right w:val="single" w:color="CCCCCC" w:sz="1"/>
            </w:tcBorders>
          </w:tcPr>
          <w:p>
            <w:r>
              <w:rPr>
                <w:b/>
                <w:bCs/>
                <w:sz w:val="18"/>
                <w:szCs w:val="18"/>
              </w:rPr>
              <w:t xml:space="preserve">APPF</w:t>
            </w:r>
          </w:p>
        </w:tc>
        <w:tc>
          <w:tcPr>
            <w:tcW w:type="dxa" w:w="2200"/>
            <w:tcBorders>
              <w:top w:val="single" w:color="CCCCCC" w:sz="1"/>
              <w:left w:val="single" w:color="CCCCCC" w:sz="1"/>
              <w:bottom w:val="single" w:color="CCCCCC" w:sz="1"/>
              <w:right w:val="single" w:color="CCCCCC" w:sz="1"/>
            </w:tcBorders>
          </w:tcPr>
          <w:p>
            <w:r>
              <w:rPr>
                <w:sz w:val="18"/>
                <w:szCs w:val="18"/>
              </w:rPr>
              <w:t xml:space="preserve">AppFolio</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c6f6d5" w:val="clear"/>
          </w:tcPr>
          <w:p>
            <w:pPr>
              <w:jc w:val="center"/>
            </w:pPr>
            <w:r>
              <w:rPr>
                <w:sz w:val="18"/>
                <w:szCs w:val="18"/>
              </w:rPr>
              <w:t xml:space="preserve">4.0</w:t>
            </w:r>
          </w:p>
        </w:tc>
        <w:tc>
          <w:tcPr>
            <w:tcW w:type="dxa" w:w="780"/>
            <w:tcBorders>
              <w:top w:val="single" w:color="CCCCCC" w:sz="1"/>
              <w:left w:val="single" w:color="CCCCCC" w:sz="1"/>
              <w:bottom w:val="single" w:color="CCCCCC" w:sz="1"/>
              <w:right w:val="single" w:color="CCCCCC" w:sz="1"/>
            </w:tcBorders>
            <w:shd w:fill="fef3c7" w:val="clear"/>
          </w:tcPr>
          <w:p>
            <w:pPr>
              <w:jc w:val="center"/>
            </w:pPr>
            <w:r>
              <w:rPr>
                <w:sz w:val="18"/>
                <w:szCs w:val="18"/>
              </w:rPr>
              <w:t xml:space="preserve">3.5</w:t>
            </w:r>
          </w:p>
        </w:tc>
        <w:tc>
          <w:tcPr>
            <w:tcW w:type="dxa" w:w="780"/>
            <w:tcBorders>
              <w:top w:val="single" w:color="CCCCCC" w:sz="1"/>
              <w:left w:val="single" w:color="CCCCCC" w:sz="1"/>
              <w:bottom w:val="single" w:color="CCCCCC" w:sz="1"/>
              <w:right w:val="single" w:color="CCCCCC" w:sz="1"/>
            </w:tcBorders>
            <w:shd w:fill="fef3c7" w:val="clear"/>
          </w:tcPr>
          <w:p>
            <w:pPr>
              <w:jc w:val="center"/>
            </w:pPr>
            <w:r>
              <w:rPr>
                <w:b/>
                <w:bCs/>
                <w:sz w:val="18"/>
                <w:szCs w:val="18"/>
              </w:rPr>
              <w:t xml:space="preserve">3.90</w:t>
            </w:r>
          </w:p>
        </w:tc>
        <w:tc>
          <w:tcPr>
            <w:tcW w:type="dxa" w:w="1000"/>
            <w:tcBorders>
              <w:top w:val="single" w:color="CCCCCC" w:sz="1"/>
              <w:left w:val="single" w:color="CCCCCC" w:sz="1"/>
              <w:bottom w:val="single" w:color="CCCCCC" w:sz="1"/>
              <w:right w:val="single" w:color="CCCCCC" w:sz="1"/>
            </w:tcBorders>
            <w:shd w:fill="fef3c7" w:val="clear"/>
          </w:tcPr>
          <w:p>
            <w:pPr>
              <w:jc w:val="center"/>
            </w:pPr>
            <w:r>
              <w:rPr>
                <w:b/>
                <w:bCs/>
                <w:sz w:val="18"/>
                <w:szCs w:val="18"/>
              </w:rPr>
              <w:t xml:space="preserve">MED</w:t>
            </w:r>
          </w:p>
        </w:tc>
      </w:tr>
    </w:tbl>
    <w:p>
      <w:pPr>
        <w:spacing w:before="100" w:after="200"/>
      </w:pPr>
      <w:r>
        <w:rPr>
          <w:i/>
          <w:iCs/>
          <w:sz w:val="18"/>
          <w:szCs w:val="18"/>
        </w:rPr>
        <w:t xml:space="preserve">*CoreWeave HIGH conviction with elevated risk due to customer concentration and leverage. Position sizing recommendation: 50% of normal allocation.</w:t>
      </w:r>
    </w:p>
    <w:p>
      <w:r>
        <w:br w:type="page"/>
      </w:r>
    </w:p>
    <w:p>
      <w:pPr>
        <w:pStyle w:val="Heading1"/>
      </w:pPr>
      <w:r>
        <w:t xml:space="preserve">HIGH Conviction Candidates — Detailed Analysis</w:t>
      </w:r>
    </w:p>
    <w:p>
      <w:pPr>
        <w:pStyle w:val="Heading2"/>
      </w:pPr>
      <w:r>
        <w:t xml:space="preserve">1. Toast (TOST) — Score: 4.40</w:t>
      </w:r>
    </w:p>
    <w:p>
      <w:pPr>
        <w:pStyle w:val="Heading3"/>
      </w:pPr>
      <w:r>
        <w:t xml:space="preserve">Product-Market Fit: 4.5/5</w:t>
      </w:r>
    </w:p>
    <w:p>
      <w:pPr>
        <w:spacing w:after="100"/>
      </w:pPr>
      <w:r>
        <w:t xml:space="preserve">Toast provides an end-to-end technology platform designed specifically for the restaurant industry, integrating point-of-sale, payments, payroll, online ordering, and analytics into a unified solution. The platform solves critical pain points around operational complexity and fragmented systems. With 156,000 restaurant locations and $2B+ ARR, Toast has achieved clear product-market fit. The company added 7,500 net new locations in Q3 2025 alone, demonstrating continued demand.</w:t>
      </w:r>
    </w:p>
    <w:p>
      <w:pPr>
        <w:pStyle w:val="Heading3"/>
      </w:pPr>
      <w:r>
        <w:t xml:space="preserve">Competitive Moat: 4.5/5</w:t>
      </w:r>
    </w:p>
    <w:p>
      <w:pPr>
        <w:spacing w:after="100"/>
      </w:pPr>
      <w:r>
        <w:t xml:space="preserve">Toast's moat derives from deep vertical integration and high switching costs. Once restaurants adopt Toast's ecosystem—POS, payments, payroll, analytics—switching becomes prohibitively disruptive. The platform processes payments, manages staff, and runs operations, creating operational lock-in. LTV/CAC ratio exceeds 6x. Key competitor Clover is reportedly struggling, widening Toast's competitive advantage. The recent Uber integration enhances the platform's value proposition.</w:t>
      </w:r>
    </w:p>
    <w:p>
      <w:pPr>
        <w:pStyle w:val="Heading3"/>
      </w:pPr>
      <w:r>
        <w:t xml:space="preserve">Intrinsic Value Asymmetry: 4.5/5</w:t>
      </w:r>
    </w:p>
    <w:p>
      <w:pPr>
        <w:spacing w:after="100"/>
      </w:pPr>
      <w:r>
        <w:t xml:space="preserve">Toast has penetrated only 14% of the 875,000+ US restaurant market despite 10+ years in business, suggesting massive runway. The company is expanding into adjacent verticals (food &amp; beverage retail, international markets—Canada, UK, Ireland) representing 280,000+ additional locations. Enterprise wins like Applebee's and Topgolf demonstrate upmarket expansion capability. The market likely underestimates the TAM expansion potential.</w:t>
      </w:r>
    </w:p>
    <w:p>
      <w:pPr>
        <w:pStyle w:val="Heading3"/>
      </w:pPr>
      <w:r>
        <w:t xml:space="preserve">Management Quality: 4.0/5</w:t>
      </w:r>
    </w:p>
    <w:p>
      <w:pPr>
        <w:spacing w:after="100"/>
      </w:pPr>
      <w:r>
        <w:t xml:space="preserve">Co-founder Aman Narang leads as CEO with strong execution track record. The company has delivered consistent beats on guidance, achieved positive FCF ($208M in Q2 2025), and maintained disciplined capital allocation while investing in growth. Former CEO Chris Comparato transitioned to a new role at Huntress in October 2025, suggesting a smooth succession process.</w:t>
      </w:r>
    </w:p>
    <w:p>
      <w:pPr>
        <w:spacing w:after="150"/>
      </w:pPr>
      <w:r>
        <w:rPr>
          <w:b/>
          <w:bCs/>
        </w:rPr>
        <w:t xml:space="preserve">Key Risks: </w:t>
      </w:r>
      <w:r>
        <w:t xml:space="preserve">High valuation (114x forward P/E), restaurant industry cyclicality, declining GPV per location (-3% YoY), competitive pressure from Square and others.</w:t>
      </w:r>
    </w:p>
    <w:p>
      <w:pPr>
        <w:pStyle w:val="Heading2"/>
      </w:pPr>
      <w:r>
        <w:t xml:space="preserve">2. Vertiv (VRT) — Score: 4.30</w:t>
      </w:r>
    </w:p>
    <w:p>
      <w:pPr>
        <w:pStyle w:val="Heading3"/>
      </w:pPr>
      <w:r>
        <w:t xml:space="preserve">Product-Market Fit: 4.5/5</w:t>
      </w:r>
    </w:p>
    <w:p>
      <w:pPr>
        <w:spacing w:after="100"/>
      </w:pPr>
      <w:r>
        <w:t xml:space="preserve">Vertiv provides critical digital infrastructure—power management, cooling systems, and IT infrastructure—for data centers globally. The company sits at the heart of the AI infrastructure buildout, with products essential for cooling high-density GPU racks (up to 1000kW). Q3 2025 revenue grew 29% YoY to $2.68B, with organic orders up 60% and Americas growing 43%. The product directly addresses the most critical bottleneck in AI infrastructure: power and thermal management.</w:t>
      </w:r>
    </w:p>
    <w:p>
      <w:pPr>
        <w:pStyle w:val="Heading3"/>
      </w:pPr>
      <w:r>
        <w:t xml:space="preserve">Competitive Moat: 4.0/5</w:t>
      </w:r>
    </w:p>
    <w:p>
      <w:pPr>
        <w:spacing w:after="100"/>
      </w:pPr>
      <w:r>
        <w:t xml:space="preserve">Vertiv benefits from long customer relationships, global manufacturing scale, and deep technical expertise in mission-critical systems. The Caterpillar partnership announced November 2025 for integrated energy solutions strengthens the moat. CoreWeave partnership for cooling solutions demonstrates relevance to AI infrastructure leaders. However, Schneider Electric and Eaton provide meaningful competition, moderating the moat score.</w:t>
      </w:r>
    </w:p>
    <w:p>
      <w:pPr>
        <w:pStyle w:val="Heading3"/>
      </w:pPr>
      <w:r>
        <w:t xml:space="preserve">Intrinsic Value Asymmetry: 4.5/5</w:t>
      </w:r>
    </w:p>
    <w:p>
      <w:pPr>
        <w:spacing w:after="100"/>
      </w:pPr>
      <w:r>
        <w:t xml:space="preserve">McKinsey projects data center capacity could increase 4x between 2023-2030 to 219GW, with potential deficit even then. Hyperscaler capex ($320B in 2025) directly benefits Vertiv. The company trades at 34x forward earnings—lower than tech sector average (52x)—despite being a core AI infrastructure enabler. The market may be undervaluing the durability and magnitude of the AI infrastructure buildout.</w:t>
      </w:r>
    </w:p>
    <w:p>
      <w:pPr>
        <w:pStyle w:val="Heading3"/>
      </w:pPr>
      <w:r>
        <w:t xml:space="preserve">Management Quality: 4.0/5</w:t>
      </w:r>
    </w:p>
    <w:p>
      <w:pPr>
        <w:spacing w:after="100"/>
      </w:pPr>
      <w:r>
        <w:t xml:space="preserve">CEO Giordano Albertazzi has executed well on the AI opportunity, with organic orders growing 21% trailing twelve months. Dave Cote (Executive Chairman) brings credibility. The company has raised guidance multiple times in 2025 and announced a dividend increase in November 2025, demonstrating financial confidence.</w:t>
      </w:r>
    </w:p>
    <w:p>
      <w:pPr>
        <w:spacing w:after="150"/>
      </w:pPr>
      <w:r>
        <w:rPr>
          <w:b/>
          <w:bCs/>
        </w:rPr>
        <w:t xml:space="preserve">Key Risks: </w:t>
      </w:r>
      <w:r>
        <w:t xml:space="preserve">Tariff exposure (international manufacturing), hyperscaler capex concentration, potential AI infrastructure overbuild scenario, lower gross margins (~35%) than software peers.</w:t>
      </w:r>
    </w:p>
    <w:p>
      <w:pPr>
        <w:pStyle w:val="Heading2"/>
      </w:pPr>
      <w:r>
        <w:t xml:space="preserve">3. Zscaler (ZS) — Score: 4.25</w:t>
      </w:r>
    </w:p>
    <w:p>
      <w:pPr>
        <w:pStyle w:val="Heading3"/>
      </w:pPr>
      <w:r>
        <w:t xml:space="preserve">Product-Market Fit: 4.5/5</w:t>
      </w:r>
    </w:p>
    <w:p>
      <w:pPr>
        <w:spacing w:after="100"/>
      </w:pPr>
      <w:r>
        <w:t xml:space="preserve">Zscaler's Zero Trust Exchange platform processes 400B transactions daily across 150+ data centers, providing cloud-native security that replaces legacy VPNs and firewalls. The platform is essential for enterprises adopting hybrid work and cloud architectures. 92% of organizations using VPNs are concerned about ransomware attacks from VPN vulnerabilities, driving migration to zero trust. 81% of enterprises plan to implement zero trust within the year.</w:t>
      </w:r>
    </w:p>
    <w:p>
      <w:pPr>
        <w:pStyle w:val="Heading3"/>
      </w:pPr>
      <w:r>
        <w:t xml:space="preserve">Competitive Moat: 4.5/5</w:t>
      </w:r>
    </w:p>
    <w:p>
      <w:pPr>
        <w:spacing w:after="100"/>
      </w:pPr>
      <w:r>
        <w:t xml:space="preserve">Zscaler is a Gartner Magic Quadrant Leader for Security Service Edge (SSE) for four consecutive years. The company serves 40% of Fortune 500 and 120+ US federal customers. 95% net dollar retention demonstrates strong customer lock-in. The Zero Trust Exchange architecture is fundamentally different from legacy approaches—replacing the 'castle and moat' model—creating high barriers to replication. AI integration (5T daily signals) provides data-driven differentiation.</w:t>
      </w:r>
    </w:p>
    <w:p>
      <w:pPr>
        <w:pStyle w:val="Heading3"/>
      </w:pPr>
      <w:r>
        <w:t xml:space="preserve">Intrinsic Value Asymmetry: 4.0/5</w:t>
      </w:r>
    </w:p>
    <w:p>
      <w:pPr>
        <w:spacing w:after="100"/>
      </w:pPr>
      <w:r>
        <w:t xml:space="preserve">TAM estimated at $96B with Zscaler addressing only a fraction currently. The June 2025 White House Executive Order prioritizing zero trust and AI in federal cybersecurity provides regulatory tailwind. Revenue grew 26% to $788M in Q4 2025, with FCF margin at industry-leading 52%. The company spent $673M on AI-focused acquisitions (Red Canary, SPLXAI) to strengthen the platform. Stock trades at ~12x 2025 revenue—reasonable given growth profile.</w:t>
      </w:r>
    </w:p>
    <w:p>
      <w:pPr>
        <w:pStyle w:val="Heading3"/>
      </w:pPr>
      <w:r>
        <w:t xml:space="preserve">Management Quality: 4.0/5</w:t>
      </w:r>
    </w:p>
    <w:p>
      <w:pPr>
        <w:spacing w:after="100"/>
      </w:pPr>
      <w:r>
        <w:t xml:space="preserve">Founder Jay Chaudhry maintains significant ownership and long-term vision. The company has consistently beaten guidance and delivered strong FCF growth (42% YoY). Strategic M&amp;A has been disciplined, focused on strengthening AI and MDR capabilities.</w:t>
      </w:r>
    </w:p>
    <w:p>
      <w:pPr>
        <w:spacing w:after="150"/>
      </w:pPr>
      <w:r>
        <w:rPr>
          <w:b/>
          <w:bCs/>
        </w:rPr>
        <w:t xml:space="preserve">Key Risks: </w:t>
      </w:r>
      <w:r>
        <w:t xml:space="preserve">Competition from Palo Alto Networks and CrowdStrike entering SSE, 25% of revenue consumed by stock-based compensation, potential DOGE impact on federal spending, sales efficiency decline (33% increase in capitalized commissions vs 26% revenue growth).</w:t>
      </w:r>
    </w:p>
    <w:p>
      <w:r>
        <w:br w:type="page"/>
      </w:r>
    </w:p>
    <w:p>
      <w:pPr>
        <w:pStyle w:val="Heading2"/>
      </w:pPr>
      <w:r>
        <w:t xml:space="preserve">4. Datadog (DDOG) — Score: 4.20</w:t>
      </w:r>
    </w:p>
    <w:p>
      <w:pPr>
        <w:pStyle w:val="Heading3"/>
      </w:pPr>
      <w:r>
        <w:t xml:space="preserve">Product-Market Fit: 4.5/5</w:t>
      </w:r>
    </w:p>
    <w:p>
      <w:pPr>
        <w:spacing w:after="100"/>
      </w:pPr>
      <w:r>
        <w:t xml:space="preserve">Datadog provides the leading cloud observability platform, integrating infrastructure monitoring, APM, log management, and security into a unified solution. The platform is essential for enterprises managing complex cloud-native environments. Gartner named Datadog a Leader in Observability Platforms for five consecutive years. Q3 2025 revenue grew 28% to $886M, with AI-native customers now representing 8.5% of ARR (up from 6% prior quarter).</w:t>
      </w:r>
    </w:p>
    <w:p>
      <w:pPr>
        <w:pStyle w:val="Heading3"/>
      </w:pPr>
      <w:r>
        <w:t xml:space="preserve">Competitive Moat: 4.0/5</w:t>
      </w:r>
    </w:p>
    <w:p>
      <w:pPr>
        <w:spacing w:after="100"/>
      </w:pPr>
      <w:r>
        <w:t xml:space="preserve">Datadog's moat stems from platform breadth (1000+ integrations), data network effects (more data improves AI capabilities), and high switching costs from operational embedding. The company introduced AI-native tools at DASH 2025 including Bits AI SRE (autonomous incident management), LLM Observability (monitoring AI agents), and AI Agents Console. These innovations create differentiation competitors like Splunk, New Relic, and Dynatrace struggle to match. However, hyperscalers offer competing solutions, moderating moat strength.</w:t>
      </w:r>
    </w:p>
    <w:p>
      <w:pPr>
        <w:pStyle w:val="Heading3"/>
      </w:pPr>
      <w:r>
        <w:t xml:space="preserve">Intrinsic Value Asymmetry: 4.0/5</w:t>
      </w:r>
    </w:p>
    <w:p>
      <w:pPr>
        <w:spacing w:after="100"/>
      </w:pPr>
      <w:r>
        <w:t xml:space="preserve">Observability market projected to reach $25B by 2027, with Datadog well-positioned to capture significant share. The AI observability segment specifically is growing at 22% CAGR. Large customer growth continues strong: 3,850 customers with $100K+ ARR (14% growth), 462 customers with $1M+ ARR. Trading at reasonable 12x 2025E revenue given consistent growth. However, high P/E (&gt;triple sector median) suggests significant growth is already priced in.</w:t>
      </w:r>
    </w:p>
    <w:p>
      <w:pPr>
        <w:pStyle w:val="Heading3"/>
      </w:pPr>
      <w:r>
        <w:t xml:space="preserve">Management Quality: 4.5/5</w:t>
      </w:r>
    </w:p>
    <w:p>
      <w:pPr>
        <w:spacing w:after="100"/>
      </w:pPr>
      <w:r>
        <w:t xml:space="preserve">Co-founder CEO Olivier Pomel has built exceptional execution culture. The company has beaten estimates consistently for years, raised guidance, and maintained 79% gross margins while investing heavily in R&amp;D. Strategic acquisitions have been well-integrated. Product innovation velocity is industry-leading.</w:t>
      </w:r>
    </w:p>
    <w:p>
      <w:pPr>
        <w:spacing w:after="150"/>
      </w:pPr>
      <w:r>
        <w:rPr>
          <w:b/>
          <w:bCs/>
        </w:rPr>
        <w:t xml:space="preserve">Key Risks: </w:t>
      </w:r>
      <w:r>
        <w:t xml:space="preserve">High valuation leaves limited margin for error, increasing cloud costs pressuring margins, competition from hyperscaler native tools (AWS CloudWatch, Azure Monitor), GenAI labs potentially building in-house observability solutions, insider selling patterns.</w:t>
      </w:r>
    </w:p>
    <w:p>
      <w:pPr>
        <w:pStyle w:val="Heading2"/>
      </w:pPr>
      <w:r>
        <w:t xml:space="preserve">5. SentinelOne (S) — Score: 4.18</w:t>
      </w:r>
    </w:p>
    <w:p>
      <w:pPr>
        <w:pStyle w:val="Heading3"/>
      </w:pPr>
      <w:r>
        <w:t xml:space="preserve">Product-Market Fit: 4.5/5</w:t>
      </w:r>
    </w:p>
    <w:p>
      <w:pPr>
        <w:spacing w:after="100"/>
      </w:pPr>
      <w:r>
        <w:t xml:space="preserve">SentinelOne provides AI-native endpoint security through its Singularity Platform, with Purple AI serving as an autonomous security analyst. The platform reduces breach likelihood by 60% according to company data. Gartner named SentinelOne a Leader in Endpoint Protection Platforms for five consecutive years. ARR surpassed $1B, with 22% revenue growth and 79% gross margins in Q2 FY26. The AI-first architecture is differentiated from competitors' bolt-on AI approaches.</w:t>
      </w:r>
    </w:p>
    <w:p>
      <w:pPr>
        <w:pStyle w:val="Heading3"/>
      </w:pPr>
      <w:r>
        <w:t xml:space="preserve">Competitive Moat: 4.0/5</w:t>
      </w:r>
    </w:p>
    <w:p>
      <w:pPr>
        <w:spacing w:after="100"/>
      </w:pPr>
      <w:r>
        <w:t xml:space="preserve">SentinelOne's moat derives from AI-native architecture, unified data lake approach, and autonomous response capabilities. Purple AI 'Athena' release previewed at RSAC 2025 demonstrates continued innovation leadership. IDC recognized SentinelOne as Leader in XDR 2025. The platform's ability to detect and respond without human intervention creates sticky customer relationships. However, CrowdStrike remains the category leader with larger scale.</w:t>
      </w:r>
    </w:p>
    <w:p>
      <w:pPr>
        <w:pStyle w:val="Heading3"/>
      </w:pPr>
      <w:r>
        <w:t xml:space="preserve">Intrinsic Value Asymmetry: 4.5/5</w:t>
      </w:r>
    </w:p>
    <w:p>
      <w:pPr>
        <w:spacing w:after="100"/>
      </w:pPr>
      <w:r>
        <w:t xml:space="preserve">SentinelOne trades at 6x forward sales—deeply discounted versus peers like CrowdStrike (28.5x). The stock is down 38.9% over the past year despite strong fundamentals and continued innovation. Analysts estimate fair value at $23.50, implying 39% upside from current levels. The company has $1.2B cash and positive operating margins, reducing downside risk. The negative narrative around growth deceleration may be creating an opportunity.</w:t>
      </w:r>
    </w:p>
    <w:p>
      <w:pPr>
        <w:pStyle w:val="Heading3"/>
      </w:pPr>
      <w:r>
        <w:t xml:space="preserve">Management Quality: 3.5/5</w:t>
      </w:r>
    </w:p>
    <w:p>
      <w:pPr>
        <w:spacing w:after="100"/>
      </w:pPr>
      <w:r>
        <w:t xml:space="preserve">CEO Tomer Weingarten has built a differentiated product but faces challenges in execution and profitability. The company is not yet profitable on a GAAP basis, though losses are narrowing. Customer growth with large accounts ($100K+ ARR) grew 24% to 1,310. Recent partnerships with AWS and Google Cloud demonstrate ecosystem expansion capability.</w:t>
      </w:r>
    </w:p>
    <w:p>
      <w:pPr>
        <w:spacing w:after="150"/>
      </w:pPr>
      <w:r>
        <w:rPr>
          <w:b/>
          <w:bCs/>
        </w:rPr>
        <w:t xml:space="preserve">Key Risks: </w:t>
      </w:r>
      <w:r>
        <w:t xml:space="preserve">Continued GAAP losses, revenue growth deceleration (guiding 22% FY26 vs 32% FY25), intense competition from CrowdStrike and Microsoft Defender, reliance on hyperscaler partnerships, potential acquisition target creating uncertainty.</w:t>
      </w:r>
    </w:p>
    <w:p>
      <w:pPr>
        <w:pStyle w:val="Heading2"/>
      </w:pPr>
      <w:r>
        <w:t xml:space="preserve">6. Procore (PCOR) — Score: 4.08</w:t>
      </w:r>
    </w:p>
    <w:p>
      <w:pPr>
        <w:pStyle w:val="Heading3"/>
      </w:pPr>
      <w:r>
        <w:t xml:space="preserve">Product-Market Fit: 4.0/5</w:t>
      </w:r>
    </w:p>
    <w:p>
      <w:pPr>
        <w:spacing w:after="100"/>
      </w:pPr>
      <w:r>
        <w:t xml:space="preserve">Procore provides the leading cloud-based construction management platform, addressing one of the most under-digitized industries globally. The platform connects all stakeholders—owners, contractors, architects—enabling real-time collaboration. Q3 2025 revenue grew 14.5% to ~$330M with 81% gross margins. Over 3 million projects have run on Procore across 150+ countries. The company added 218 net new customers with 95% retention rate.</w:t>
      </w:r>
    </w:p>
    <w:p>
      <w:pPr>
        <w:pStyle w:val="Heading3"/>
      </w:pPr>
      <w:r>
        <w:t xml:space="preserve">Competitive Moat: 4.0/5</w:t>
      </w:r>
    </w:p>
    <w:p>
      <w:pPr>
        <w:spacing w:after="100"/>
      </w:pPr>
      <w:r>
        <w:t xml:space="preserve">Procore's moat stems from platform network effects (value increases as more project participants adopt), deep workflow integration, and proprietary data corpus enabling AI features. The company holds 7.4% market share—second only to Autodesk—in a highly fragmented market. Procore Helix AI layer transforms project data into actionable insights. High switching costs from operational embedding protect the installed base.</w:t>
      </w:r>
    </w:p>
    <w:p>
      <w:pPr>
        <w:pStyle w:val="Heading3"/>
      </w:pPr>
      <w:r>
        <w:t xml:space="preserve">Intrinsic Value Asymmetry: 4.5/5</w:t>
      </w:r>
    </w:p>
    <w:p>
      <w:pPr>
        <w:spacing w:after="100"/>
      </w:pPr>
      <w:r>
        <w:t xml:space="preserve">Procore has less than 5% market penetration despite 20+ years in business, suggesting massive runway. The construction software market is projected to reach $10.76B in 2025 growing at 10.1% CAGR through 2032, with North America representing 42% of global demand. International expansion (less than 2% TAM penetration) offers additional growth vector. Analysts project path to 25%+ FCF margins by 2027.</w:t>
      </w:r>
    </w:p>
    <w:p>
      <w:pPr>
        <w:pStyle w:val="Heading3"/>
      </w:pPr>
      <w:r>
        <w:t xml:space="preserve">Management Quality: 3.5/5</w:t>
      </w:r>
    </w:p>
    <w:p>
      <w:pPr>
        <w:spacing w:after="100"/>
      </w:pPr>
      <w:r>
        <w:t xml:space="preserve">CEO transition in progress: Ajei Gopal (former ANSYS CEO) appointed September 2025 to replace founder Tooey Courtemanche. Gopal brings experience scaling global technology businesses but transition creates near-term uncertainty. Go-to-market changes implementing through January 2025 may temporarily impact growth.</w:t>
      </w:r>
    </w:p>
    <w:p>
      <w:pPr>
        <w:spacing w:after="150"/>
      </w:pPr>
      <w:r>
        <w:rPr>
          <w:b/>
          <w:bCs/>
        </w:rPr>
        <w:t xml:space="preserve">Key Risks: </w:t>
      </w:r>
      <w:r>
        <w:t xml:space="preserve">CEO transition execution risk, construction industry cyclicality, macroeconomic sensitivity, slower growth (11-12% guidance vs prior 20%+), tariff uncertainty impact on construction activity, competition from Autodesk and specialized point solutions.</w:t>
      </w:r>
    </w:p>
    <w:p>
      <w:r>
        <w:br w:type="page"/>
      </w:r>
    </w:p>
    <w:p>
      <w:pPr>
        <w:pStyle w:val="Heading2"/>
      </w:pPr>
      <w:r>
        <w:t xml:space="preserve">7. CoreWeave (CRWV) — Score: 4.00 (HIGH RISK)</w:t>
      </w:r>
    </w:p>
    <w:p>
      <w:pPr>
        <w:shd w:fill="fef3c7" w:val="clear"/>
        <w:spacing w:after="100"/>
      </w:pPr>
      <w:r>
        <w:rPr>
          <w:b/>
          <w:bCs/>
        </w:rPr>
        <w:t xml:space="preserve">⚠️ ELEVATED RISK PROFILE: </w:t>
      </w:r>
      <w:r>
        <w:t xml:space="preserve">CoreWeave scores HIGH conviction due to exceptional intrinsic value asymmetry but carries significant concentration and leverage risks. Position sizing recommendation: 50% of normal allocation with strict stop-loss discipline.</w:t>
      </w:r>
    </w:p>
    <w:p>
      <w:pPr>
        <w:pStyle w:val="Heading3"/>
      </w:pPr>
      <w:r>
        <w:t xml:space="preserve">Product-Market Fit: 4.0/5</w:t>
      </w:r>
    </w:p>
    <w:p>
      <w:pPr>
        <w:spacing w:after="100"/>
      </w:pPr>
      <w:r>
        <w:t xml:space="preserve">CoreWeave provides specialized GPU cloud infrastructure optimized for AI workloads—a critical bottleneck in the AI value chain. The company pivoted from crypto mining to AI infrastructure in 2017, securing early access to NVIDIA GPUs. Revenue grew 134% YoY in Q3 2025 to $1.36B, with $55.6B in contracted backlog. Marquee customers include OpenAI, Microsoft, Meta, and NVIDIA itself.</w:t>
      </w:r>
    </w:p>
    <w:p>
      <w:pPr>
        <w:pStyle w:val="Heading3"/>
      </w:pPr>
      <w:r>
        <w:t xml:space="preserve">Competitive Moat: 3.0/5</w:t>
      </w:r>
    </w:p>
    <w:p>
      <w:pPr>
        <w:spacing w:after="100"/>
      </w:pPr>
      <w:r>
        <w:t xml:space="preserve">CoreWeave's moat is narrow and execution-dependent. The company benefits from NVIDIA's strategic backing (7% equity stake, $6.3B capacity deal) and first-mover positioning in specialized AI compute. However, hyperscalers (AWS, Azure, Google Cloud) are building competing offerings and could leverage their scale advantages. The business model requires constant capital reinvestment, creating execution risk.</w:t>
      </w:r>
    </w:p>
    <w:p>
      <w:pPr>
        <w:pStyle w:val="Heading3"/>
      </w:pPr>
      <w:r>
        <w:t xml:space="preserve">Intrinsic Value Asymmetry: 5.0/5</w:t>
      </w:r>
    </w:p>
    <w:p>
      <w:pPr>
        <w:spacing w:after="100"/>
      </w:pPr>
      <w:r>
        <w:t xml:space="preserve">This is the most compelling asymmetric opportunity in the screen, but with commensurate risk. CoreWeave trades at $74 with consensus price targets near $148 (100% upside). The $55.6B backlog provides revenue visibility through 2028. If AI infrastructure demand continues scaling, CoreWeave could achieve $28B revenue by 2028 per analyst projections. The stock has sold off 40%+ from highs, potentially creating opportunity.</w:t>
      </w:r>
    </w:p>
    <w:p>
      <w:pPr>
        <w:pStyle w:val="Heading3"/>
      </w:pPr>
      <w:r>
        <w:t xml:space="preserve">Management Quality: 3.5/5</w:t>
      </w:r>
    </w:p>
    <w:p>
      <w:pPr>
        <w:spacing w:after="100"/>
      </w:pPr>
      <w:r>
        <w:t xml:space="preserve">Founder-led with demonstrated ability to pivot (crypto → AI) and secure strategic partnerships. However, recent guidance cut due to third-party construction delays raises execution concerns. Aggressive insider selling at recent price levels suggests caution from those with most information.</w:t>
      </w:r>
    </w:p>
    <w:p>
      <w:pPr>
        <w:spacing w:after="150"/>
      </w:pPr>
      <w:r>
        <w:rPr>
          <w:b/>
          <w:bCs/>
        </w:rPr>
        <w:t xml:space="preserve">Critical Risks: </w:t>
      </w:r>
      <w:r>
        <w:t xml:space="preserve">(1) 77% revenue concentration in top 2 customers (Microsoft, OpenAI); (2) $14B debt with 7.5x debt/equity ratio; (3) Not profitable until 2027+ on GAAP basis; (4) Q4 guidance cut; (5) Hyperscalers building competing capacity; (6) Capital-intensive model vulnerable to rate environment; (7) Recent 40%+ selloff may indicate structural concerns.</w:t>
      </w:r>
    </w:p>
    <w:p>
      <w:r>
        <w:br w:type="page"/>
      </w:r>
    </w:p>
    <w:p>
      <w:pPr>
        <w:pStyle w:val="Heading1"/>
      </w:pPr>
      <w:r>
        <w:t xml:space="preserve">MEDIUM Conviction Candidates —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50"/>
        <w:gridCol w:w="5410"/>
      </w:tblGrid>
      <w:tr>
        <w:trPr>
          <w:tblHeader/>
        </w:trPr>
        <w:tc>
          <w:tcPr>
            <w:tcW w:type="dxa" w:w="1200"/>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Ticker</w:t>
            </w:r>
          </w:p>
        </w:tc>
        <w:tc>
          <w:tcPr>
            <w:tcW w:type="dxa" w:w="2000"/>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Company</w:t>
            </w:r>
          </w:p>
        </w:tc>
        <w:tc>
          <w:tcPr>
            <w:tcW w:type="dxa" w:w="750"/>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Score</w:t>
            </w:r>
          </w:p>
        </w:tc>
        <w:tc>
          <w:tcPr>
            <w:tcW w:type="dxa" w:w="5410"/>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Key Thesis / Concern</w:t>
            </w:r>
          </w:p>
        </w:tc>
      </w:tr>
      <w:tr>
        <w:tc>
          <w:tcPr>
            <w:tcW w:type="dxa" w:w="1200"/>
            <w:tcBorders>
              <w:top w:val="single" w:color="CCCCCC" w:sz="1"/>
              <w:left w:val="single" w:color="CCCCCC" w:sz="1"/>
              <w:bottom w:val="single" w:color="CCCCCC" w:sz="1"/>
              <w:right w:val="single" w:color="CCCCCC" w:sz="1"/>
            </w:tcBorders>
          </w:tcPr>
          <w:p>
            <w:r>
              <w:rPr>
                <w:b/>
                <w:bCs/>
                <w:sz w:val="17"/>
                <w:szCs w:val="17"/>
              </w:rPr>
              <w:t xml:space="preserve">CRWD</w:t>
            </w:r>
          </w:p>
        </w:tc>
        <w:tc>
          <w:tcPr>
            <w:tcW w:type="dxa" w:w="2000"/>
            <w:tcBorders>
              <w:top w:val="single" w:color="CCCCCC" w:sz="1"/>
              <w:left w:val="single" w:color="CCCCCC" w:sz="1"/>
              <w:bottom w:val="single" w:color="CCCCCC" w:sz="1"/>
              <w:right w:val="single" w:color="CCCCCC" w:sz="1"/>
            </w:tcBorders>
          </w:tcPr>
          <w:p>
            <w:r>
              <w:rPr>
                <w:sz w:val="17"/>
                <w:szCs w:val="17"/>
              </w:rPr>
              <w:t xml:space="preserve">CrowdStrike</w:t>
            </w:r>
          </w:p>
        </w:tc>
        <w:tc>
          <w:tcPr>
            <w:tcW w:type="dxa" w:w="750"/>
            <w:tcBorders>
              <w:top w:val="single" w:color="CCCCCC" w:sz="1"/>
              <w:left w:val="single" w:color="CCCCCC" w:sz="1"/>
              <w:bottom w:val="single" w:color="CCCCCC" w:sz="1"/>
              <w:right w:val="single" w:color="CCCCCC" w:sz="1"/>
            </w:tcBorders>
            <w:shd w:fill="fef3c7" w:val="clear"/>
          </w:tcPr>
          <w:p>
            <w:pPr>
              <w:jc w:val="center"/>
            </w:pPr>
            <w:r>
              <w:rPr>
                <w:sz w:val="17"/>
                <w:szCs w:val="17"/>
              </w:rPr>
              <w:t xml:space="preserve">3.95</w:t>
            </w:r>
          </w:p>
        </w:tc>
        <w:tc>
          <w:tcPr>
            <w:tcW w:type="dxa" w:w="5410"/>
            <w:tcBorders>
              <w:top w:val="single" w:color="CCCCCC" w:sz="1"/>
              <w:left w:val="single" w:color="CCCCCC" w:sz="1"/>
              <w:bottom w:val="single" w:color="CCCCCC" w:sz="1"/>
              <w:right w:val="single" w:color="CCCCCC" w:sz="1"/>
            </w:tcBorders>
          </w:tcPr>
          <w:p>
            <w:r>
              <w:rPr>
                <w:sz w:val="17"/>
                <w:szCs w:val="17"/>
              </w:rPr>
              <w:t xml:space="preserve">Best-in-class platform, $4.4B ARR, 97% retention. But: 28.5x sales, growth slowing to 20-22%, July 2024 incident overhang, much already 'discovered'</w:t>
            </w:r>
          </w:p>
        </w:tc>
      </w:tr>
      <w:tr>
        <w:tc>
          <w:tcPr>
            <w:tcW w:type="dxa" w:w="1200"/>
            <w:tcBorders>
              <w:top w:val="single" w:color="CCCCCC" w:sz="1"/>
              <w:left w:val="single" w:color="CCCCCC" w:sz="1"/>
              <w:bottom w:val="single" w:color="CCCCCC" w:sz="1"/>
              <w:right w:val="single" w:color="CCCCCC" w:sz="1"/>
            </w:tcBorders>
          </w:tcPr>
          <w:p>
            <w:r>
              <w:rPr>
                <w:b/>
                <w:bCs/>
                <w:sz w:val="17"/>
                <w:szCs w:val="17"/>
              </w:rPr>
              <w:t xml:space="preserve">NET</w:t>
            </w:r>
          </w:p>
        </w:tc>
        <w:tc>
          <w:tcPr>
            <w:tcW w:type="dxa" w:w="2000"/>
            <w:tcBorders>
              <w:top w:val="single" w:color="CCCCCC" w:sz="1"/>
              <w:left w:val="single" w:color="CCCCCC" w:sz="1"/>
              <w:bottom w:val="single" w:color="CCCCCC" w:sz="1"/>
              <w:right w:val="single" w:color="CCCCCC" w:sz="1"/>
            </w:tcBorders>
          </w:tcPr>
          <w:p>
            <w:r>
              <w:rPr>
                <w:sz w:val="17"/>
                <w:szCs w:val="17"/>
              </w:rPr>
              <w:t xml:space="preserve">Cloudflare</w:t>
            </w:r>
          </w:p>
        </w:tc>
        <w:tc>
          <w:tcPr>
            <w:tcW w:type="dxa" w:w="750"/>
            <w:tcBorders>
              <w:top w:val="single" w:color="CCCCCC" w:sz="1"/>
              <w:left w:val="single" w:color="CCCCCC" w:sz="1"/>
              <w:bottom w:val="single" w:color="CCCCCC" w:sz="1"/>
              <w:right w:val="single" w:color="CCCCCC" w:sz="1"/>
            </w:tcBorders>
            <w:shd w:fill="fef3c7" w:val="clear"/>
          </w:tcPr>
          <w:p>
            <w:pPr>
              <w:jc w:val="center"/>
            </w:pPr>
            <w:r>
              <w:rPr>
                <w:sz w:val="17"/>
                <w:szCs w:val="17"/>
              </w:rPr>
              <w:t xml:space="preserve">3.93</w:t>
            </w:r>
          </w:p>
        </w:tc>
        <w:tc>
          <w:tcPr>
            <w:tcW w:type="dxa" w:w="5410"/>
            <w:tcBorders>
              <w:top w:val="single" w:color="CCCCCC" w:sz="1"/>
              <w:left w:val="single" w:color="CCCCCC" w:sz="1"/>
              <w:bottom w:val="single" w:color="CCCCCC" w:sz="1"/>
              <w:right w:val="single" w:color="CCCCCC" w:sz="1"/>
            </w:tcBorders>
          </w:tcPr>
          <w:p>
            <w:r>
              <w:rPr>
                <w:sz w:val="17"/>
                <w:szCs w:val="17"/>
              </w:rPr>
              <w:t xml:space="preserve">Exceptional network moat, edge security + CDN. ~26% growth, 78% GM. But: R2/Workers growth slowing, high valuation, profitability timeline uncertain</w:t>
            </w:r>
          </w:p>
        </w:tc>
      </w:tr>
      <w:tr>
        <w:tc>
          <w:tcPr>
            <w:tcW w:type="dxa" w:w="1200"/>
            <w:tcBorders>
              <w:top w:val="single" w:color="CCCCCC" w:sz="1"/>
              <w:left w:val="single" w:color="CCCCCC" w:sz="1"/>
              <w:bottom w:val="single" w:color="CCCCCC" w:sz="1"/>
              <w:right w:val="single" w:color="CCCCCC" w:sz="1"/>
            </w:tcBorders>
          </w:tcPr>
          <w:p>
            <w:r>
              <w:rPr>
                <w:b/>
                <w:bCs/>
                <w:sz w:val="17"/>
                <w:szCs w:val="17"/>
              </w:rPr>
              <w:t xml:space="preserve">APPF</w:t>
            </w:r>
          </w:p>
        </w:tc>
        <w:tc>
          <w:tcPr>
            <w:tcW w:type="dxa" w:w="2000"/>
            <w:tcBorders>
              <w:top w:val="single" w:color="CCCCCC" w:sz="1"/>
              <w:left w:val="single" w:color="CCCCCC" w:sz="1"/>
              <w:bottom w:val="single" w:color="CCCCCC" w:sz="1"/>
              <w:right w:val="single" w:color="CCCCCC" w:sz="1"/>
            </w:tcBorders>
          </w:tcPr>
          <w:p>
            <w:r>
              <w:rPr>
                <w:sz w:val="17"/>
                <w:szCs w:val="17"/>
              </w:rPr>
              <w:t xml:space="preserve">AppFolio</w:t>
            </w:r>
          </w:p>
        </w:tc>
        <w:tc>
          <w:tcPr>
            <w:tcW w:type="dxa" w:w="750"/>
            <w:tcBorders>
              <w:top w:val="single" w:color="CCCCCC" w:sz="1"/>
              <w:left w:val="single" w:color="CCCCCC" w:sz="1"/>
              <w:bottom w:val="single" w:color="CCCCCC" w:sz="1"/>
              <w:right w:val="single" w:color="CCCCCC" w:sz="1"/>
            </w:tcBorders>
            <w:shd w:fill="fef3c7" w:val="clear"/>
          </w:tcPr>
          <w:p>
            <w:pPr>
              <w:jc w:val="center"/>
            </w:pPr>
            <w:r>
              <w:rPr>
                <w:sz w:val="17"/>
                <w:szCs w:val="17"/>
              </w:rPr>
              <w:t xml:space="preserve">3.90</w:t>
            </w:r>
          </w:p>
        </w:tc>
        <w:tc>
          <w:tcPr>
            <w:tcW w:type="dxa" w:w="5410"/>
            <w:tcBorders>
              <w:top w:val="single" w:color="CCCCCC" w:sz="1"/>
              <w:left w:val="single" w:color="CCCCCC" w:sz="1"/>
              <w:bottom w:val="single" w:color="CCCCCC" w:sz="1"/>
              <w:right w:val="single" w:color="CCCCCC" w:sz="1"/>
            </w:tcBorders>
          </w:tcPr>
          <w:p>
            <w:r>
              <w:rPr>
                <w:sz w:val="17"/>
                <w:szCs w:val="17"/>
              </w:rPr>
              <w:t xml:space="preserve">Property management vertical SaaS, ~25% growth, 65% GM. Strong SMB moat. But: Smaller TAM, property market sensitivity, less differentiated</w:t>
            </w:r>
          </w:p>
        </w:tc>
      </w:tr>
      <w:tr>
        <w:tc>
          <w:tcPr>
            <w:tcW w:type="dxa" w:w="1200"/>
            <w:tcBorders>
              <w:top w:val="single" w:color="CCCCCC" w:sz="1"/>
              <w:left w:val="single" w:color="CCCCCC" w:sz="1"/>
              <w:bottom w:val="single" w:color="CCCCCC" w:sz="1"/>
              <w:right w:val="single" w:color="CCCCCC" w:sz="1"/>
            </w:tcBorders>
          </w:tcPr>
          <w:p>
            <w:r>
              <w:rPr>
                <w:b/>
                <w:bCs/>
                <w:sz w:val="17"/>
                <w:szCs w:val="17"/>
              </w:rPr>
              <w:t xml:space="preserve">SNOW</w:t>
            </w:r>
          </w:p>
        </w:tc>
        <w:tc>
          <w:tcPr>
            <w:tcW w:type="dxa" w:w="2000"/>
            <w:tcBorders>
              <w:top w:val="single" w:color="CCCCCC" w:sz="1"/>
              <w:left w:val="single" w:color="CCCCCC" w:sz="1"/>
              <w:bottom w:val="single" w:color="CCCCCC" w:sz="1"/>
              <w:right w:val="single" w:color="CCCCCC" w:sz="1"/>
            </w:tcBorders>
          </w:tcPr>
          <w:p>
            <w:r>
              <w:rPr>
                <w:sz w:val="17"/>
                <w:szCs w:val="17"/>
              </w:rPr>
              <w:t xml:space="preserve">Snowflake</w:t>
            </w:r>
          </w:p>
        </w:tc>
        <w:tc>
          <w:tcPr>
            <w:tcW w:type="dxa" w:w="750"/>
            <w:tcBorders>
              <w:top w:val="single" w:color="CCCCCC" w:sz="1"/>
              <w:left w:val="single" w:color="CCCCCC" w:sz="1"/>
              <w:bottom w:val="single" w:color="CCCCCC" w:sz="1"/>
              <w:right w:val="single" w:color="CCCCCC" w:sz="1"/>
            </w:tcBorders>
            <w:shd w:fill="fef3c7" w:val="clear"/>
          </w:tcPr>
          <w:p>
            <w:pPr>
              <w:jc w:val="center"/>
            </w:pPr>
            <w:r>
              <w:rPr>
                <w:sz w:val="17"/>
                <w:szCs w:val="17"/>
              </w:rPr>
              <w:t xml:space="preserve">3.85</w:t>
            </w:r>
          </w:p>
        </w:tc>
        <w:tc>
          <w:tcPr>
            <w:tcW w:type="dxa" w:w="5410"/>
            <w:tcBorders>
              <w:top w:val="single" w:color="CCCCCC" w:sz="1"/>
              <w:left w:val="single" w:color="CCCCCC" w:sz="1"/>
              <w:bottom w:val="single" w:color="CCCCCC" w:sz="1"/>
              <w:right w:val="single" w:color="CCCCCC" w:sz="1"/>
            </w:tcBorders>
          </w:tcPr>
          <w:p>
            <w:r>
              <w:rPr>
                <w:sz w:val="17"/>
                <w:szCs w:val="17"/>
              </w:rPr>
              <w:t xml:space="preserve">AI Data Cloud leader, strong platform. But: CEO transition (Ramaswamy), 22% growth slowing, Databricks competition intensifying, high valuation</w:t>
            </w:r>
          </w:p>
        </w:tc>
      </w:tr>
      <w:tr>
        <w:tc>
          <w:tcPr>
            <w:tcW w:type="dxa" w:w="1200"/>
            <w:tcBorders>
              <w:top w:val="single" w:color="CCCCCC" w:sz="1"/>
              <w:left w:val="single" w:color="CCCCCC" w:sz="1"/>
              <w:bottom w:val="single" w:color="CCCCCC" w:sz="1"/>
              <w:right w:val="single" w:color="CCCCCC" w:sz="1"/>
            </w:tcBorders>
          </w:tcPr>
          <w:p>
            <w:r>
              <w:rPr>
                <w:b/>
                <w:bCs/>
                <w:sz w:val="17"/>
                <w:szCs w:val="17"/>
              </w:rPr>
              <w:t xml:space="preserve">APLD</w:t>
            </w:r>
          </w:p>
        </w:tc>
        <w:tc>
          <w:tcPr>
            <w:tcW w:type="dxa" w:w="2000"/>
            <w:tcBorders>
              <w:top w:val="single" w:color="CCCCCC" w:sz="1"/>
              <w:left w:val="single" w:color="CCCCCC" w:sz="1"/>
              <w:bottom w:val="single" w:color="CCCCCC" w:sz="1"/>
              <w:right w:val="single" w:color="CCCCCC" w:sz="1"/>
            </w:tcBorders>
          </w:tcPr>
          <w:p>
            <w:r>
              <w:rPr>
                <w:sz w:val="17"/>
                <w:szCs w:val="17"/>
              </w:rPr>
              <w:t xml:space="preserve">Applied Digital</w:t>
            </w:r>
          </w:p>
        </w:tc>
        <w:tc>
          <w:tcPr>
            <w:tcW w:type="dxa" w:w="750"/>
            <w:tcBorders>
              <w:top w:val="single" w:color="CCCCCC" w:sz="1"/>
              <w:left w:val="single" w:color="CCCCCC" w:sz="1"/>
              <w:bottom w:val="single" w:color="CCCCCC" w:sz="1"/>
              <w:right w:val="single" w:color="CCCCCC" w:sz="1"/>
            </w:tcBorders>
            <w:shd w:fill="fef3c7" w:val="clear"/>
          </w:tcPr>
          <w:p>
            <w:pPr>
              <w:jc w:val="center"/>
            </w:pPr>
            <w:r>
              <w:rPr>
                <w:sz w:val="17"/>
                <w:szCs w:val="17"/>
              </w:rPr>
              <w:t xml:space="preserve">3.75</w:t>
            </w:r>
          </w:p>
        </w:tc>
        <w:tc>
          <w:tcPr>
            <w:tcW w:type="dxa" w:w="5410"/>
            <w:tcBorders>
              <w:top w:val="single" w:color="CCCCCC" w:sz="1"/>
              <w:left w:val="single" w:color="CCCCCC" w:sz="1"/>
              <w:bottom w:val="single" w:color="CCCCCC" w:sz="1"/>
              <w:right w:val="single" w:color="CCCCCC" w:sz="1"/>
            </w:tcBorders>
          </w:tcPr>
          <w:p>
            <w:r>
              <w:rPr>
                <w:sz w:val="17"/>
                <w:szCs w:val="17"/>
              </w:rPr>
              <w:t xml:space="preserve">AI data center builder, 41% growth. But: Capital-intensive, execution risk, smaller scale vs CoreWeave, funding uncertainty, crypto legacy</w:t>
            </w:r>
          </w:p>
        </w:tc>
      </w:tr>
      <w:tr>
        <w:tc>
          <w:tcPr>
            <w:tcW w:type="dxa" w:w="1200"/>
            <w:tcBorders>
              <w:top w:val="single" w:color="CCCCCC" w:sz="1"/>
              <w:left w:val="single" w:color="CCCCCC" w:sz="1"/>
              <w:bottom w:val="single" w:color="CCCCCC" w:sz="1"/>
              <w:right w:val="single" w:color="CCCCCC" w:sz="1"/>
            </w:tcBorders>
          </w:tcPr>
          <w:p>
            <w:r>
              <w:rPr>
                <w:b/>
                <w:bCs/>
                <w:sz w:val="17"/>
                <w:szCs w:val="17"/>
              </w:rPr>
              <w:t xml:space="preserve">VEEV</w:t>
            </w:r>
          </w:p>
        </w:tc>
        <w:tc>
          <w:tcPr>
            <w:tcW w:type="dxa" w:w="2000"/>
            <w:tcBorders>
              <w:top w:val="single" w:color="CCCCCC" w:sz="1"/>
              <w:left w:val="single" w:color="CCCCCC" w:sz="1"/>
              <w:bottom w:val="single" w:color="CCCCCC" w:sz="1"/>
              <w:right w:val="single" w:color="CCCCCC" w:sz="1"/>
            </w:tcBorders>
          </w:tcPr>
          <w:p>
            <w:r>
              <w:rPr>
                <w:sz w:val="17"/>
                <w:szCs w:val="17"/>
              </w:rPr>
              <w:t xml:space="preserve">Veeva Systems</w:t>
            </w:r>
          </w:p>
        </w:tc>
        <w:tc>
          <w:tcPr>
            <w:tcW w:type="dxa" w:w="750"/>
            <w:tcBorders>
              <w:top w:val="single" w:color="CCCCCC" w:sz="1"/>
              <w:left w:val="single" w:color="CCCCCC" w:sz="1"/>
              <w:bottom w:val="single" w:color="CCCCCC" w:sz="1"/>
              <w:right w:val="single" w:color="CCCCCC" w:sz="1"/>
            </w:tcBorders>
            <w:shd w:fill="fef3c7" w:val="clear"/>
          </w:tcPr>
          <w:p>
            <w:pPr>
              <w:jc w:val="center"/>
            </w:pPr>
            <w:r>
              <w:rPr>
                <w:sz w:val="17"/>
                <w:szCs w:val="17"/>
              </w:rPr>
              <w:t xml:space="preserve">3.70</w:t>
            </w:r>
          </w:p>
        </w:tc>
        <w:tc>
          <w:tcPr>
            <w:tcW w:type="dxa" w:w="5410"/>
            <w:tcBorders>
              <w:top w:val="single" w:color="CCCCCC" w:sz="1"/>
              <w:left w:val="single" w:color="CCCCCC" w:sz="1"/>
              <w:bottom w:val="single" w:color="CCCCCC" w:sz="1"/>
              <w:right w:val="single" w:color="CCCCCC" w:sz="1"/>
            </w:tcBorders>
          </w:tcPr>
          <w:p>
            <w:r>
              <w:rPr>
                <w:sz w:val="17"/>
                <w:szCs w:val="17"/>
              </w:rPr>
              <w:t xml:space="preserve">Life sciences vertical leader, $2.45B revenue, 72% GM. Dominant moat. But: ~15% growth maturing, high penetration in core market, limited TAM expansion</w:t>
            </w:r>
          </w:p>
        </w:tc>
      </w:tr>
      <w:tr>
        <w:tc>
          <w:tcPr>
            <w:tcW w:type="dxa" w:w="1200"/>
            <w:tcBorders>
              <w:top w:val="single" w:color="CCCCCC" w:sz="1"/>
              <w:left w:val="single" w:color="CCCCCC" w:sz="1"/>
              <w:bottom w:val="single" w:color="CCCCCC" w:sz="1"/>
              <w:right w:val="single" w:color="CCCCCC" w:sz="1"/>
            </w:tcBorders>
          </w:tcPr>
          <w:p>
            <w:r>
              <w:rPr>
                <w:b/>
                <w:bCs/>
                <w:sz w:val="17"/>
                <w:szCs w:val="17"/>
              </w:rPr>
              <w:t xml:space="preserve">APH</w:t>
            </w:r>
          </w:p>
        </w:tc>
        <w:tc>
          <w:tcPr>
            <w:tcW w:type="dxa" w:w="2000"/>
            <w:tcBorders>
              <w:top w:val="single" w:color="CCCCCC" w:sz="1"/>
              <w:left w:val="single" w:color="CCCCCC" w:sz="1"/>
              <w:bottom w:val="single" w:color="CCCCCC" w:sz="1"/>
              <w:right w:val="single" w:color="CCCCCC" w:sz="1"/>
            </w:tcBorders>
          </w:tcPr>
          <w:p>
            <w:r>
              <w:rPr>
                <w:sz w:val="17"/>
                <w:szCs w:val="17"/>
              </w:rPr>
              <w:t xml:space="preserve">Amphenol</w:t>
            </w:r>
          </w:p>
        </w:tc>
        <w:tc>
          <w:tcPr>
            <w:tcW w:type="dxa" w:w="750"/>
            <w:tcBorders>
              <w:top w:val="single" w:color="CCCCCC" w:sz="1"/>
              <w:left w:val="single" w:color="CCCCCC" w:sz="1"/>
              <w:bottom w:val="single" w:color="CCCCCC" w:sz="1"/>
              <w:right w:val="single" w:color="CCCCCC" w:sz="1"/>
            </w:tcBorders>
            <w:shd w:fill="fef3c7" w:val="clear"/>
          </w:tcPr>
          <w:p>
            <w:pPr>
              <w:jc w:val="center"/>
            </w:pPr>
            <w:r>
              <w:rPr>
                <w:sz w:val="17"/>
                <w:szCs w:val="17"/>
              </w:rPr>
              <w:t xml:space="preserve">3.65</w:t>
            </w:r>
          </w:p>
        </w:tc>
        <w:tc>
          <w:tcPr>
            <w:tcW w:type="dxa" w:w="5410"/>
            <w:tcBorders>
              <w:top w:val="single" w:color="CCCCCC" w:sz="1"/>
              <w:left w:val="single" w:color="CCCCCC" w:sz="1"/>
              <w:bottom w:val="single" w:color="CCCCCC" w:sz="1"/>
              <w:right w:val="single" w:color="CCCCCC" w:sz="1"/>
            </w:tcBorders>
          </w:tcPr>
          <w:p>
            <w:r>
              <w:rPr>
                <w:sz w:val="17"/>
                <w:szCs w:val="17"/>
              </w:rPr>
              <w:t xml:space="preserve">Connector/networking leader, AI data center exposure. Strong execution. But: ~13% CAGR, industrial conglomerate diversification, lower growth profile</w:t>
            </w:r>
          </w:p>
        </w:tc>
      </w:tr>
      <w:tr>
        <w:tc>
          <w:tcPr>
            <w:tcW w:type="dxa" w:w="1200"/>
            <w:tcBorders>
              <w:top w:val="single" w:color="CCCCCC" w:sz="1"/>
              <w:left w:val="single" w:color="CCCCCC" w:sz="1"/>
              <w:bottom w:val="single" w:color="CCCCCC" w:sz="1"/>
              <w:right w:val="single" w:color="CCCCCC" w:sz="1"/>
            </w:tcBorders>
          </w:tcPr>
          <w:p>
            <w:r>
              <w:rPr>
                <w:b/>
                <w:bCs/>
                <w:sz w:val="17"/>
                <w:szCs w:val="17"/>
              </w:rPr>
              <w:t xml:space="preserve">CYBR</w:t>
            </w:r>
          </w:p>
        </w:tc>
        <w:tc>
          <w:tcPr>
            <w:tcW w:type="dxa" w:w="2000"/>
            <w:tcBorders>
              <w:top w:val="single" w:color="CCCCCC" w:sz="1"/>
              <w:left w:val="single" w:color="CCCCCC" w:sz="1"/>
              <w:bottom w:val="single" w:color="CCCCCC" w:sz="1"/>
              <w:right w:val="single" w:color="CCCCCC" w:sz="1"/>
            </w:tcBorders>
          </w:tcPr>
          <w:p>
            <w:r>
              <w:rPr>
                <w:sz w:val="17"/>
                <w:szCs w:val="17"/>
              </w:rPr>
              <w:t xml:space="preserve">CyberArk</w:t>
            </w:r>
          </w:p>
        </w:tc>
        <w:tc>
          <w:tcPr>
            <w:tcW w:type="dxa" w:w="750"/>
            <w:tcBorders>
              <w:top w:val="single" w:color="CCCCCC" w:sz="1"/>
              <w:left w:val="single" w:color="CCCCCC" w:sz="1"/>
              <w:bottom w:val="single" w:color="CCCCCC" w:sz="1"/>
              <w:right w:val="single" w:color="CCCCCC" w:sz="1"/>
            </w:tcBorders>
            <w:shd w:fill="fef3c7" w:val="clear"/>
          </w:tcPr>
          <w:p>
            <w:pPr>
              <w:jc w:val="center"/>
            </w:pPr>
            <w:r>
              <w:rPr>
                <w:sz w:val="17"/>
                <w:szCs w:val="17"/>
              </w:rPr>
              <w:t xml:space="preserve">3.60</w:t>
            </w:r>
          </w:p>
        </w:tc>
        <w:tc>
          <w:tcPr>
            <w:tcW w:type="dxa" w:w="5410"/>
            <w:tcBorders>
              <w:top w:val="single" w:color="CCCCCC" w:sz="1"/>
              <w:left w:val="single" w:color="CCCCCC" w:sz="1"/>
              <w:bottom w:val="single" w:color="CCCCCC" w:sz="1"/>
              <w:right w:val="single" w:color="CCCCCC" w:sz="1"/>
            </w:tcBorders>
          </w:tcPr>
          <w:p>
            <w:r>
              <w:rPr>
                <w:sz w:val="17"/>
                <w:szCs w:val="17"/>
              </w:rPr>
              <w:t xml:space="preserve">Identity security leader, 46% subscription growth, $1.27B ARR. But: Pending Palo Alto acquisition creates uncertainty, acquisition price ceiling</w:t>
            </w:r>
          </w:p>
        </w:tc>
      </w:tr>
    </w:tbl>
    <w:p>
      <w:r>
        <w:br w:type="page"/>
      </w:r>
    </w:p>
    <w:p>
      <w:pPr>
        <w:pStyle w:val="Heading1"/>
      </w:pPr>
      <w:r>
        <w:t xml:space="preserve">LOW Conviction Candidates</w:t>
      </w:r>
    </w:p>
    <w:p>
      <w:pPr>
        <w:spacing w:after="100"/>
      </w:pPr>
      <w:r>
        <w:t xml:space="preserve">The following candidates scored below 3.5 and are not recommended for further analysis at this time. Primary concerns noted for each: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50"/>
        <w:gridCol w:w="5410"/>
      </w:tblGrid>
      <w:tr>
        <w:trPr>
          <w:tblHeader/>
        </w:trPr>
        <w:tc>
          <w:tcPr>
            <w:tcW w:type="dxa" w:w="1200"/>
            <w:tcBorders>
              <w:top w:val="single" w:color="CCCCCC" w:sz="1"/>
              <w:left w:val="single" w:color="CCCCCC" w:sz="1"/>
              <w:bottom w:val="single" w:color="CCCCCC" w:sz="1"/>
              <w:right w:val="single" w:color="CCCCCC" w:sz="1"/>
            </w:tcBorders>
            <w:shd w:fill="718096" w:val="clear"/>
          </w:tcPr>
          <w:p>
            <w:pPr>
              <w:jc w:val="center"/>
            </w:pPr>
            <w:r>
              <w:rPr>
                <w:b/>
                <w:bCs/>
                <w:color w:val="FFFFFF"/>
                <w:sz w:val="18"/>
                <w:szCs w:val="18"/>
              </w:rPr>
              <w:t xml:space="preserve">Ticker</w:t>
            </w:r>
          </w:p>
        </w:tc>
        <w:tc>
          <w:tcPr>
            <w:tcW w:type="dxa" w:w="2000"/>
            <w:tcBorders>
              <w:top w:val="single" w:color="CCCCCC" w:sz="1"/>
              <w:left w:val="single" w:color="CCCCCC" w:sz="1"/>
              <w:bottom w:val="single" w:color="CCCCCC" w:sz="1"/>
              <w:right w:val="single" w:color="CCCCCC" w:sz="1"/>
            </w:tcBorders>
            <w:shd w:fill="718096" w:val="clear"/>
          </w:tcPr>
          <w:p>
            <w:pPr>
              <w:jc w:val="center"/>
            </w:pPr>
            <w:r>
              <w:rPr>
                <w:b/>
                <w:bCs/>
                <w:color w:val="FFFFFF"/>
                <w:sz w:val="18"/>
                <w:szCs w:val="18"/>
              </w:rPr>
              <w:t xml:space="preserve">Company</w:t>
            </w:r>
          </w:p>
        </w:tc>
        <w:tc>
          <w:tcPr>
            <w:tcW w:type="dxa" w:w="750"/>
            <w:tcBorders>
              <w:top w:val="single" w:color="CCCCCC" w:sz="1"/>
              <w:left w:val="single" w:color="CCCCCC" w:sz="1"/>
              <w:bottom w:val="single" w:color="CCCCCC" w:sz="1"/>
              <w:right w:val="single" w:color="CCCCCC" w:sz="1"/>
            </w:tcBorders>
            <w:shd w:fill="718096" w:val="clear"/>
          </w:tcPr>
          <w:p>
            <w:pPr>
              <w:jc w:val="center"/>
            </w:pPr>
            <w:r>
              <w:rPr>
                <w:b/>
                <w:bCs/>
                <w:color w:val="FFFFFF"/>
                <w:sz w:val="18"/>
                <w:szCs w:val="18"/>
              </w:rPr>
              <w:t xml:space="preserve">Score</w:t>
            </w:r>
          </w:p>
        </w:tc>
        <w:tc>
          <w:tcPr>
            <w:tcW w:type="dxa" w:w="5410"/>
            <w:tcBorders>
              <w:top w:val="single" w:color="CCCCCC" w:sz="1"/>
              <w:left w:val="single" w:color="CCCCCC" w:sz="1"/>
              <w:bottom w:val="single" w:color="CCCCCC" w:sz="1"/>
              <w:right w:val="single" w:color="CCCCCC" w:sz="1"/>
            </w:tcBorders>
            <w:shd w:fill="718096" w:val="clear"/>
          </w:tcPr>
          <w:p>
            <w:pPr>
              <w:jc w:val="center"/>
            </w:pPr>
            <w:r>
              <w:rPr>
                <w:b/>
                <w:bCs/>
                <w:color w:val="FFFFFF"/>
                <w:sz w:val="18"/>
                <w:szCs w:val="18"/>
              </w:rPr>
              <w:t xml:space="preserve">Primary Concern</w:t>
            </w:r>
          </w:p>
        </w:tc>
      </w:tr>
      <w:tr>
        <w:tc>
          <w:tcPr>
            <w:tcW w:type="dxa" w:w="1200"/>
            <w:tcBorders>
              <w:top w:val="single" w:color="CCCCCC" w:sz="1"/>
              <w:left w:val="single" w:color="CCCCCC" w:sz="1"/>
              <w:bottom w:val="single" w:color="CCCCCC" w:sz="1"/>
              <w:right w:val="single" w:color="CCCCCC" w:sz="1"/>
            </w:tcBorders>
          </w:tcPr>
          <w:p>
            <w:r>
              <w:rPr>
                <w:sz w:val="17"/>
                <w:szCs w:val="17"/>
              </w:rPr>
              <w:t xml:space="preserve">SAIL</w:t>
            </w:r>
          </w:p>
        </w:tc>
        <w:tc>
          <w:tcPr>
            <w:tcW w:type="dxa" w:w="2000"/>
            <w:tcBorders>
              <w:top w:val="single" w:color="CCCCCC" w:sz="1"/>
              <w:left w:val="single" w:color="CCCCCC" w:sz="1"/>
              <w:bottom w:val="single" w:color="CCCCCC" w:sz="1"/>
              <w:right w:val="single" w:color="CCCCCC" w:sz="1"/>
            </w:tcBorders>
          </w:tcPr>
          <w:p>
            <w:r>
              <w:rPr>
                <w:sz w:val="17"/>
                <w:szCs w:val="17"/>
              </w:rPr>
              <w:t xml:space="preserve">SailPoint</w:t>
            </w:r>
          </w:p>
        </w:tc>
        <w:tc>
          <w:tcPr>
            <w:tcW w:type="dxa" w:w="750"/>
            <w:tcBorders>
              <w:top w:val="single" w:color="CCCCCC" w:sz="1"/>
              <w:left w:val="single" w:color="CCCCCC" w:sz="1"/>
              <w:bottom w:val="single" w:color="CCCCCC" w:sz="1"/>
              <w:right w:val="single" w:color="CCCCCC" w:sz="1"/>
            </w:tcBorders>
            <w:shd w:fill="fed7d7" w:val="clear"/>
          </w:tcPr>
          <w:p>
            <w:pPr>
              <w:jc w:val="center"/>
            </w:pPr>
            <w:r>
              <w:rPr>
                <w:sz w:val="17"/>
                <w:szCs w:val="17"/>
              </w:rPr>
              <w:t xml:space="preserve">3.45</w:t>
            </w:r>
          </w:p>
        </w:tc>
        <w:tc>
          <w:tcPr>
            <w:tcW w:type="dxa" w:w="5410"/>
            <w:tcBorders>
              <w:top w:val="single" w:color="CCCCCC" w:sz="1"/>
              <w:left w:val="single" w:color="CCCCCC" w:sz="1"/>
              <w:bottom w:val="single" w:color="CCCCCC" w:sz="1"/>
              <w:right w:val="single" w:color="CCCCCC" w:sz="1"/>
            </w:tcBorders>
          </w:tcPr>
          <w:p>
            <w:r>
              <w:rPr>
                <w:sz w:val="17"/>
                <w:szCs w:val="17"/>
              </w:rPr>
              <w:t xml:space="preserve">Private equity-backed (Thoma Bravo), limited public market upside, narrow identity niche</w:t>
            </w:r>
          </w:p>
        </w:tc>
      </w:tr>
      <w:tr>
        <w:tc>
          <w:tcPr>
            <w:tcW w:type="dxa" w:w="1200"/>
            <w:tcBorders>
              <w:top w:val="single" w:color="CCCCCC" w:sz="1"/>
              <w:left w:val="single" w:color="CCCCCC" w:sz="1"/>
              <w:bottom w:val="single" w:color="CCCCCC" w:sz="1"/>
              <w:right w:val="single" w:color="CCCCCC" w:sz="1"/>
            </w:tcBorders>
          </w:tcPr>
          <w:p>
            <w:r>
              <w:rPr>
                <w:sz w:val="17"/>
                <w:szCs w:val="17"/>
              </w:rPr>
              <w:t xml:space="preserve">OKTA</w:t>
            </w:r>
          </w:p>
        </w:tc>
        <w:tc>
          <w:tcPr>
            <w:tcW w:type="dxa" w:w="2000"/>
            <w:tcBorders>
              <w:top w:val="single" w:color="CCCCCC" w:sz="1"/>
              <w:left w:val="single" w:color="CCCCCC" w:sz="1"/>
              <w:bottom w:val="single" w:color="CCCCCC" w:sz="1"/>
              <w:right w:val="single" w:color="CCCCCC" w:sz="1"/>
            </w:tcBorders>
          </w:tcPr>
          <w:p>
            <w:r>
              <w:rPr>
                <w:sz w:val="17"/>
                <w:szCs w:val="17"/>
              </w:rPr>
              <w:t xml:space="preserve">Okta</w:t>
            </w:r>
          </w:p>
        </w:tc>
        <w:tc>
          <w:tcPr>
            <w:tcW w:type="dxa" w:w="750"/>
            <w:tcBorders>
              <w:top w:val="single" w:color="CCCCCC" w:sz="1"/>
              <w:left w:val="single" w:color="CCCCCC" w:sz="1"/>
              <w:bottom w:val="single" w:color="CCCCCC" w:sz="1"/>
              <w:right w:val="single" w:color="CCCCCC" w:sz="1"/>
            </w:tcBorders>
            <w:shd w:fill="fed7d7" w:val="clear"/>
          </w:tcPr>
          <w:p>
            <w:pPr>
              <w:jc w:val="center"/>
            </w:pPr>
            <w:r>
              <w:rPr>
                <w:sz w:val="17"/>
                <w:szCs w:val="17"/>
              </w:rPr>
              <w:t xml:space="preserve">3.40</w:t>
            </w:r>
          </w:p>
        </w:tc>
        <w:tc>
          <w:tcPr>
            <w:tcW w:type="dxa" w:w="5410"/>
            <w:tcBorders>
              <w:top w:val="single" w:color="CCCCCC" w:sz="1"/>
              <w:left w:val="single" w:color="CCCCCC" w:sz="1"/>
              <w:bottom w:val="single" w:color="CCCCCC" w:sz="1"/>
              <w:right w:val="single" w:color="CCCCCC" w:sz="1"/>
            </w:tcBorders>
          </w:tcPr>
          <w:p>
            <w:r>
              <w:rPr>
                <w:sz w:val="17"/>
                <w:szCs w:val="17"/>
              </w:rPr>
              <w:t xml:space="preserve">Growth decelerated to ~15%, Auth0 integration challenges, identity space increasingly competitive</w:t>
            </w:r>
          </w:p>
        </w:tc>
      </w:tr>
      <w:tr>
        <w:tc>
          <w:tcPr>
            <w:tcW w:type="dxa" w:w="1200"/>
            <w:tcBorders>
              <w:top w:val="single" w:color="CCCCCC" w:sz="1"/>
              <w:left w:val="single" w:color="CCCCCC" w:sz="1"/>
              <w:bottom w:val="single" w:color="CCCCCC" w:sz="1"/>
              <w:right w:val="single" w:color="CCCCCC" w:sz="1"/>
            </w:tcBorders>
          </w:tcPr>
          <w:p>
            <w:r>
              <w:rPr>
                <w:sz w:val="17"/>
                <w:szCs w:val="17"/>
              </w:rPr>
              <w:t xml:space="preserve">MDB</w:t>
            </w:r>
          </w:p>
        </w:tc>
        <w:tc>
          <w:tcPr>
            <w:tcW w:type="dxa" w:w="2000"/>
            <w:tcBorders>
              <w:top w:val="single" w:color="CCCCCC" w:sz="1"/>
              <w:left w:val="single" w:color="CCCCCC" w:sz="1"/>
              <w:bottom w:val="single" w:color="CCCCCC" w:sz="1"/>
              <w:right w:val="single" w:color="CCCCCC" w:sz="1"/>
            </w:tcBorders>
          </w:tcPr>
          <w:p>
            <w:r>
              <w:rPr>
                <w:sz w:val="17"/>
                <w:szCs w:val="17"/>
              </w:rPr>
              <w:t xml:space="preserve">MongoDB</w:t>
            </w:r>
          </w:p>
        </w:tc>
        <w:tc>
          <w:tcPr>
            <w:tcW w:type="dxa" w:w="750"/>
            <w:tcBorders>
              <w:top w:val="single" w:color="CCCCCC" w:sz="1"/>
              <w:left w:val="single" w:color="CCCCCC" w:sz="1"/>
              <w:bottom w:val="single" w:color="CCCCCC" w:sz="1"/>
              <w:right w:val="single" w:color="CCCCCC" w:sz="1"/>
            </w:tcBorders>
            <w:shd w:fill="fed7d7" w:val="clear"/>
          </w:tcPr>
          <w:p>
            <w:pPr>
              <w:jc w:val="center"/>
            </w:pPr>
            <w:r>
              <w:rPr>
                <w:sz w:val="17"/>
                <w:szCs w:val="17"/>
              </w:rPr>
              <w:t xml:space="preserve">3.35</w:t>
            </w:r>
          </w:p>
        </w:tc>
        <w:tc>
          <w:tcPr>
            <w:tcW w:type="dxa" w:w="5410"/>
            <w:tcBorders>
              <w:top w:val="single" w:color="CCCCCC" w:sz="1"/>
              <w:left w:val="single" w:color="CCCCCC" w:sz="1"/>
              <w:bottom w:val="single" w:color="CCCCCC" w:sz="1"/>
              <w:right w:val="single" w:color="CCCCCC" w:sz="1"/>
            </w:tcBorders>
          </w:tcPr>
          <w:p>
            <w:r>
              <w:rPr>
                <w:sz w:val="17"/>
                <w:szCs w:val="17"/>
              </w:rPr>
              <w:t xml:space="preserve">Growth slowed to ~15%, cloud database competition intense, licensing concerns with AI models</w:t>
            </w:r>
          </w:p>
        </w:tc>
      </w:tr>
      <w:tr>
        <w:tc>
          <w:tcPr>
            <w:tcW w:type="dxa" w:w="1200"/>
            <w:tcBorders>
              <w:top w:val="single" w:color="CCCCCC" w:sz="1"/>
              <w:left w:val="single" w:color="CCCCCC" w:sz="1"/>
              <w:bottom w:val="single" w:color="CCCCCC" w:sz="1"/>
              <w:right w:val="single" w:color="CCCCCC" w:sz="1"/>
            </w:tcBorders>
          </w:tcPr>
          <w:p>
            <w:r>
              <w:rPr>
                <w:sz w:val="17"/>
                <w:szCs w:val="17"/>
              </w:rPr>
              <w:t xml:space="preserve">PATH</w:t>
            </w:r>
          </w:p>
        </w:tc>
        <w:tc>
          <w:tcPr>
            <w:tcW w:type="dxa" w:w="2000"/>
            <w:tcBorders>
              <w:top w:val="single" w:color="CCCCCC" w:sz="1"/>
              <w:left w:val="single" w:color="CCCCCC" w:sz="1"/>
              <w:bottom w:val="single" w:color="CCCCCC" w:sz="1"/>
              <w:right w:val="single" w:color="CCCCCC" w:sz="1"/>
            </w:tcBorders>
          </w:tcPr>
          <w:p>
            <w:r>
              <w:rPr>
                <w:sz w:val="17"/>
                <w:szCs w:val="17"/>
              </w:rPr>
              <w:t xml:space="preserve">UiPath</w:t>
            </w:r>
          </w:p>
        </w:tc>
        <w:tc>
          <w:tcPr>
            <w:tcW w:type="dxa" w:w="750"/>
            <w:tcBorders>
              <w:top w:val="single" w:color="CCCCCC" w:sz="1"/>
              <w:left w:val="single" w:color="CCCCCC" w:sz="1"/>
              <w:bottom w:val="single" w:color="CCCCCC" w:sz="1"/>
              <w:right w:val="single" w:color="CCCCCC" w:sz="1"/>
            </w:tcBorders>
            <w:shd w:fill="fed7d7" w:val="clear"/>
          </w:tcPr>
          <w:p>
            <w:pPr>
              <w:jc w:val="center"/>
            </w:pPr>
            <w:r>
              <w:rPr>
                <w:sz w:val="17"/>
                <w:szCs w:val="17"/>
              </w:rPr>
              <w:t xml:space="preserve">3.30</w:t>
            </w:r>
          </w:p>
        </w:tc>
        <w:tc>
          <w:tcPr>
            <w:tcW w:type="dxa" w:w="5410"/>
            <w:tcBorders>
              <w:top w:val="single" w:color="CCCCCC" w:sz="1"/>
              <w:left w:val="single" w:color="CCCCCC" w:sz="1"/>
              <w:bottom w:val="single" w:color="CCCCCC" w:sz="1"/>
              <w:right w:val="single" w:color="CCCCCC" w:sz="1"/>
            </w:tcBorders>
          </w:tcPr>
          <w:p>
            <w:r>
              <w:rPr>
                <w:sz w:val="17"/>
                <w:szCs w:val="17"/>
              </w:rPr>
              <w:t xml:space="preserve">RPA market disrupted by AI agents, ~10% growth stagnant, unclear AI agent strategy</w:t>
            </w:r>
          </w:p>
        </w:tc>
      </w:tr>
      <w:tr>
        <w:tc>
          <w:tcPr>
            <w:tcW w:type="dxa" w:w="1200"/>
            <w:tcBorders>
              <w:top w:val="single" w:color="CCCCCC" w:sz="1"/>
              <w:left w:val="single" w:color="CCCCCC" w:sz="1"/>
              <w:bottom w:val="single" w:color="CCCCCC" w:sz="1"/>
              <w:right w:val="single" w:color="CCCCCC" w:sz="1"/>
            </w:tcBorders>
          </w:tcPr>
          <w:p>
            <w:r>
              <w:rPr>
                <w:sz w:val="17"/>
                <w:szCs w:val="17"/>
              </w:rPr>
              <w:t xml:space="preserve">TEAM</w:t>
            </w:r>
          </w:p>
        </w:tc>
        <w:tc>
          <w:tcPr>
            <w:tcW w:type="dxa" w:w="2000"/>
            <w:tcBorders>
              <w:top w:val="single" w:color="CCCCCC" w:sz="1"/>
              <w:left w:val="single" w:color="CCCCCC" w:sz="1"/>
              <w:bottom w:val="single" w:color="CCCCCC" w:sz="1"/>
              <w:right w:val="single" w:color="CCCCCC" w:sz="1"/>
            </w:tcBorders>
          </w:tcPr>
          <w:p>
            <w:r>
              <w:rPr>
                <w:sz w:val="17"/>
                <w:szCs w:val="17"/>
              </w:rPr>
              <w:t xml:space="preserve">Atlassian</w:t>
            </w:r>
          </w:p>
        </w:tc>
        <w:tc>
          <w:tcPr>
            <w:tcW w:type="dxa" w:w="750"/>
            <w:tcBorders>
              <w:top w:val="single" w:color="CCCCCC" w:sz="1"/>
              <w:left w:val="single" w:color="CCCCCC" w:sz="1"/>
              <w:bottom w:val="single" w:color="CCCCCC" w:sz="1"/>
              <w:right w:val="single" w:color="CCCCCC" w:sz="1"/>
            </w:tcBorders>
            <w:shd w:fill="fed7d7" w:val="clear"/>
          </w:tcPr>
          <w:p>
            <w:pPr>
              <w:jc w:val="center"/>
            </w:pPr>
            <w:r>
              <w:rPr>
                <w:sz w:val="17"/>
                <w:szCs w:val="17"/>
              </w:rPr>
              <w:t xml:space="preserve">3.25</w:t>
            </w:r>
          </w:p>
        </w:tc>
        <w:tc>
          <w:tcPr>
            <w:tcW w:type="dxa" w:w="5410"/>
            <w:tcBorders>
              <w:top w:val="single" w:color="CCCCCC" w:sz="1"/>
              <w:left w:val="single" w:color="CCCCCC" w:sz="1"/>
              <w:bottom w:val="single" w:color="CCCCCC" w:sz="1"/>
              <w:right w:val="single" w:color="CCCCCC" w:sz="1"/>
            </w:tcBorders>
          </w:tcPr>
          <w:p>
            <w:r>
              <w:rPr>
                <w:sz w:val="17"/>
                <w:szCs w:val="17"/>
              </w:rPr>
              <w:t xml:space="preserve">Mature business, ~20% growth decelerating, AI Copilot commoditizing developer tools</w:t>
            </w:r>
          </w:p>
        </w:tc>
      </w:tr>
      <w:tr>
        <w:tc>
          <w:tcPr>
            <w:tcW w:type="dxa" w:w="1200"/>
            <w:tcBorders>
              <w:top w:val="single" w:color="CCCCCC" w:sz="1"/>
              <w:left w:val="single" w:color="CCCCCC" w:sz="1"/>
              <w:bottom w:val="single" w:color="CCCCCC" w:sz="1"/>
              <w:right w:val="single" w:color="CCCCCC" w:sz="1"/>
            </w:tcBorders>
          </w:tcPr>
          <w:p>
            <w:r>
              <w:rPr>
                <w:sz w:val="17"/>
                <w:szCs w:val="17"/>
              </w:rPr>
              <w:t xml:space="preserve">QLYS</w:t>
            </w:r>
          </w:p>
        </w:tc>
        <w:tc>
          <w:tcPr>
            <w:tcW w:type="dxa" w:w="2000"/>
            <w:tcBorders>
              <w:top w:val="single" w:color="CCCCCC" w:sz="1"/>
              <w:left w:val="single" w:color="CCCCCC" w:sz="1"/>
              <w:bottom w:val="single" w:color="CCCCCC" w:sz="1"/>
              <w:right w:val="single" w:color="CCCCCC" w:sz="1"/>
            </w:tcBorders>
          </w:tcPr>
          <w:p>
            <w:r>
              <w:rPr>
                <w:sz w:val="17"/>
                <w:szCs w:val="17"/>
              </w:rPr>
              <w:t xml:space="preserve">Qualys</w:t>
            </w:r>
          </w:p>
        </w:tc>
        <w:tc>
          <w:tcPr>
            <w:tcW w:type="dxa" w:w="750"/>
            <w:tcBorders>
              <w:top w:val="single" w:color="CCCCCC" w:sz="1"/>
              <w:left w:val="single" w:color="CCCCCC" w:sz="1"/>
              <w:bottom w:val="single" w:color="CCCCCC" w:sz="1"/>
              <w:right w:val="single" w:color="CCCCCC" w:sz="1"/>
            </w:tcBorders>
            <w:shd w:fill="fed7d7" w:val="clear"/>
          </w:tcPr>
          <w:p>
            <w:pPr>
              <w:jc w:val="center"/>
            </w:pPr>
            <w:r>
              <w:rPr>
                <w:sz w:val="17"/>
                <w:szCs w:val="17"/>
              </w:rPr>
              <w:t xml:space="preserve">3.20</w:t>
            </w:r>
          </w:p>
        </w:tc>
        <w:tc>
          <w:tcPr>
            <w:tcW w:type="dxa" w:w="5410"/>
            <w:tcBorders>
              <w:top w:val="single" w:color="CCCCCC" w:sz="1"/>
              <w:left w:val="single" w:color="CCCCCC" w:sz="1"/>
              <w:bottom w:val="single" w:color="CCCCCC" w:sz="1"/>
              <w:right w:val="single" w:color="CCCCCC" w:sz="1"/>
            </w:tcBorders>
          </w:tcPr>
          <w:p>
            <w:r>
              <w:rPr>
                <w:sz w:val="17"/>
                <w:szCs w:val="17"/>
              </w:rPr>
              <w:t xml:space="preserve">Legacy vulnerability management, ~12% growth maturing, limited TAM expansion</w:t>
            </w:r>
          </w:p>
        </w:tc>
      </w:tr>
      <w:tr>
        <w:tc>
          <w:tcPr>
            <w:tcW w:type="dxa" w:w="1200"/>
            <w:tcBorders>
              <w:top w:val="single" w:color="CCCCCC" w:sz="1"/>
              <w:left w:val="single" w:color="CCCCCC" w:sz="1"/>
              <w:bottom w:val="single" w:color="CCCCCC" w:sz="1"/>
              <w:right w:val="single" w:color="CCCCCC" w:sz="1"/>
            </w:tcBorders>
          </w:tcPr>
          <w:p>
            <w:r>
              <w:rPr>
                <w:sz w:val="17"/>
                <w:szCs w:val="17"/>
              </w:rPr>
              <w:t xml:space="preserve">NCNO</w:t>
            </w:r>
          </w:p>
        </w:tc>
        <w:tc>
          <w:tcPr>
            <w:tcW w:type="dxa" w:w="2000"/>
            <w:tcBorders>
              <w:top w:val="single" w:color="CCCCCC" w:sz="1"/>
              <w:left w:val="single" w:color="CCCCCC" w:sz="1"/>
              <w:bottom w:val="single" w:color="CCCCCC" w:sz="1"/>
              <w:right w:val="single" w:color="CCCCCC" w:sz="1"/>
            </w:tcBorders>
          </w:tcPr>
          <w:p>
            <w:r>
              <w:rPr>
                <w:sz w:val="17"/>
                <w:szCs w:val="17"/>
              </w:rPr>
              <w:t xml:space="preserve">nCino</w:t>
            </w:r>
          </w:p>
        </w:tc>
        <w:tc>
          <w:tcPr>
            <w:tcW w:type="dxa" w:w="750"/>
            <w:tcBorders>
              <w:top w:val="single" w:color="CCCCCC" w:sz="1"/>
              <w:left w:val="single" w:color="CCCCCC" w:sz="1"/>
              <w:bottom w:val="single" w:color="CCCCCC" w:sz="1"/>
              <w:right w:val="single" w:color="CCCCCC" w:sz="1"/>
            </w:tcBorders>
            <w:shd w:fill="fed7d7" w:val="clear"/>
          </w:tcPr>
          <w:p>
            <w:pPr>
              <w:jc w:val="center"/>
            </w:pPr>
            <w:r>
              <w:rPr>
                <w:sz w:val="17"/>
                <w:szCs w:val="17"/>
              </w:rPr>
              <w:t xml:space="preserve">3.15</w:t>
            </w:r>
          </w:p>
        </w:tc>
        <w:tc>
          <w:tcPr>
            <w:tcW w:type="dxa" w:w="5410"/>
            <w:tcBorders>
              <w:top w:val="single" w:color="CCCCCC" w:sz="1"/>
              <w:left w:val="single" w:color="CCCCCC" w:sz="1"/>
              <w:bottom w:val="single" w:color="CCCCCC" w:sz="1"/>
              <w:right w:val="single" w:color="CCCCCC" w:sz="1"/>
            </w:tcBorders>
          </w:tcPr>
          <w:p>
            <w:r>
              <w:rPr>
                <w:sz w:val="17"/>
                <w:szCs w:val="17"/>
              </w:rPr>
              <w:t xml:space="preserve">Banking vertical SaaS, ~15% growth, bank IT spending constrained, rate-sensitive sector</w:t>
            </w:r>
          </w:p>
        </w:tc>
      </w:tr>
      <w:tr>
        <w:tc>
          <w:tcPr>
            <w:tcW w:type="dxa" w:w="1200"/>
            <w:tcBorders>
              <w:top w:val="single" w:color="CCCCCC" w:sz="1"/>
              <w:left w:val="single" w:color="CCCCCC" w:sz="1"/>
              <w:bottom w:val="single" w:color="CCCCCC" w:sz="1"/>
              <w:right w:val="single" w:color="CCCCCC" w:sz="1"/>
            </w:tcBorders>
          </w:tcPr>
          <w:p>
            <w:r>
              <w:rPr>
                <w:sz w:val="17"/>
                <w:szCs w:val="17"/>
              </w:rPr>
              <w:t xml:space="preserve">ETN</w:t>
            </w:r>
          </w:p>
        </w:tc>
        <w:tc>
          <w:tcPr>
            <w:tcW w:type="dxa" w:w="2000"/>
            <w:tcBorders>
              <w:top w:val="single" w:color="CCCCCC" w:sz="1"/>
              <w:left w:val="single" w:color="CCCCCC" w:sz="1"/>
              <w:bottom w:val="single" w:color="CCCCCC" w:sz="1"/>
              <w:right w:val="single" w:color="CCCCCC" w:sz="1"/>
            </w:tcBorders>
          </w:tcPr>
          <w:p>
            <w:r>
              <w:rPr>
                <w:sz w:val="17"/>
                <w:szCs w:val="17"/>
              </w:rPr>
              <w:t xml:space="preserve">Eaton</w:t>
            </w:r>
          </w:p>
        </w:tc>
        <w:tc>
          <w:tcPr>
            <w:tcW w:type="dxa" w:w="750"/>
            <w:tcBorders>
              <w:top w:val="single" w:color="CCCCCC" w:sz="1"/>
              <w:left w:val="single" w:color="CCCCCC" w:sz="1"/>
              <w:bottom w:val="single" w:color="CCCCCC" w:sz="1"/>
              <w:right w:val="single" w:color="CCCCCC" w:sz="1"/>
            </w:tcBorders>
            <w:shd w:fill="fed7d7" w:val="clear"/>
          </w:tcPr>
          <w:p>
            <w:pPr>
              <w:jc w:val="center"/>
            </w:pPr>
            <w:r>
              <w:rPr>
                <w:sz w:val="17"/>
                <w:szCs w:val="17"/>
              </w:rPr>
              <w:t xml:space="preserve">3.10</w:t>
            </w:r>
          </w:p>
        </w:tc>
        <w:tc>
          <w:tcPr>
            <w:tcW w:type="dxa" w:w="5410"/>
            <w:tcBorders>
              <w:top w:val="single" w:color="CCCCCC" w:sz="1"/>
              <w:left w:val="single" w:color="CCCCCC" w:sz="1"/>
              <w:bottom w:val="single" w:color="CCCCCC" w:sz="1"/>
              <w:right w:val="single" w:color="CCCCCC" w:sz="1"/>
            </w:tcBorders>
          </w:tcPr>
          <w:p>
            <w:r>
              <w:rPr>
                <w:sz w:val="17"/>
                <w:szCs w:val="17"/>
              </w:rPr>
              <w:t xml:space="preserve">Industrial conglomerate, ~12% growth, data center just one segment, diversification dilutes thesis</w:t>
            </w:r>
          </w:p>
        </w:tc>
      </w:tr>
      <w:tr>
        <w:tc>
          <w:tcPr>
            <w:tcW w:type="dxa" w:w="1200"/>
            <w:tcBorders>
              <w:top w:val="single" w:color="CCCCCC" w:sz="1"/>
              <w:left w:val="single" w:color="CCCCCC" w:sz="1"/>
              <w:bottom w:val="single" w:color="CCCCCC" w:sz="1"/>
              <w:right w:val="single" w:color="CCCCCC" w:sz="1"/>
            </w:tcBorders>
          </w:tcPr>
          <w:p>
            <w:r>
              <w:rPr>
                <w:sz w:val="17"/>
                <w:szCs w:val="17"/>
              </w:rPr>
              <w:t xml:space="preserve">PWR</w:t>
            </w:r>
          </w:p>
        </w:tc>
        <w:tc>
          <w:tcPr>
            <w:tcW w:type="dxa" w:w="2000"/>
            <w:tcBorders>
              <w:top w:val="single" w:color="CCCCCC" w:sz="1"/>
              <w:left w:val="single" w:color="CCCCCC" w:sz="1"/>
              <w:bottom w:val="single" w:color="CCCCCC" w:sz="1"/>
              <w:right w:val="single" w:color="CCCCCC" w:sz="1"/>
            </w:tcBorders>
          </w:tcPr>
          <w:p>
            <w:r>
              <w:rPr>
                <w:sz w:val="17"/>
                <w:szCs w:val="17"/>
              </w:rPr>
              <w:t xml:space="preserve">Quanta Services</w:t>
            </w:r>
          </w:p>
        </w:tc>
        <w:tc>
          <w:tcPr>
            <w:tcW w:type="dxa" w:w="750"/>
            <w:tcBorders>
              <w:top w:val="single" w:color="CCCCCC" w:sz="1"/>
              <w:left w:val="single" w:color="CCCCCC" w:sz="1"/>
              <w:bottom w:val="single" w:color="CCCCCC" w:sz="1"/>
              <w:right w:val="single" w:color="CCCCCC" w:sz="1"/>
            </w:tcBorders>
            <w:shd w:fill="fed7d7" w:val="clear"/>
          </w:tcPr>
          <w:p>
            <w:pPr>
              <w:jc w:val="center"/>
            </w:pPr>
            <w:r>
              <w:rPr>
                <w:sz w:val="17"/>
                <w:szCs w:val="17"/>
              </w:rPr>
              <w:t xml:space="preserve">3.05</w:t>
            </w:r>
          </w:p>
        </w:tc>
        <w:tc>
          <w:tcPr>
            <w:tcW w:type="dxa" w:w="5410"/>
            <w:tcBorders>
              <w:top w:val="single" w:color="CCCCCC" w:sz="1"/>
              <w:left w:val="single" w:color="CCCCCC" w:sz="1"/>
              <w:bottom w:val="single" w:color="CCCCCC" w:sz="1"/>
              <w:right w:val="single" w:color="CCCCCC" w:sz="1"/>
            </w:tcBorders>
          </w:tcPr>
          <w:p>
            <w:r>
              <w:rPr>
                <w:sz w:val="17"/>
                <w:szCs w:val="17"/>
              </w:rPr>
              <w:t xml:space="preserve">Infrastructure contractor, low margins (~12% GM), project-based revenue, cyclical</w:t>
            </w:r>
          </w:p>
        </w:tc>
      </w:tr>
    </w:tbl>
    <w:p>
      <w:r>
        <w:br w:type="page"/>
      </w:r>
    </w:p>
    <w:p>
      <w:pPr>
        <w:pStyle w:val="Heading1"/>
      </w:pPr>
      <w:r>
        <w:t xml:space="preserve">Final Recommendations</w:t>
      </w:r>
    </w:p>
    <w:p>
      <w:pPr>
        <w:pStyle w:val="Heading2"/>
      </w:pPr>
      <w:r>
        <w:t xml:space="preserve">Tier 1: HIGH Conviction — Deep-Dive Recommended</w:t>
      </w:r>
    </w:p>
    <w:p>
      <w:pPr>
        <w:spacing w:after="100"/>
      </w:pPr>
      <w:r>
        <w:t xml:space="preserve">These 7 candidates warrant full Stage 2 deep-dive analysis based on strong qualitative scores across all dimensions:</w:t>
      </w:r>
    </w:p>
    <w:p>
      <w:pPr>
        <w:pStyle w:val="ListParagraph"/>
        <w:numPr>
          <w:ilvl w:val="0"/>
          <w:numId w:val="2"/>
        </w:numPr>
      </w:pPr>
      <w:r>
        <w:rPr>
          <w:b/>
          <w:bCs/>
        </w:rPr>
        <w:t xml:space="preserve">TOST (4.40): </w:t>
      </w:r>
      <w:r>
        <w:t xml:space="preserve">Vertical SaaS leader with massive runway, FCF positive, widening moat</w:t>
      </w:r>
    </w:p>
    <w:p>
      <w:pPr>
        <w:pStyle w:val="ListParagraph"/>
        <w:numPr>
          <w:ilvl w:val="0"/>
          <w:numId w:val="2"/>
        </w:numPr>
      </w:pPr>
      <w:r>
        <w:rPr>
          <w:b/>
          <w:bCs/>
        </w:rPr>
        <w:t xml:space="preserve">VRT (4.30): </w:t>
      </w:r>
      <w:r>
        <w:t xml:space="preserve">AI infrastructure picks-and-shovels play with accelerating growth, reasonable valuation</w:t>
      </w:r>
    </w:p>
    <w:p>
      <w:pPr>
        <w:pStyle w:val="ListParagraph"/>
        <w:numPr>
          <w:ilvl w:val="0"/>
          <w:numId w:val="2"/>
        </w:numPr>
      </w:pPr>
      <w:r>
        <w:rPr>
          <w:b/>
          <w:bCs/>
        </w:rPr>
        <w:t xml:space="preserve">ZS (4.25): </w:t>
      </w:r>
      <w:r>
        <w:t xml:space="preserve">Zero trust security leader with 52% FCF margin, federal tailwinds</w:t>
      </w:r>
    </w:p>
    <w:p>
      <w:pPr>
        <w:pStyle w:val="ListParagraph"/>
        <w:numPr>
          <w:ilvl w:val="0"/>
          <w:numId w:val="2"/>
        </w:numPr>
      </w:pPr>
      <w:r>
        <w:rPr>
          <w:b/>
          <w:bCs/>
        </w:rPr>
        <w:t xml:space="preserve">DDOG (4.20): </w:t>
      </w:r>
      <w:r>
        <w:t xml:space="preserve">Observability leader with AI innovation, consistent execution</w:t>
      </w:r>
    </w:p>
    <w:p>
      <w:pPr>
        <w:pStyle w:val="ListParagraph"/>
        <w:numPr>
          <w:ilvl w:val="0"/>
          <w:numId w:val="2"/>
        </w:numPr>
      </w:pPr>
      <w:r>
        <w:rPr>
          <w:b/>
          <w:bCs/>
        </w:rPr>
        <w:t xml:space="preserve">S (4.18): </w:t>
      </w:r>
      <w:r>
        <w:t xml:space="preserve">AI-native security at deep discount to peers, compelling asymmetry</w:t>
      </w:r>
    </w:p>
    <w:p>
      <w:pPr>
        <w:pStyle w:val="ListParagraph"/>
        <w:numPr>
          <w:ilvl w:val="0"/>
          <w:numId w:val="2"/>
        </w:numPr>
      </w:pPr>
      <w:r>
        <w:rPr>
          <w:b/>
          <w:bCs/>
        </w:rPr>
        <w:t xml:space="preserve">PCOR (4.08): </w:t>
      </w:r>
      <w:r>
        <w:t xml:space="preserve">Underdigitized construction market, &lt;5% penetration, path to 25% FCF margins</w:t>
      </w:r>
    </w:p>
    <w:p>
      <w:pPr>
        <w:pStyle w:val="ListParagraph"/>
        <w:numPr>
          <w:ilvl w:val="0"/>
          <w:numId w:val="2"/>
        </w:numPr>
        <w:spacing w:after="200"/>
      </w:pPr>
      <w:r>
        <w:rPr>
          <w:b/>
          <w:bCs/>
        </w:rPr>
        <w:t xml:space="preserve">CRWV (4.00): </w:t>
      </w:r>
      <w:r>
        <w:t xml:space="preserve">Highest asymmetry but position size at 50% due to concentration/leverage risks</w:t>
      </w:r>
    </w:p>
    <w:p>
      <w:pPr>
        <w:pStyle w:val="Heading2"/>
      </w:pPr>
      <w:r>
        <w:t xml:space="preserve">Tier 2: MEDIUM Conviction — Monitor for Entry</w:t>
      </w:r>
    </w:p>
    <w:p>
      <w:pPr>
        <w:spacing w:after="100"/>
      </w:pPr>
      <w:r>
        <w:t xml:space="preserve">These candidates have strong fundamentals but face valuation or growth concerns. Monitor for improved entry points:</w:t>
      </w:r>
    </w:p>
    <w:p>
      <w:pPr>
        <w:pStyle w:val="ListParagraph"/>
        <w:numPr>
          <w:ilvl w:val="0"/>
          <w:numId w:val="2"/>
        </w:numPr>
      </w:pPr>
      <w:r>
        <w:rPr>
          <w:b/>
          <w:bCs/>
        </w:rPr>
        <w:t xml:space="preserve">CRWD: </w:t>
      </w:r>
      <w:r>
        <w:t xml:space="preserve">Best platform but much priced in; wait for pullback below $400</w:t>
      </w:r>
    </w:p>
    <w:p>
      <w:pPr>
        <w:pStyle w:val="ListParagraph"/>
        <w:numPr>
          <w:ilvl w:val="0"/>
          <w:numId w:val="2"/>
        </w:numPr>
      </w:pPr>
      <w:r>
        <w:rPr>
          <w:b/>
          <w:bCs/>
        </w:rPr>
        <w:t xml:space="preserve">NET: </w:t>
      </w:r>
      <w:r>
        <w:t xml:space="preserve">Strong moat but profitability uncertain; watch for margin inflection</w:t>
      </w:r>
    </w:p>
    <w:p>
      <w:pPr>
        <w:pStyle w:val="ListParagraph"/>
        <w:numPr>
          <w:ilvl w:val="0"/>
          <w:numId w:val="2"/>
        </w:numPr>
      </w:pPr>
      <w:r>
        <w:rPr>
          <w:b/>
          <w:bCs/>
        </w:rPr>
        <w:t xml:space="preserve">SNOW: </w:t>
      </w:r>
      <w:r>
        <w:t xml:space="preserve">Monitor new CEO execution; revisit if growth re-accelerates</w:t>
      </w:r>
    </w:p>
    <w:p>
      <w:pPr>
        <w:pStyle w:val="ListParagraph"/>
        <w:numPr>
          <w:ilvl w:val="0"/>
          <w:numId w:val="2"/>
        </w:numPr>
        <w:spacing w:after="200"/>
      </w:pPr>
      <w:r>
        <w:rPr>
          <w:b/>
          <w:bCs/>
        </w:rPr>
        <w:t xml:space="preserve">APPF, VEEV, APH, CYBR: </w:t>
      </w:r>
      <w:r>
        <w:t xml:space="preserve">Solid businesses but lower growth profiles or pending transactions</w:t>
      </w:r>
    </w:p>
    <w:p>
      <w:pPr>
        <w:pStyle w:val="Heading2"/>
      </w:pPr>
      <w:r>
        <w:t xml:space="preserve">Tier 3: LOW Conviction — No Action</w:t>
      </w:r>
    </w:p>
    <w:p>
      <w:pPr>
        <w:spacing w:after="200"/>
      </w:pPr>
      <w:r>
        <w:t xml:space="preserve">SAIL, OKTA, MDB, PATH, TEAM, QLYS, NCNO, ETN, PWR scored below 3.5. Primary concerns include growth deceleration, competitive pressures, or thesis dilution from diversification. Not recommended for further analysis at this time.</w:t>
      </w:r>
    </w:p>
    <w:p>
      <w:pPr>
        <w:pStyle w:val="Heading2"/>
      </w:pPr>
      <w:r>
        <w:t xml:space="preserve">Recommended Next Steps</w:t>
      </w:r>
    </w:p>
    <w:p>
      <w:pPr>
        <w:pStyle w:val="ListParagraph"/>
        <w:numPr>
          <w:ilvl w:val="0"/>
          <w:numId w:val="2"/>
        </w:numPr>
      </w:pPr>
      <w:r>
        <w:t xml:space="preserve">Proceed to Stage 2 deep-dive on top 3-4 HIGH conviction candidates based on user preference</w:t>
      </w:r>
    </w:p>
    <w:p>
      <w:pPr>
        <w:pStyle w:val="ListParagraph"/>
        <w:numPr>
          <w:ilvl w:val="0"/>
          <w:numId w:val="2"/>
        </w:numPr>
      </w:pPr>
      <w:r>
        <w:t xml:space="preserve">Build financial models with bear/base/bull scenarios for Stage 2 candidates</w:t>
      </w:r>
    </w:p>
    <w:p>
      <w:pPr>
        <w:pStyle w:val="ListParagraph"/>
        <w:numPr>
          <w:ilvl w:val="0"/>
          <w:numId w:val="2"/>
        </w:numPr>
      </w:pPr>
      <w:r>
        <w:t xml:space="preserve">Set price alerts for MEDIUM conviction candidates at attractive entry points</w:t>
      </w:r>
    </w:p>
    <w:p>
      <w:pPr>
        <w:pStyle w:val="ListParagraph"/>
        <w:numPr>
          <w:ilvl w:val="0"/>
          <w:numId w:val="2"/>
        </w:numPr>
      </w:pPr>
      <w:r>
        <w:t xml:space="preserve">Re-evaluate LOW conviction candidates in 6 months or upon material catalyst</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300" w:after="150"/>
      <w:outlineLvl w:val="0"/>
    </w:pPr>
    <w:rPr>
      <w:rFonts w:ascii="Arial" w:cs="Arial" w:eastAsia="Arial" w:hAnsi="Arial"/>
      <w:b/>
      <w:bCs/>
      <w:color w:val="1a365d"/>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c5282"/>
      <w:sz w:val="24"/>
      <w:szCs w:val="24"/>
    </w:rPr>
  </w:style>
  <w:style w:type="paragraph" w:styleId="Heading3">
    <w:name w:val="Heading 3"/>
    <w:basedOn w:val="Normal"/>
    <w:next w:val="Normal"/>
    <w:qFormat/>
    <w:pPr>
      <w:spacing w:before="150" w:after="75"/>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2025-11-28T16:43:50.485Z</dcterms:created>
  <dcterms:modified xsi:type="dcterms:W3CDTF">2025-11-28T16:43:50.486Z</dcterms:modified>
</cp:coreProperties>
</file>

<file path=docProps/custom.xml><?xml version="1.0" encoding="utf-8"?>
<Properties xmlns="http://schemas.openxmlformats.org/officeDocument/2006/custom-properties" xmlns:vt="http://schemas.openxmlformats.org/officeDocument/2006/docPropsVTypes"/>
</file>