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STAGE 2: DEEP-DIVE INVESTMENT MEMOS</w:t>
      </w:r>
    </w:p>
    <w:p>
      <w:pPr>
        <w:spacing w:after="100"/>
        <w:jc w:val="center"/>
      </w:pPr>
      <w:r>
        <w:rPr>
          <w:color w:val="666666"/>
          <w:sz w:val="24"/>
          <w:szCs w:val="24"/>
        </w:rPr>
        <w:t xml:space="preserve">Equity Research Workflow | November 2025</w:t>
      </w:r>
    </w:p>
    <w:p>
      <w:pPr>
        <w:spacing w:after="400"/>
        <w:jc w:val="center"/>
      </w:pPr>
      <w:r>
        <w:rPr>
          <w:i/>
          <w:iCs/>
          <w:sz w:val="22"/>
          <w:szCs w:val="22"/>
        </w:rPr>
        <w:t xml:space="preserve">HIGH Conviction Candidates from Stage 1D Qualitative Screen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Company</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Upside</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Rating</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Key Thesis</w:t>
            </w:r>
          </w:p>
        </w:tc>
      </w:tr>
      <w:tr>
        <w:tc>
          <w:tcPr>
            <w:tcW w:type="dxa" w:w="2340"/>
            <w:tcBorders>
              <w:top w:val="single" w:color="CCCCCC" w:sz="1"/>
              <w:left w:val="single" w:color="CCCCCC" w:sz="1"/>
              <w:bottom w:val="single" w:color="CCCCCC" w:sz="1"/>
              <w:right w:val="single" w:color="CCCCCC" w:sz="1"/>
            </w:tcBorders>
            <w:shd w:fill="d5f5e3" w:val="clear"/>
          </w:tcPr>
          <w:p>
            <w:r>
              <w:rPr>
                <w:b/>
                <w:bCs/>
                <w:sz w:val="20"/>
                <w:szCs w:val="20"/>
              </w:rPr>
              <w:t xml:space="preserve">Toast (TOST)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4.40</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35-50%</w:t>
            </w:r>
          </w:p>
        </w:tc>
        <w:tc>
          <w:tcPr>
            <w:tcW w:type="dxa" w:w="1560"/>
            <w:tcBorders>
              <w:top w:val="single" w:color="CCCCCC" w:sz="1"/>
              <w:left w:val="single" w:color="CCCCCC" w:sz="1"/>
              <w:bottom w:val="single" w:color="CCCCCC" w:sz="1"/>
              <w:right w:val="single" w:color="CCCCCC" w:sz="1"/>
            </w:tcBorders>
            <w:shd w:fill="d5f5e3" w:val="clear"/>
          </w:tcPr>
          <w:p>
            <w:pPr>
              <w:jc w:val="center"/>
            </w:pPr>
            <w:r>
              <w:rPr>
                <w:b/>
                <w:bCs/>
                <w:color w:val="27ae60"/>
                <w:sz w:val="20"/>
                <w:szCs w:val="20"/>
              </w:rPr>
              <w:t xml:space="preserve">BUY</w:t>
            </w:r>
          </w:p>
        </w:tc>
        <w:tc>
          <w:tcPr>
            <w:tcW w:type="dxa" w:w="2340"/>
            <w:tcBorders>
              <w:top w:val="single" w:color="CCCCCC" w:sz="1"/>
              <w:left w:val="single" w:color="CCCCCC" w:sz="1"/>
              <w:bottom w:val="single" w:color="CCCCCC" w:sz="1"/>
              <w:right w:val="single" w:color="CCCCCC" w:sz="1"/>
            </w:tcBorders>
            <w:shd w:fill="d5f5e3" w:val="clear"/>
          </w:tcPr>
          <w:p>
            <w:r>
              <w:rPr>
                <w:sz w:val="18"/>
                <w:szCs w:val="18"/>
              </w:rPr>
              <w:t xml:space="preserve">Vertical SaaS compounder, 86% runway</w:t>
            </w:r>
          </w:p>
        </w:tc>
      </w:tr>
      <w:tr>
        <w:tc>
          <w:tcPr>
            <w:tcW w:type="dxa" w:w="2340"/>
            <w:tcBorders>
              <w:top w:val="single" w:color="CCCCCC" w:sz="1"/>
              <w:left w:val="single" w:color="CCCCCC" w:sz="1"/>
              <w:bottom w:val="single" w:color="CCCCCC" w:sz="1"/>
              <w:right w:val="single" w:color="CCCCCC" w:sz="1"/>
            </w:tcBorders>
            <w:shd w:fill="d5f5e3" w:val="clear"/>
          </w:tcPr>
          <w:p>
            <w:r>
              <w:rPr>
                <w:b/>
                <w:bCs/>
                <w:sz w:val="20"/>
                <w:szCs w:val="20"/>
              </w:rPr>
              <w:t xml:space="preserve">Vertiv (VRT)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4.30</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40-60%</w:t>
            </w:r>
          </w:p>
        </w:tc>
        <w:tc>
          <w:tcPr>
            <w:tcW w:type="dxa" w:w="1560"/>
            <w:tcBorders>
              <w:top w:val="single" w:color="CCCCCC" w:sz="1"/>
              <w:left w:val="single" w:color="CCCCCC" w:sz="1"/>
              <w:bottom w:val="single" w:color="CCCCCC" w:sz="1"/>
              <w:right w:val="single" w:color="CCCCCC" w:sz="1"/>
            </w:tcBorders>
            <w:shd w:fill="d5f5e3" w:val="clear"/>
          </w:tcPr>
          <w:p>
            <w:pPr>
              <w:jc w:val="center"/>
            </w:pPr>
            <w:r>
              <w:rPr>
                <w:b/>
                <w:bCs/>
                <w:color w:val="27ae60"/>
                <w:sz w:val="20"/>
                <w:szCs w:val="20"/>
              </w:rPr>
              <w:t xml:space="preserve">BUY</w:t>
            </w:r>
          </w:p>
        </w:tc>
        <w:tc>
          <w:tcPr>
            <w:tcW w:type="dxa" w:w="2340"/>
            <w:tcBorders>
              <w:top w:val="single" w:color="CCCCCC" w:sz="1"/>
              <w:left w:val="single" w:color="CCCCCC" w:sz="1"/>
              <w:bottom w:val="single" w:color="CCCCCC" w:sz="1"/>
              <w:right w:val="single" w:color="CCCCCC" w:sz="1"/>
            </w:tcBorders>
            <w:shd w:fill="d5f5e3" w:val="clear"/>
          </w:tcPr>
          <w:p>
            <w:r>
              <w:rPr>
                <w:sz w:val="18"/>
                <w:szCs w:val="18"/>
              </w:rPr>
              <w:t xml:space="preserve">AI infrastructure picks &amp; shovels</w:t>
            </w:r>
          </w:p>
        </w:tc>
      </w:tr>
      <w:tr>
        <w:tc>
          <w:tcPr>
            <w:tcW w:type="dxa" w:w="2340"/>
            <w:tcBorders>
              <w:top w:val="single" w:color="CCCCCC" w:sz="1"/>
              <w:left w:val="single" w:color="CCCCCC" w:sz="1"/>
              <w:bottom w:val="single" w:color="CCCCCC" w:sz="1"/>
              <w:right w:val="single" w:color="CCCCCC" w:sz="1"/>
            </w:tcBorders>
            <w:shd w:fill="fef9e7" w:val="clear"/>
          </w:tcPr>
          <w:p>
            <w:r>
              <w:rPr>
                <w:b/>
                <w:bCs/>
                <w:sz w:val="20"/>
                <w:szCs w:val="20"/>
              </w:rPr>
              <w:t xml:space="preserve">SentinelOne (S)</w:t>
            </w:r>
          </w:p>
        </w:tc>
        <w:tc>
          <w:tcPr>
            <w:tcW w:type="dxa" w:w="1560"/>
            <w:tcBorders>
              <w:top w:val="single" w:color="CCCCCC" w:sz="1"/>
              <w:left w:val="single" w:color="CCCCCC" w:sz="1"/>
              <w:bottom w:val="single" w:color="CCCCCC" w:sz="1"/>
              <w:right w:val="single" w:color="CCCCCC" w:sz="1"/>
            </w:tcBorders>
            <w:shd w:fill="fef9e7" w:val="clear"/>
          </w:tcPr>
          <w:p>
            <w:pPr>
              <w:jc w:val="center"/>
            </w:pPr>
            <w:r>
              <w:rPr>
                <w:sz w:val="20"/>
                <w:szCs w:val="20"/>
              </w:rPr>
              <w:t xml:space="preserve">4.18</w:t>
            </w:r>
          </w:p>
        </w:tc>
        <w:tc>
          <w:tcPr>
            <w:tcW w:type="dxa" w:w="1560"/>
            <w:tcBorders>
              <w:top w:val="single" w:color="CCCCCC" w:sz="1"/>
              <w:left w:val="single" w:color="CCCCCC" w:sz="1"/>
              <w:bottom w:val="single" w:color="CCCCCC" w:sz="1"/>
              <w:right w:val="single" w:color="CCCCCC" w:sz="1"/>
            </w:tcBorders>
            <w:shd w:fill="fef9e7" w:val="clear"/>
          </w:tcPr>
          <w:p>
            <w:pPr>
              <w:jc w:val="center"/>
            </w:pPr>
            <w:r>
              <w:rPr>
                <w:sz w:val="20"/>
                <w:szCs w:val="20"/>
              </w:rPr>
              <w:t xml:space="preserve">50-80%</w:t>
            </w:r>
          </w:p>
        </w:tc>
        <w:tc>
          <w:tcPr>
            <w:tcW w:type="dxa" w:w="1560"/>
            <w:tcBorders>
              <w:top w:val="single" w:color="CCCCCC" w:sz="1"/>
              <w:left w:val="single" w:color="CCCCCC" w:sz="1"/>
              <w:bottom w:val="single" w:color="CCCCCC" w:sz="1"/>
              <w:right w:val="single" w:color="CCCCCC" w:sz="1"/>
            </w:tcBorders>
            <w:shd w:fill="fef9e7" w:val="clear"/>
          </w:tcPr>
          <w:p>
            <w:pPr>
              <w:jc w:val="center"/>
            </w:pPr>
            <w:r>
              <w:rPr>
                <w:b/>
                <w:bCs/>
                <w:color w:val="d68910"/>
                <w:sz w:val="20"/>
                <w:szCs w:val="20"/>
              </w:rPr>
              <w:t xml:space="preserve">SPEC BUY</w:t>
            </w:r>
          </w:p>
        </w:tc>
        <w:tc>
          <w:tcPr>
            <w:tcW w:type="dxa" w:w="2340"/>
            <w:tcBorders>
              <w:top w:val="single" w:color="CCCCCC" w:sz="1"/>
              <w:left w:val="single" w:color="CCCCCC" w:sz="1"/>
              <w:bottom w:val="single" w:color="CCCCCC" w:sz="1"/>
              <w:right w:val="single" w:color="CCCCCC" w:sz="1"/>
            </w:tcBorders>
            <w:shd w:fill="fef9e7" w:val="clear"/>
          </w:tcPr>
          <w:p>
            <w:r>
              <w:rPr>
                <w:sz w:val="18"/>
                <w:szCs w:val="18"/>
              </w:rPr>
              <w:t xml:space="preserve">Mispriced AI security leader</w:t>
            </w:r>
          </w:p>
        </w:tc>
      </w:tr>
    </w:tbl>
    <w:p/>
    <w:p>
      <w:r>
        <w:br w:type="page"/>
      </w:r>
    </w:p>
    <w:p>
      <w:pPr>
        <w:pStyle w:val="Heading1"/>
      </w:pPr>
      <w:r>
        <w:t xml:space="preserve">INVESTMENT MEMO: TOAST, INC. (TOST)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rPr>
                <w:b/>
                <w:bCs/>
                <w:color w:val="27ae60"/>
                <w:sz w:val="24"/>
                <w:szCs w:val="24"/>
              </w:rPr>
              <w:t xml:space="preserve">RECOMMENDATION: BUY</w:t>
            </w:r>
          </w:p>
          <w:p>
            <w:r>
              <w:rPr>
                <w:sz w:val="20"/>
                <w:szCs w:val="20"/>
              </w:rPr>
              <w:t xml:space="preserve">Score: 4.40/5.00 (HIGH Conviction)</w:t>
            </w:r>
          </w:p>
          <w:p>
            <w:r>
              <w:rPr>
                <w:sz w:val="20"/>
                <w:szCs w:val="20"/>
              </w:rPr>
              <w:t xml:space="preserve">Position Size: Full (3-5% of portfolio)</w:t>
            </w:r>
          </w:p>
        </w:tc>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Price Target: $55-65 (Base Case)</w:t>
            </w:r>
          </w:p>
          <w:p>
            <w:r>
              <w:rPr>
                <w:sz w:val="20"/>
                <w:szCs w:val="20"/>
              </w:rPr>
              <w:t xml:space="preserve">Current: ~$42 | Upside: 35-50%</w:t>
            </w:r>
          </w:p>
          <w:p>
            <w:r>
              <w:rPr>
                <w:sz w:val="20"/>
                <w:szCs w:val="20"/>
              </w:rPr>
              <w:t xml:space="preserve">Time Horizon: 18-36 months</w:t>
            </w:r>
          </w:p>
        </w:tc>
      </w:tr>
    </w:tbl>
    <w:p>
      <w:pPr>
        <w:pStyle w:val="Heading2"/>
      </w:pPr>
      <w:r>
        <w:t xml:space="preserve">Investment Thesis</w:t>
      </w:r>
    </w:p>
    <w:p>
      <w:r>
        <w:t xml:space="preserve">Toast represents a compelling vertical SaaS compounder opportunity in a massive, fragmented market with significant runway for penetration growth. The company has built an end-to-end operating system for restaurants that creates substantial switching costs once embedded, while demonstrating accelerating profitability well ahead of schedule.</w:t>
      </w:r>
    </w:p>
    <w:p>
      <w:pPr>
        <w:pStyle w:val="Heading3"/>
      </w:pPr>
      <w:r>
        <w:t xml:space="preserve">Core Thesis Points</w:t>
      </w:r>
    </w:p>
    <w:p>
      <w:pPr>
        <w:pStyle w:val="ListParagraph"/>
        <w:numPr>
          <w:ilvl w:val="0"/>
          <w:numId w:val="2"/>
        </w:numPr>
      </w:pPr>
      <w:r>
        <w:rPr>
          <w:b/>
          <w:bCs/>
        </w:rPr>
        <w:t xml:space="preserve">Massive Underpenetrated TAM: </w:t>
      </w:r>
      <w:r>
        <w:t xml:space="preserve">At 156,000 locations, Toast has captured only 14% of the 875,000+ US restaurant market despite being in business for over 10 years. The company's path to doubling market share is well-articulated and execution-proven.</w:t>
      </w:r>
    </w:p>
    <w:p>
      <w:pPr>
        <w:pStyle w:val="ListParagraph"/>
        <w:numPr>
          <w:ilvl w:val="0"/>
          <w:numId w:val="2"/>
        </w:numPr>
      </w:pPr>
      <w:r>
        <w:rPr>
          <w:b/>
          <w:bCs/>
        </w:rPr>
        <w:t xml:space="preserve">Moat Deepening Through Platform Expansion: </w:t>
      </w:r>
      <w:r>
        <w:t xml:space="preserve">Toast's unified platform now spans POS, payments, payroll, scheduling, marketing, and analytics. Each additional module increases switching costs and expands wallet share per location.</w:t>
      </w:r>
    </w:p>
    <w:p>
      <w:pPr>
        <w:pStyle w:val="ListParagraph"/>
        <w:numPr>
          <w:ilvl w:val="0"/>
          <w:numId w:val="2"/>
        </w:numPr>
      </w:pPr>
      <w:r>
        <w:rPr>
          <w:b/>
          <w:bCs/>
        </w:rPr>
        <w:t xml:space="preserve">Unit Economics Excellence: </w:t>
      </w:r>
      <w:r>
        <w:t xml:space="preserve">LTV/CAC ratio exceeds 6x. The company added 7,500 net locations in Q3 2025, representing continued strong demand. GPV grew 24% YoY to $51.5B.</w:t>
      </w:r>
    </w:p>
    <w:p>
      <w:pPr>
        <w:pStyle w:val="ListParagraph"/>
        <w:numPr>
          <w:ilvl w:val="0"/>
          <w:numId w:val="2"/>
        </w:numPr>
      </w:pPr>
      <w:r>
        <w:rPr>
          <w:b/>
          <w:bCs/>
        </w:rPr>
        <w:t xml:space="preserve">Profitability Inflection: </w:t>
      </w:r>
      <w:r>
        <w:t xml:space="preserve">Toast achieved 35% adjusted EBITDA margins in Q3 2025, hitting its medium-term target of 30-35% well ahead of the 2-3 year timeline. FCF reached $564M TTM with near-100% conversion.</w:t>
      </w:r>
    </w:p>
    <w:p>
      <w:pPr>
        <w:pStyle w:val="ListParagraph"/>
        <w:numPr>
          <w:ilvl w:val="0"/>
          <w:numId w:val="2"/>
        </w:numPr>
      </w:pPr>
      <w:r>
        <w:rPr>
          <w:b/>
          <w:bCs/>
        </w:rPr>
        <w:t xml:space="preserve">Optionality Underappreciated: </w:t>
      </w:r>
      <w:r>
        <w:t xml:space="preserve">International expansion (UK, Canada, Ireland, Australia), enterprise segment wins (Applebee's), and new verticals (F&amp;B retail) provide multiple vectors for TAM expansion beyond core SMB restaurants.</w:t>
      </w:r>
    </w:p>
    <w:p>
      <w:pPr>
        <w:pStyle w:val="Heading2"/>
      </w:pPr>
      <w:r>
        <w:t xml:space="preserve">Financial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FY2024</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FY2025E</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FY2026E</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Commentary</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ARR</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$1.54B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$2.1B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$2.5B+</w:t>
            </w:r>
          </w:p>
        </w:tc>
        <w:tc>
          <w:tcPr>
            <w:tcW w:type="dxa" w:w="2340"/>
            <w:tcBorders>
              <w:top w:val="single" w:color="CCCCCC" w:sz="1"/>
              <w:left w:val="single" w:color="CCCCCC" w:sz="1"/>
              <w:bottom w:val="single" w:color="CCCCCC" w:sz="1"/>
              <w:right w:val="single" w:color="CCCCCC" w:sz="1"/>
            </w:tcBorders>
          </w:tcPr>
          <w:p>
            <w:r>
              <w:rPr>
                <w:sz w:val="18"/>
                <w:szCs w:val="18"/>
              </w:rPr>
              <w:t xml:space="preserve">30% YoY growth sustained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Locations</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127K</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163K+</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195K+</w:t>
            </w:r>
          </w:p>
        </w:tc>
        <w:tc>
          <w:tcPr>
            <w:tcW w:type="dxa" w:w="2340"/>
            <w:tcBorders>
              <w:top w:val="single" w:color="CCCCCC" w:sz="1"/>
              <w:left w:val="single" w:color="CCCCCC" w:sz="1"/>
              <w:bottom w:val="single" w:color="CCCCCC" w:sz="1"/>
              <w:right w:val="single" w:color="CCCCCC" w:sz="1"/>
            </w:tcBorders>
          </w:tcPr>
          <w:p>
            <w:r>
              <w:rPr>
                <w:sz w:val="18"/>
                <w:szCs w:val="18"/>
              </w:rPr>
              <w:t xml:space="preserve">28K+ net adds guided 2025</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Adj. EBITDA</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$270M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$615M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$750M+</w:t>
            </w:r>
          </w:p>
        </w:tc>
        <w:tc>
          <w:tcPr>
            <w:tcW w:type="dxa" w:w="2340"/>
            <w:tcBorders>
              <w:top w:val="single" w:color="CCCCCC" w:sz="1"/>
              <w:left w:val="single" w:color="CCCCCC" w:sz="1"/>
              <w:bottom w:val="single" w:color="CCCCCC" w:sz="1"/>
              <w:right w:val="single" w:color="CCCCCC" w:sz="1"/>
            </w:tcBorders>
          </w:tcPr>
          <w:p>
            <w:r>
              <w:rPr>
                <w:sz w:val="18"/>
                <w:szCs w:val="18"/>
              </w:rPr>
              <w:t xml:space="preserve">35% margin achieved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FCF</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$168M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$580M+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$700M+</w:t>
            </w:r>
          </w:p>
        </w:tc>
        <w:tc>
          <w:tcPr>
            <w:tcW w:type="dxa" w:w="2340"/>
            <w:tcBorders>
              <w:top w:val="single" w:color="CCCCCC" w:sz="1"/>
              <w:left w:val="single" w:color="CCCCCC" w:sz="1"/>
              <w:bottom w:val="single" w:color="CCCCCC" w:sz="1"/>
              <w:right w:val="single" w:color="CCCCCC" w:sz="1"/>
            </w:tcBorders>
          </w:tcPr>
          <w:p>
            <w:r>
              <w:rPr>
                <w:sz w:val="18"/>
                <w:szCs w:val="18"/>
              </w:rPr>
              <w:t xml:space="preserve">~100% conversion</w:t>
            </w:r>
          </w:p>
        </w:tc>
      </w:tr>
    </w:tbl>
    <w:p>
      <w:pPr>
        <w:pStyle w:val="Heading2"/>
      </w:pPr>
      <w:r>
        <w:t xml:space="preserve">Scenario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Scenario</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Bear (-20%)</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Base (+40%)</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Bull (+75%)</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2027E ARR</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$2.8B (18%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$3.3B (22%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$4.0B (28% CAGR)</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Assumptions</w:t>
            </w:r>
          </w:p>
        </w:tc>
        <w:tc>
          <w:tcPr>
            <w:tcW w:type="dxa" w:w="2520"/>
            <w:tcBorders>
              <w:top w:val="single" w:color="CCCCCC" w:sz="1"/>
              <w:left w:val="single" w:color="CCCCCC" w:sz="1"/>
              <w:bottom w:val="single" w:color="CCCCCC" w:sz="1"/>
              <w:right w:val="single" w:color="CCCCCC" w:sz="1"/>
            </w:tcBorders>
            <w:shd w:fill="fadbd8" w:val="clear"/>
          </w:tcPr>
          <w:p>
            <w:r>
              <w:rPr>
                <w:sz w:val="18"/>
                <w:szCs w:val="18"/>
              </w:rPr>
              <w:t xml:space="preserve">Restaurant recession, competition intensifies</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Steady penetration, intl grows</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Enterprise wins, adjacencies accelerate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Price Target</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20"/>
                <w:szCs w:val="20"/>
              </w:rPr>
              <w:t xml:space="preserve">$34</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$58</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$73</w:t>
            </w:r>
          </w:p>
        </w:tc>
      </w:tr>
    </w:tbl>
    <w:p>
      <w:pPr>
        <w:pStyle w:val="Heading2"/>
      </w:pPr>
      <w:r>
        <w:t xml:space="preserve">Key Risks</w:t>
      </w:r>
    </w:p>
    <w:p>
      <w:pPr>
        <w:pStyle w:val="ListParagraph"/>
        <w:numPr>
          <w:ilvl w:val="0"/>
          <w:numId w:val="3"/>
        </w:numPr>
      </w:pPr>
      <w:r>
        <w:rPr>
          <w:b/>
          <w:bCs/>
        </w:rPr>
        <w:t xml:space="preserve">Restaurant Industry Cyclicality: </w:t>
      </w:r>
      <w:r>
        <w:t xml:space="preserve">Economic downturns disproportionately impact discretionary dining. October 2025 showed normalization in consumer spending. A prolonged recession could slow net location adds.</w:t>
      </w:r>
    </w:p>
    <w:p>
      <w:pPr>
        <w:pStyle w:val="ListParagraph"/>
        <w:numPr>
          <w:ilvl w:val="0"/>
          <w:numId w:val="3"/>
        </w:numPr>
      </w:pPr>
      <w:r>
        <w:rPr>
          <w:b/>
          <w:bCs/>
        </w:rPr>
        <w:t xml:space="preserve">Valuation: </w:t>
      </w:r>
      <w:r>
        <w:t xml:space="preserve">Trading at ~114x forward P/E. While justified by growth trajectory, multiple compression in a risk-off environment could cause significant drawdowns.</w:t>
      </w:r>
    </w:p>
    <w:p>
      <w:pPr>
        <w:pStyle w:val="ListParagraph"/>
        <w:numPr>
          <w:ilvl w:val="0"/>
          <w:numId w:val="3"/>
        </w:numPr>
      </w:pPr>
      <w:r>
        <w:rPr>
          <w:b/>
          <w:bCs/>
        </w:rPr>
        <w:t xml:space="preserve">GPV Per Location: </w:t>
      </w:r>
      <w:r>
        <w:t xml:space="preserve">Q3 showed -3% YoY decline in GPV per location, indicating potential saturation or customer mix shift. Monitor closely.</w:t>
      </w:r>
    </w:p>
    <w:p>
      <w:pPr>
        <w:pStyle w:val="ListParagraph"/>
        <w:numPr>
          <w:ilvl w:val="0"/>
          <w:numId w:val="3"/>
        </w:numPr>
      </w:pPr>
      <w:r>
        <w:rPr>
          <w:b/>
          <w:bCs/>
        </w:rPr>
        <w:t xml:space="preserve">Competitive Pressure: </w:t>
      </w:r>
      <w:r>
        <w:t xml:space="preserve">Square, Clover, and point solutions continue competing. Though Toast's integrated platform creates switching costs, aggressive pricing could impact take rates.</w:t>
      </w:r>
    </w:p>
    <w:p>
      <w:pPr>
        <w:pStyle w:val="Heading2"/>
      </w:pPr>
      <w:r>
        <w:t xml:space="preserve">Catalysts to Monitor</w:t>
      </w:r>
    </w:p>
    <w:p>
      <w:pPr>
        <w:pStyle w:val="ListParagraph"/>
        <w:numPr>
          <w:ilvl w:val="0"/>
          <w:numId w:val="3"/>
        </w:numPr>
      </w:pPr>
      <w:r>
        <w:t xml:space="preserve">Q4 2025 earnings (February): Net location adds, international expansion progress</w:t>
      </w:r>
    </w:p>
    <w:p>
      <w:pPr>
        <w:pStyle w:val="ListParagraph"/>
        <w:numPr>
          <w:ilvl w:val="0"/>
          <w:numId w:val="3"/>
        </w:numPr>
      </w:pPr>
      <w:r>
        <w:t xml:space="preserve">Uber partnership monetization trajectory</w:t>
      </w:r>
    </w:p>
    <w:p>
      <w:pPr>
        <w:pStyle w:val="ListParagraph"/>
        <w:numPr>
          <w:ilvl w:val="0"/>
          <w:numId w:val="3"/>
        </w:numPr>
      </w:pPr>
      <w:r>
        <w:t xml:space="preserve">Toast IQ adoption metrics and potential monetization</w:t>
      </w:r>
    </w:p>
    <w:p>
      <w:pPr>
        <w:pStyle w:val="ListParagraph"/>
        <w:numPr>
          <w:ilvl w:val="0"/>
          <w:numId w:val="3"/>
        </w:numPr>
      </w:pPr>
      <w:r>
        <w:t xml:space="preserve">Enterprise segment wins (following Applebee's)</w:t>
      </w:r>
    </w:p>
    <w:p>
      <w:r>
        <w:br w:type="page"/>
      </w:r>
    </w:p>
    <w:p>
      <w:pPr>
        <w:pStyle w:val="Heading1"/>
      </w:pPr>
      <w:r>
        <w:t xml:space="preserve">INVESTMENT MEMO: VERTIV HOLDINGS CO. (VRT)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rPr>
                <w:b/>
                <w:bCs/>
                <w:color w:val="27ae60"/>
                <w:sz w:val="24"/>
                <w:szCs w:val="24"/>
              </w:rPr>
              <w:t xml:space="preserve">RECOMMENDATION: BUY</w:t>
            </w:r>
          </w:p>
          <w:p>
            <w:r>
              <w:rPr>
                <w:sz w:val="20"/>
                <w:szCs w:val="20"/>
              </w:rPr>
              <w:t xml:space="preserve">Score: 4.30/5.00 (HIGH Conviction)</w:t>
            </w:r>
          </w:p>
          <w:p>
            <w:r>
              <w:rPr>
                <w:sz w:val="20"/>
                <w:szCs w:val="20"/>
              </w:rPr>
              <w:t xml:space="preserve">Position Size: Full (3-5% of portfolio)</w:t>
            </w:r>
          </w:p>
        </w:tc>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Price Target: $135-160 (Base Case)</w:t>
            </w:r>
          </w:p>
          <w:p>
            <w:r>
              <w:rPr>
                <w:sz w:val="20"/>
                <w:szCs w:val="20"/>
              </w:rPr>
              <w:t xml:space="preserve">Current: ~$105 | Upside: 40-60%</w:t>
            </w:r>
          </w:p>
          <w:p>
            <w:r>
              <w:rPr>
                <w:sz w:val="20"/>
                <w:szCs w:val="20"/>
              </w:rPr>
              <w:t xml:space="preserve">Time Horizon: 12-24 months</w:t>
            </w:r>
          </w:p>
        </w:tc>
      </w:tr>
    </w:tbl>
    <w:p>
      <w:pPr>
        <w:pStyle w:val="Heading2"/>
      </w:pPr>
      <w:r>
        <w:t xml:space="preserve">Investment Thesis</w:t>
      </w:r>
    </w:p>
    <w:p>
      <w:r>
        <w:t xml:space="preserve">Vertiv is the premier "picks and shovels" play on AI infrastructure buildout. As the leading provider of critical power and cooling solutions for data centers, Vertiv is positioned at the intersection of two secular trends: explosive AI compute demand and the physical infrastructure required to power and cool it. The company offers exposure to AI infrastructure growth without the binary risk of betting on specific AI winners.</w:t>
      </w:r>
    </w:p>
    <w:p>
      <w:pPr>
        <w:pStyle w:val="Heading3"/>
      </w:pPr>
      <w:r>
        <w:t xml:space="preserve">Core Thesis Points</w:t>
      </w:r>
    </w:p>
    <w:p>
      <w:pPr>
        <w:pStyle w:val="ListParagraph"/>
        <w:numPr>
          <w:ilvl w:val="0"/>
          <w:numId w:val="4"/>
        </w:numPr>
      </w:pPr>
      <w:r>
        <w:rPr>
          <w:b/>
          <w:bCs/>
        </w:rPr>
        <w:t xml:space="preserve">Irreplaceable Infrastructure Provider: </w:t>
      </w:r>
      <w:r>
        <w:t xml:space="preserve">Vertiv's power and thermal management solutions are critical to data center operations. AI workloads require 10-15x more power density than traditional compute, creating exponential demand for Vertiv's advanced cooling solutions capable of handling 1000kW+ per rack.</w:t>
      </w:r>
    </w:p>
    <w:p>
      <w:pPr>
        <w:pStyle w:val="ListParagraph"/>
        <w:numPr>
          <w:ilvl w:val="0"/>
          <w:numId w:val="4"/>
        </w:numPr>
      </w:pPr>
      <w:r>
        <w:rPr>
          <w:b/>
          <w:bCs/>
        </w:rPr>
        <w:t xml:space="preserve">Explosive Order Growth: </w:t>
      </w:r>
      <w:r>
        <w:t xml:space="preserve">Q3 2025 organic orders grew 60% YoY with a 1.4x book-to-bill ratio. Backlog reached $9.5B (+30% YoY), providing exceptional visibility into future revenues.</w:t>
      </w:r>
    </w:p>
    <w:p>
      <w:pPr>
        <w:pStyle w:val="ListParagraph"/>
        <w:numPr>
          <w:ilvl w:val="0"/>
          <w:numId w:val="4"/>
        </w:numPr>
      </w:pPr>
      <w:r>
        <w:rPr>
          <w:b/>
          <w:bCs/>
        </w:rPr>
        <w:t xml:space="preserve">NVIDIA Ecosystem Alignment: </w:t>
      </w:r>
      <w:r>
        <w:t xml:space="preserve">The 800V DC portfolio planned for H2 2026 aligns directly with NVIDIA's Rubin Ultra platform rollout in 2027. Direct collaboration with NVIDIA on platform designs ensures Vertiv remains the preferred infrastructure partner.</w:t>
      </w:r>
    </w:p>
    <w:p>
      <w:pPr>
        <w:pStyle w:val="ListParagraph"/>
        <w:numPr>
          <w:ilvl w:val="0"/>
          <w:numId w:val="4"/>
        </w:numPr>
      </w:pPr>
      <w:r>
        <w:rPr>
          <w:b/>
          <w:bCs/>
        </w:rPr>
        <w:t xml:space="preserve">Margin Expansion Path: </w:t>
      </w:r>
      <w:r>
        <w:t xml:space="preserve">Operating margin reached 22.3% in Q3 2025 (+220bps YoY). Management targets 25% long-term margins by 2029, with 30-35% incremental margins on growth.</w:t>
      </w:r>
    </w:p>
    <w:p>
      <w:pPr>
        <w:pStyle w:val="ListParagraph"/>
        <w:numPr>
          <w:ilvl w:val="0"/>
          <w:numId w:val="4"/>
        </w:numPr>
      </w:pPr>
      <w:r>
        <w:rPr>
          <w:b/>
          <w:bCs/>
        </w:rPr>
        <w:t xml:space="preserve">Valuation Disconnect: </w:t>
      </w:r>
      <w:r>
        <w:t xml:space="preserve">Trading at ~27x forward earnings vs. tech sector average of 52x despite superior growth profile. The market underappreciates Vertiv's direct AI exposure and recurring services revenue potential.</w:t>
      </w:r>
    </w:p>
    <w:p>
      <w:pPr>
        <w:pStyle w:val="Heading2"/>
      </w:pPr>
      <w:r>
        <w:t xml:space="preserve">Financial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FY2024</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FY2025E</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FY2026E</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Commentary</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Revenue</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$7.2B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$10.2B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$12.5B+</w:t>
            </w:r>
          </w:p>
        </w:tc>
        <w:tc>
          <w:tcPr>
            <w:tcW w:type="dxa" w:w="2340"/>
            <w:tcBorders>
              <w:top w:val="single" w:color="CCCCCC" w:sz="1"/>
              <w:left w:val="single" w:color="CCCCCC" w:sz="1"/>
              <w:bottom w:val="single" w:color="CCCCCC" w:sz="1"/>
              <w:right w:val="single" w:color="CCCCCC" w:sz="1"/>
            </w:tcBorders>
          </w:tcPr>
          <w:p>
            <w:r>
              <w:rPr>
                <w:sz w:val="18"/>
                <w:szCs w:val="18"/>
              </w:rPr>
              <w:t xml:space="preserve">27% organic growth 2025</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Adj. EPS</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$2.85</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$4.10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$5.20+</w:t>
            </w:r>
          </w:p>
        </w:tc>
        <w:tc>
          <w:tcPr>
            <w:tcW w:type="dxa" w:w="2340"/>
            <w:tcBorders>
              <w:top w:val="single" w:color="CCCCCC" w:sz="1"/>
              <w:left w:val="single" w:color="CCCCCC" w:sz="1"/>
              <w:bottom w:val="single" w:color="CCCCCC" w:sz="1"/>
              <w:right w:val="single" w:color="CCCCCC" w:sz="1"/>
            </w:tcBorders>
          </w:tcPr>
          <w:p>
            <w:r>
              <w:rPr>
                <w:sz w:val="18"/>
                <w:szCs w:val="18"/>
              </w:rPr>
              <w:t xml:space="preserve">44% growth in 2025</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Adj. Op. Profit</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$1.55B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$2.06B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$2.6B+</w:t>
            </w:r>
          </w:p>
        </w:tc>
        <w:tc>
          <w:tcPr>
            <w:tcW w:type="dxa" w:w="2340"/>
            <w:tcBorders>
              <w:top w:val="single" w:color="CCCCCC" w:sz="1"/>
              <w:left w:val="single" w:color="CCCCCC" w:sz="1"/>
              <w:bottom w:val="single" w:color="CCCCCC" w:sz="1"/>
              <w:right w:val="single" w:color="CCCCCC" w:sz="1"/>
            </w:tcBorders>
          </w:tcPr>
          <w:p>
            <w:r>
              <w:rPr>
                <w:sz w:val="18"/>
                <w:szCs w:val="18"/>
              </w:rPr>
              <w:t xml:space="preserve">33% growth, margin expanding</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Backlog</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$7.3B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$9.5B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$11B+</w:t>
            </w:r>
          </w:p>
        </w:tc>
        <w:tc>
          <w:tcPr>
            <w:tcW w:type="dxa" w:w="2340"/>
            <w:tcBorders>
              <w:top w:val="single" w:color="CCCCCC" w:sz="1"/>
              <w:left w:val="single" w:color="CCCCCC" w:sz="1"/>
              <w:bottom w:val="single" w:color="CCCCCC" w:sz="1"/>
              <w:right w:val="single" w:color="CCCCCC" w:sz="1"/>
            </w:tcBorders>
          </w:tcPr>
          <w:p>
            <w:r>
              <w:rPr>
                <w:sz w:val="18"/>
                <w:szCs w:val="18"/>
              </w:rPr>
              <w:t xml:space="preserve">Exceptional visibility</w:t>
            </w:r>
          </w:p>
        </w:tc>
      </w:tr>
    </w:tbl>
    <w:p>
      <w:pPr>
        <w:pStyle w:val="Heading2"/>
      </w:pPr>
      <w:r>
        <w:t xml:space="preserve">Scenario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Scenario</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Bear (-25%)</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Base (+50%)</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Bull (+90%)</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2027E Revenue</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$13B (15%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$16B (22%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$19B (28% CAGR)</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Assumptions</w:t>
            </w:r>
          </w:p>
        </w:tc>
        <w:tc>
          <w:tcPr>
            <w:tcW w:type="dxa" w:w="2520"/>
            <w:tcBorders>
              <w:top w:val="single" w:color="CCCCCC" w:sz="1"/>
              <w:left w:val="single" w:color="CCCCCC" w:sz="1"/>
              <w:bottom w:val="single" w:color="CCCCCC" w:sz="1"/>
              <w:right w:val="single" w:color="CCCCCC" w:sz="1"/>
            </w:tcBorders>
            <w:shd w:fill="fadbd8" w:val="clear"/>
          </w:tcPr>
          <w:p>
            <w:r>
              <w:rPr>
                <w:sz w:val="18"/>
                <w:szCs w:val="18"/>
              </w:rPr>
              <w:t xml:space="preserve">AI capex slowdown, tariff escalation, EMEA weakness</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Sustained AI buildout, tariffs mitigated</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AI supercycle, services accelerate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Price Target</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20"/>
                <w:szCs w:val="20"/>
              </w:rPr>
              <w:t xml:space="preserve">$78</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$155</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$200</w:t>
            </w:r>
          </w:p>
        </w:tc>
      </w:tr>
    </w:tbl>
    <w:p>
      <w:pPr>
        <w:pStyle w:val="Heading2"/>
      </w:pPr>
      <w:r>
        <w:t xml:space="preserve">Key Risks</w:t>
      </w:r>
    </w:p>
    <w:p>
      <w:pPr>
        <w:pStyle w:val="ListParagraph"/>
        <w:numPr>
          <w:ilvl w:val="0"/>
          <w:numId w:val="5"/>
        </w:numPr>
      </w:pPr>
      <w:r>
        <w:rPr>
          <w:b/>
          <w:bCs/>
        </w:rPr>
        <w:t xml:space="preserve">Tariff Exposure: </w:t>
      </w:r>
      <w:r>
        <w:t xml:space="preserve">Global supply chain with manufacturing in multiple countries creates tariff vulnerability. Management is executing mitigation strategies and expects to offset impacts by Q1 2026, but escalation risk remains.</w:t>
      </w:r>
    </w:p>
    <w:p>
      <w:pPr>
        <w:pStyle w:val="ListParagraph"/>
        <w:numPr>
          <w:ilvl w:val="0"/>
          <w:numId w:val="5"/>
        </w:numPr>
      </w:pPr>
      <w:r>
        <w:rPr>
          <w:b/>
          <w:bCs/>
        </w:rPr>
        <w:t xml:space="preserve">AI Capex Cyclicality: </w:t>
      </w:r>
      <w:r>
        <w:t xml:space="preserve">If hyperscaler spending slows or AI investment proves to be a bubble, order growth could decelerate sharply. However, contracted backlog provides 12-18 month visibility buffer.</w:t>
      </w:r>
    </w:p>
    <w:p>
      <w:pPr>
        <w:pStyle w:val="ListParagraph"/>
        <w:numPr>
          <w:ilvl w:val="0"/>
          <w:numId w:val="5"/>
        </w:numPr>
      </w:pPr>
      <w:r>
        <w:rPr>
          <w:b/>
          <w:bCs/>
        </w:rPr>
        <w:t xml:space="preserve">EMEA Weakness: </w:t>
      </w:r>
      <w:r>
        <w:t xml:space="preserve">Q3 2025 EMEA sales declined 4% due to power availability and regulatory challenges. Recovery not expected until H2 2026. Restructuring underway with $30M in costs.</w:t>
      </w:r>
    </w:p>
    <w:p>
      <w:pPr>
        <w:pStyle w:val="ListParagraph"/>
        <w:numPr>
          <w:ilvl w:val="0"/>
          <w:numId w:val="5"/>
        </w:numPr>
      </w:pPr>
      <w:r>
        <w:rPr>
          <w:b/>
          <w:bCs/>
        </w:rPr>
        <w:t xml:space="preserve">Customer Concentration: </w:t>
      </w:r>
      <w:r>
        <w:t xml:space="preserve">Hyperscaler customers represent significant revenue. Loss of major relationships or negotiated pricing pressure could impact margins.</w:t>
      </w:r>
    </w:p>
    <w:p>
      <w:pPr>
        <w:pStyle w:val="Heading2"/>
      </w:pPr>
      <w:r>
        <w:t xml:space="preserve">Catalysts to Monitor</w:t>
      </w:r>
    </w:p>
    <w:p>
      <w:pPr>
        <w:pStyle w:val="ListParagraph"/>
        <w:numPr>
          <w:ilvl w:val="0"/>
          <w:numId w:val="5"/>
        </w:numPr>
      </w:pPr>
      <w:r>
        <w:t xml:space="preserve">Q4 2025 earnings: Order trajectory, tariff mitigation progress</w:t>
      </w:r>
    </w:p>
    <w:p>
      <w:pPr>
        <w:pStyle w:val="ListParagraph"/>
        <w:numPr>
          <w:ilvl w:val="0"/>
          <w:numId w:val="5"/>
        </w:numPr>
      </w:pPr>
      <w:r>
        <w:t xml:space="preserve">800V DC portfolio launch (H2 2026) aligned with NVIDIA Rubin</w:t>
      </w:r>
    </w:p>
    <w:p>
      <w:pPr>
        <w:pStyle w:val="ListParagraph"/>
        <w:numPr>
          <w:ilvl w:val="0"/>
          <w:numId w:val="5"/>
        </w:numPr>
      </w:pPr>
      <w:r>
        <w:t xml:space="preserve">Caterpillar partnership execution and expanded relationships</w:t>
      </w:r>
    </w:p>
    <w:p>
      <w:pPr>
        <w:pStyle w:val="ListParagraph"/>
        <w:numPr>
          <w:ilvl w:val="0"/>
          <w:numId w:val="5"/>
        </w:numPr>
      </w:pPr>
      <w:r>
        <w:t xml:space="preserve">EMEA restructuring completion and margin recovery</w:t>
      </w:r>
    </w:p>
    <w:p>
      <w:r>
        <w:br w:type="page"/>
      </w:r>
    </w:p>
    <w:p>
      <w:pPr>
        <w:pStyle w:val="Heading1"/>
      </w:pPr>
      <w:r>
        <w:t xml:space="preserve">INVESTMENT MEMO: SENTINELONE, INC. (S)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rPr>
                <w:b/>
                <w:bCs/>
                <w:color w:val="d68910"/>
                <w:sz w:val="24"/>
                <w:szCs w:val="24"/>
              </w:rPr>
              <w:t xml:space="preserve">RECOMMENDATION: SPECULATIVE BUY</w:t>
            </w:r>
          </w:p>
          <w:p>
            <w:r>
              <w:rPr>
                <w:sz w:val="20"/>
                <w:szCs w:val="20"/>
              </w:rPr>
              <w:t xml:space="preserve">Score: 4.18/5.00 (HIGH Conviction)</w:t>
            </w:r>
          </w:p>
          <w:p>
            <w:r>
              <w:rPr>
                <w:sz w:val="20"/>
                <w:szCs w:val="20"/>
              </w:rPr>
              <w:t xml:space="preserve">Position Size: Half (1.5-2.5% of portfolio)</w:t>
            </w:r>
          </w:p>
        </w:tc>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Price Target: $23-28 (Base Case)</w:t>
            </w:r>
          </w:p>
          <w:p>
            <w:r>
              <w:rPr>
                <w:sz w:val="20"/>
                <w:szCs w:val="20"/>
              </w:rPr>
              <w:t xml:space="preserve">Current: ~$17 | Upside: 50-80%</w:t>
            </w:r>
          </w:p>
          <w:p>
            <w:r>
              <w:rPr>
                <w:sz w:val="20"/>
                <w:szCs w:val="20"/>
              </w:rPr>
              <w:t xml:space="preserve">Time Horizon: 24-36 months</w:t>
            </w:r>
          </w:p>
        </w:tc>
      </w:tr>
    </w:tbl>
    <w:p>
      <w:pPr>
        <w:pStyle w:val="Heading2"/>
      </w:pPr>
      <w:r>
        <w:t xml:space="preserve">Investment Thesis</w:t>
      </w:r>
    </w:p>
    <w:p>
      <w:r>
        <w:t xml:space="preserve">SentinelOne represents a deeply mispriced AI-native cybersecurity leader trading at a significant discount to peers despite superior technology and comparable growth. The stock is down ~40% YTD and trades at 6x forward sales versus CrowdStrike's 28.5x, creating an asymmetric risk/reward opportunity for patient investors willing to accept near-term volatility.</w:t>
      </w:r>
    </w:p>
    <w:p>
      <w:pPr>
        <w:pStyle w:val="Heading3"/>
      </w:pPr>
      <w:r>
        <w:t xml:space="preserve">Core Thesis Points</w:t>
      </w:r>
    </w:p>
    <w:p>
      <w:pPr>
        <w:pStyle w:val="ListParagraph"/>
        <w:numPr>
          <w:ilvl w:val="0"/>
          <w:numId w:val="6"/>
        </w:numPr>
      </w:pPr>
      <w:r>
        <w:rPr>
          <w:b/>
          <w:bCs/>
        </w:rPr>
        <w:t xml:space="preserve">Valuation Dislocation: </w:t>
      </w:r>
      <w:r>
        <w:t xml:space="preserve">Trading at 6x forward sales vs. CrowdStrike at 28.5x represents a 79% discount despite SentinelOne delivering 22% revenue growth. Analyst consensus price target of $23.50 implies 40%+ upside.</w:t>
      </w:r>
    </w:p>
    <w:p>
      <w:pPr>
        <w:pStyle w:val="ListParagraph"/>
        <w:numPr>
          <w:ilvl w:val="0"/>
          <w:numId w:val="6"/>
        </w:numPr>
      </w:pPr>
      <w:r>
        <w:rPr>
          <w:b/>
          <w:bCs/>
        </w:rPr>
        <w:t xml:space="preserve">AI Technology Leadership: </w:t>
      </w:r>
      <w:r>
        <w:t xml:space="preserve">Purple AI autonomous analyst is the company's fastest-growing product, with triple-digit growth. Gartner EPP Leader for 5 consecutive years; IDC XDR Leader 2025. AI-native architecture provides structural advantages.</w:t>
      </w:r>
    </w:p>
    <w:p>
      <w:pPr>
        <w:pStyle w:val="ListParagraph"/>
        <w:numPr>
          <w:ilvl w:val="0"/>
          <w:numId w:val="6"/>
        </w:numPr>
      </w:pPr>
      <w:r>
        <w:rPr>
          <w:b/>
          <w:bCs/>
        </w:rPr>
        <w:t xml:space="preserve">$1B ARR Milestone: </w:t>
      </w:r>
      <w:r>
        <w:t xml:space="preserve">Q2 FY2026 saw ARR cross $1B for the first time with 24% YoY growth. Customers with &gt;$100K ARR grew 23% to 1,513. Platform adoption through SentinelOne Flex driving expansion.</w:t>
      </w:r>
    </w:p>
    <w:p>
      <w:pPr>
        <w:pStyle w:val="ListParagraph"/>
        <w:numPr>
          <w:ilvl w:val="0"/>
          <w:numId w:val="6"/>
        </w:numPr>
      </w:pPr>
      <w:r>
        <w:rPr>
          <w:b/>
          <w:bCs/>
        </w:rPr>
        <w:t xml:space="preserve">CrowdStrike Fallout Beneficiary: </w:t>
      </w:r>
      <w:r>
        <w:t xml:space="preserve">The July 2024 CrowdStrike global outage created a window for enterprises to reconsider security vendors. SentinelOne's MITRE leadership and Purple AI differentiation position it to capture displaced demand.</w:t>
      </w:r>
    </w:p>
    <w:p>
      <w:pPr>
        <w:pStyle w:val="ListParagraph"/>
        <w:numPr>
          <w:ilvl w:val="0"/>
          <w:numId w:val="6"/>
        </w:numPr>
      </w:pPr>
      <w:r>
        <w:rPr>
          <w:b/>
          <w:bCs/>
        </w:rPr>
        <w:t xml:space="preserve">Path to Profitability: </w:t>
      </w:r>
      <w:r>
        <w:t xml:space="preserve">Operating margin improved to ~4% in Q3 FY2026 (from -1.7%). 79% gross margins provide leverage for continued improvement as scale increases.</w:t>
      </w:r>
    </w:p>
    <w:p>
      <w:pPr>
        <w:pStyle w:val="Heading2"/>
      </w:pPr>
      <w:r>
        <w:t xml:space="preserve">Financial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FY2025</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FY2026E</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FY2027E</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Commentary</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Revenue</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$821M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$1.0B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$1.2B</w:t>
            </w:r>
          </w:p>
        </w:tc>
        <w:tc>
          <w:tcPr>
            <w:tcW w:type="dxa" w:w="2340"/>
            <w:tcBorders>
              <w:top w:val="single" w:color="CCCCCC" w:sz="1"/>
              <w:left w:val="single" w:color="CCCCCC" w:sz="1"/>
              <w:bottom w:val="single" w:color="CCCCCC" w:sz="1"/>
              <w:right w:val="single" w:color="CCCCCC" w:sz="1"/>
            </w:tcBorders>
          </w:tcPr>
          <w:p>
            <w:r>
              <w:rPr>
                <w:sz w:val="18"/>
                <w:szCs w:val="18"/>
              </w:rPr>
              <w:t xml:space="preserve">22% growth guided FY26</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ARR</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$920M</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$1.1B</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$1.3B</w:t>
            </w:r>
          </w:p>
        </w:tc>
        <w:tc>
          <w:tcPr>
            <w:tcW w:type="dxa" w:w="2340"/>
            <w:tcBorders>
              <w:top w:val="single" w:color="CCCCCC" w:sz="1"/>
              <w:left w:val="single" w:color="CCCCCC" w:sz="1"/>
              <w:bottom w:val="single" w:color="CCCCCC" w:sz="1"/>
              <w:right w:val="single" w:color="CCCCCC" w:sz="1"/>
            </w:tcBorders>
          </w:tcPr>
          <w:p>
            <w:r>
              <w:rPr>
                <w:sz w:val="18"/>
                <w:szCs w:val="18"/>
              </w:rPr>
              <w:t xml:space="preserve">$1B milestone crossed Q2</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Gross Margin</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78%</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79%</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80%</w:t>
            </w:r>
          </w:p>
        </w:tc>
        <w:tc>
          <w:tcPr>
            <w:tcW w:type="dxa" w:w="2340"/>
            <w:tcBorders>
              <w:top w:val="single" w:color="CCCCCC" w:sz="1"/>
              <w:left w:val="single" w:color="CCCCCC" w:sz="1"/>
              <w:bottom w:val="single" w:color="CCCCCC" w:sz="1"/>
              <w:right w:val="single" w:color="CCCCCC" w:sz="1"/>
            </w:tcBorders>
          </w:tcPr>
          <w:p>
            <w:r>
              <w:rPr>
                <w:sz w:val="18"/>
                <w:szCs w:val="18"/>
              </w:rPr>
              <w:t xml:space="preserve">Best-in-class margins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Operating Margin</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8%+</w:t>
            </w:r>
          </w:p>
        </w:tc>
        <w:tc>
          <w:tcPr>
            <w:tcW w:type="dxa" w:w="2340"/>
            <w:tcBorders>
              <w:top w:val="single" w:color="CCCCCC" w:sz="1"/>
              <w:left w:val="single" w:color="CCCCCC" w:sz="1"/>
              <w:bottom w:val="single" w:color="CCCCCC" w:sz="1"/>
              <w:right w:val="single" w:color="CCCCCC" w:sz="1"/>
            </w:tcBorders>
          </w:tcPr>
          <w:p>
            <w:r>
              <w:rPr>
                <w:sz w:val="18"/>
                <w:szCs w:val="18"/>
              </w:rPr>
              <w:t xml:space="preserve">Inflection point reached</w:t>
            </w:r>
          </w:p>
        </w:tc>
      </w:tr>
    </w:tbl>
    <w:p>
      <w:pPr>
        <w:pStyle w:val="Heading2"/>
      </w:pPr>
      <w:r>
        <w:t xml:space="preserve">Scenario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Scenario</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Bear (-30%)</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Base (+60%)</w:t>
            </w:r>
          </w:p>
        </w:tc>
        <w:tc>
          <w:tcPr>
            <w:tcW w:type="dxa" w:w="252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Bull (+120%)</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FY2028E ARR</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$1.4B (15%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$1.8B (22% CAGR)</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18"/>
                <w:szCs w:val="18"/>
              </w:rPr>
              <w:t xml:space="preserve">$2.3B (30% CAGR)</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Assumptions</w:t>
            </w:r>
          </w:p>
        </w:tc>
        <w:tc>
          <w:tcPr>
            <w:tcW w:type="dxa" w:w="2520"/>
            <w:tcBorders>
              <w:top w:val="single" w:color="CCCCCC" w:sz="1"/>
              <w:left w:val="single" w:color="CCCCCC" w:sz="1"/>
              <w:bottom w:val="single" w:color="CCCCCC" w:sz="1"/>
              <w:right w:val="single" w:color="CCCCCC" w:sz="1"/>
            </w:tcBorders>
            <w:shd w:fill="fadbd8" w:val="clear"/>
          </w:tcPr>
          <w:p>
            <w:r>
              <w:rPr>
                <w:sz w:val="18"/>
                <w:szCs w:val="18"/>
              </w:rPr>
              <w:t xml:space="preserve">CRWD reaccelerates, S loses share, no profitability</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Purple AI drives wins, margin expansion</w:t>
            </w:r>
          </w:p>
        </w:tc>
        <w:tc>
          <w:tcPr>
            <w:tcW w:type="dxa" w:w="2520"/>
            <w:tcBorders>
              <w:top w:val="single" w:color="CCCCCC" w:sz="1"/>
              <w:left w:val="single" w:color="CCCCCC" w:sz="1"/>
              <w:bottom w:val="single" w:color="CCCCCC" w:sz="1"/>
              <w:right w:val="single" w:color="CCCCCC" w:sz="1"/>
            </w:tcBorders>
            <w:shd w:fill="d5f5e3" w:val="clear"/>
          </w:tcPr>
          <w:p>
            <w:r>
              <w:rPr>
                <w:sz w:val="18"/>
                <w:szCs w:val="18"/>
              </w:rPr>
              <w:t xml:space="preserve">CRWD market share gains, M&amp;A target</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Price Target</w:t>
            </w:r>
          </w:p>
        </w:tc>
        <w:tc>
          <w:tcPr>
            <w:tcW w:type="dxa" w:w="2520"/>
            <w:tcBorders>
              <w:top w:val="single" w:color="CCCCCC" w:sz="1"/>
              <w:left w:val="single" w:color="CCCCCC" w:sz="1"/>
              <w:bottom w:val="single" w:color="CCCCCC" w:sz="1"/>
              <w:right w:val="single" w:color="CCCCCC" w:sz="1"/>
            </w:tcBorders>
            <w:shd w:fill="fadbd8" w:val="clear"/>
          </w:tcPr>
          <w:p>
            <w:pPr>
              <w:jc w:val="center"/>
            </w:pPr>
            <w:r>
              <w:rPr>
                <w:sz w:val="20"/>
                <w:szCs w:val="20"/>
              </w:rPr>
              <w:t xml:space="preserve">$12</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$27</w:t>
            </w:r>
          </w:p>
        </w:tc>
        <w:tc>
          <w:tcPr>
            <w:tcW w:type="dxa" w:w="252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$38</w:t>
            </w:r>
          </w:p>
        </w:tc>
      </w:tr>
    </w:tbl>
    <w:p>
      <w:pPr>
        <w:pStyle w:val="Heading2"/>
      </w:pPr>
      <w:r>
        <w:t xml:space="preserve">Key Risks</w:t>
      </w:r>
    </w:p>
    <w:p>
      <w:pPr>
        <w:pStyle w:val="ListParagraph"/>
        <w:numPr>
          <w:ilvl w:val="0"/>
          <w:numId w:val="7"/>
        </w:numPr>
      </w:pPr>
      <w:r>
        <w:rPr>
          <w:b/>
          <w:bCs/>
        </w:rPr>
        <w:t xml:space="preserve">Not Yet GAAP Profitable: </w:t>
      </w:r>
      <w:r>
        <w:t xml:space="preserve">Six consecutive years of quarterly losses. While path to profitability is visible, extended losses could pressure the stock in a risk-off environment.</w:t>
      </w:r>
    </w:p>
    <w:p>
      <w:pPr>
        <w:pStyle w:val="ListParagraph"/>
        <w:numPr>
          <w:ilvl w:val="0"/>
          <w:numId w:val="7"/>
        </w:numPr>
      </w:pPr>
      <w:r>
        <w:rPr>
          <w:b/>
          <w:bCs/>
        </w:rPr>
        <w:t xml:space="preserve">CrowdStrike Dominance: </w:t>
      </w:r>
      <w:r>
        <w:t xml:space="preserve">CRWD remains the category leader with superior scale, brand recognition, and platform breadth. Competition for enterprise deals is intense.</w:t>
      </w:r>
    </w:p>
    <w:p>
      <w:pPr>
        <w:pStyle w:val="ListParagraph"/>
        <w:numPr>
          <w:ilvl w:val="0"/>
          <w:numId w:val="7"/>
        </w:numPr>
      </w:pPr>
      <w:r>
        <w:rPr>
          <w:b/>
          <w:bCs/>
        </w:rPr>
        <w:t xml:space="preserve">Growth Deceleration: </w:t>
      </w:r>
      <w:r>
        <w:t xml:space="preserve">Revenue growth slowed from 32% (FY25) to 22% guidance (FY26). Net new ARR reacceleration in recent quarters needs to prove sustainable.</w:t>
      </w:r>
    </w:p>
    <w:p>
      <w:pPr>
        <w:pStyle w:val="ListParagraph"/>
        <w:numPr>
          <w:ilvl w:val="0"/>
          <w:numId w:val="7"/>
        </w:numPr>
      </w:pPr>
      <w:r>
        <w:rPr>
          <w:b/>
          <w:bCs/>
        </w:rPr>
        <w:t xml:space="preserve">Stock Volatility: </w:t>
      </w:r>
      <w:r>
        <w:t xml:space="preserve">Beta of 1.47 and 46% annualized volatility. Stock is down ~40% YTD. Position sizing must account for potential drawdowns.</w:t>
      </w:r>
    </w:p>
    <w:p>
      <w:pPr>
        <w:pStyle w:val="ListParagraph"/>
        <w:numPr>
          <w:ilvl w:val="0"/>
          <w:numId w:val="7"/>
        </w:numPr>
      </w:pPr>
      <w:r>
        <w:rPr>
          <w:b/>
          <w:bCs/>
        </w:rPr>
        <w:t xml:space="preserve">Governance History: </w:t>
      </w:r>
      <w:r>
        <w:t xml:space="preserve">2023 ARR overstatement created credibility concerns. While addressed, investor skepticism may persist.</w:t>
      </w:r>
    </w:p>
    <w:p>
      <w:pPr>
        <w:pStyle w:val="Heading2"/>
      </w:pPr>
      <w:r>
        <w:t xml:space="preserve">Catalysts to Monitor</w:t>
      </w:r>
    </w:p>
    <w:p>
      <w:pPr>
        <w:pStyle w:val="ListParagraph"/>
        <w:numPr>
          <w:ilvl w:val="0"/>
          <w:numId w:val="7"/>
        </w:numPr>
      </w:pPr>
      <w:r>
        <w:t xml:space="preserve">Q3 FY2026 earnings (December 9, 2025): Net new ARR trajectory, Purple AI metrics</w:t>
      </w:r>
    </w:p>
    <w:p>
      <w:pPr>
        <w:pStyle w:val="ListParagraph"/>
        <w:numPr>
          <w:ilvl w:val="0"/>
          <w:numId w:val="7"/>
        </w:numPr>
      </w:pPr>
      <w:r>
        <w:t xml:space="preserve">Prompt Security acquisition integration (closes Q3 FY2026)</w:t>
      </w:r>
    </w:p>
    <w:p>
      <w:pPr>
        <w:pStyle w:val="ListParagraph"/>
        <w:numPr>
          <w:ilvl w:val="0"/>
          <w:numId w:val="7"/>
        </w:numPr>
      </w:pPr>
      <w:r>
        <w:t xml:space="preserve">Observo AI acquisition and AI SIEM traction</w:t>
      </w:r>
    </w:p>
    <w:p>
      <w:pPr>
        <w:pStyle w:val="ListParagraph"/>
        <w:numPr>
          <w:ilvl w:val="0"/>
          <w:numId w:val="7"/>
        </w:numPr>
      </w:pPr>
      <w:r>
        <w:t xml:space="preserve">Potential M&amp;A interest (Dan Ives identified as takeover target)</w:t>
      </w:r>
    </w:p>
    <w:p>
      <w:pPr>
        <w:pStyle w:val="ListParagraph"/>
        <w:numPr>
          <w:ilvl w:val="0"/>
          <w:numId w:val="7"/>
        </w:numPr>
      </w:pPr>
      <w:r>
        <w:t xml:space="preserve">CrowdStrike competitive dynamics post-outage</w:t>
      </w:r>
    </w:p>
    <w:p>
      <w:r>
        <w:br w:type="page"/>
      </w:r>
    </w:p>
    <w:p>
      <w:pPr>
        <w:pStyle w:val="Heading1"/>
      </w:pPr>
      <w:r>
        <w:t xml:space="preserve">PORTFOLIO CONSTRUCTION RECOMMENDATIONS</w:t>
      </w:r>
    </w:p>
    <w:p>
      <w:pPr>
        <w:pStyle w:val="Heading2"/>
      </w:pPr>
      <w:r>
        <w:t xml:space="preserve">Suggested Allocations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Company</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Allocation</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Entry</w:t>
            </w:r>
          </w:p>
        </w:tc>
        <w:tc>
          <w:tcPr>
            <w:tcW w:type="dxa" w:w="15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Stop-Loss</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Entry Strategy</w:t>
            </w:r>
          </w:p>
        </w:tc>
      </w:tr>
      <w:tr>
        <w:tc>
          <w:tcPr>
            <w:tcW w:type="dxa" w:w="2340"/>
            <w:tcBorders>
              <w:top w:val="single" w:color="CCCCCC" w:sz="1"/>
              <w:left w:val="single" w:color="CCCCCC" w:sz="1"/>
              <w:bottom w:val="single" w:color="CCCCCC" w:sz="1"/>
              <w:right w:val="single" w:color="CCCCCC" w:sz="1"/>
            </w:tcBorders>
            <w:shd w:fill="d5f5e3" w:val="clear"/>
          </w:tcPr>
          <w:p>
            <w:r>
              <w:rPr>
                <w:b/>
                <w:bCs/>
                <w:sz w:val="20"/>
                <w:szCs w:val="20"/>
              </w:rPr>
              <w:t xml:space="preserve">Toast (TOST)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Current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$32</w:t>
            </w:r>
          </w:p>
        </w:tc>
        <w:tc>
          <w:tcPr>
            <w:tcW w:type="dxa" w:w="2340"/>
            <w:tcBorders>
              <w:top w:val="single" w:color="CCCCCC" w:sz="1"/>
              <w:left w:val="single" w:color="CCCCCC" w:sz="1"/>
              <w:bottom w:val="single" w:color="CCCCCC" w:sz="1"/>
              <w:right w:val="single" w:color="CCCCCC" w:sz="1"/>
            </w:tcBorders>
            <w:shd w:fill="d5f5e3" w:val="clear"/>
          </w:tcPr>
          <w:p>
            <w:r>
              <w:rPr>
                <w:sz w:val="18"/>
                <w:szCs w:val="18"/>
              </w:rPr>
              <w:t xml:space="preserve">Full position, add on 10%+ pullback</w:t>
            </w:r>
          </w:p>
        </w:tc>
      </w:tr>
      <w:tr>
        <w:tc>
          <w:tcPr>
            <w:tcW w:type="dxa" w:w="2340"/>
            <w:tcBorders>
              <w:top w:val="single" w:color="CCCCCC" w:sz="1"/>
              <w:left w:val="single" w:color="CCCCCC" w:sz="1"/>
              <w:bottom w:val="single" w:color="CCCCCC" w:sz="1"/>
              <w:right w:val="single" w:color="CCCCCC" w:sz="1"/>
            </w:tcBorders>
            <w:shd w:fill="d5f5e3" w:val="clear"/>
          </w:tcPr>
          <w:p>
            <w:r>
              <w:rPr>
                <w:b/>
                <w:bCs/>
                <w:sz w:val="20"/>
                <w:szCs w:val="20"/>
              </w:rPr>
              <w:t xml:space="preserve">Vertiv (VRT)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Current</w:t>
            </w:r>
          </w:p>
        </w:tc>
        <w:tc>
          <w:tcPr>
            <w:tcW w:type="dxa" w:w="156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$78</w:t>
            </w:r>
          </w:p>
        </w:tc>
        <w:tc>
          <w:tcPr>
            <w:tcW w:type="dxa" w:w="2340"/>
            <w:tcBorders>
              <w:top w:val="single" w:color="CCCCCC" w:sz="1"/>
              <w:left w:val="single" w:color="CCCCCC" w:sz="1"/>
              <w:bottom w:val="single" w:color="CCCCCC" w:sz="1"/>
              <w:right w:val="single" w:color="CCCCCC" w:sz="1"/>
            </w:tcBorders>
            <w:shd w:fill="d5f5e3" w:val="clear"/>
          </w:tcPr>
          <w:p>
            <w:r>
              <w:rPr>
                <w:sz w:val="18"/>
                <w:szCs w:val="18"/>
              </w:rPr>
              <w:t xml:space="preserve">Full position, layer in 2 tranches</w:t>
            </w:r>
          </w:p>
        </w:tc>
      </w:tr>
      <w:tr>
        <w:tc>
          <w:tcPr>
            <w:tcW w:type="dxa" w:w="2340"/>
            <w:tcBorders>
              <w:top w:val="single" w:color="CCCCCC" w:sz="1"/>
              <w:left w:val="single" w:color="CCCCCC" w:sz="1"/>
              <w:bottom w:val="single" w:color="CCCCCC" w:sz="1"/>
              <w:right w:val="single" w:color="CCCCCC" w:sz="1"/>
            </w:tcBorders>
            <w:shd w:fill="fef9e7" w:val="clear"/>
          </w:tcPr>
          <w:p>
            <w:r>
              <w:rPr>
                <w:b/>
                <w:bCs/>
                <w:sz w:val="20"/>
                <w:szCs w:val="20"/>
              </w:rPr>
              <w:t xml:space="preserve">SentinelOne (S)</w:t>
            </w:r>
          </w:p>
        </w:tc>
        <w:tc>
          <w:tcPr>
            <w:tcW w:type="dxa" w:w="1560"/>
            <w:tcBorders>
              <w:top w:val="single" w:color="CCCCCC" w:sz="1"/>
              <w:left w:val="single" w:color="CCCCCC" w:sz="1"/>
              <w:bottom w:val="single" w:color="CCCCCC" w:sz="1"/>
              <w:right w:val="single" w:color="CCCCCC" w:sz="1"/>
            </w:tcBorders>
            <w:shd w:fill="fef9e7" w:val="clear"/>
          </w:tcPr>
          <w:p>
            <w:pPr>
              <w:jc w:val="center"/>
            </w:pPr>
            <w:r>
              <w:rPr>
                <w:sz w:val="20"/>
                <w:szCs w:val="20"/>
              </w:rPr>
              <w:t xml:space="preserve">2%</w:t>
            </w:r>
          </w:p>
        </w:tc>
        <w:tc>
          <w:tcPr>
            <w:tcW w:type="dxa" w:w="1560"/>
            <w:tcBorders>
              <w:top w:val="single" w:color="CCCCCC" w:sz="1"/>
              <w:left w:val="single" w:color="CCCCCC" w:sz="1"/>
              <w:bottom w:val="single" w:color="CCCCCC" w:sz="1"/>
              <w:right w:val="single" w:color="CCCCCC" w:sz="1"/>
            </w:tcBorders>
            <w:shd w:fill="fef9e7" w:val="clear"/>
          </w:tcPr>
          <w:p>
            <w:pPr>
              <w:jc w:val="center"/>
            </w:pPr>
            <w:r>
              <w:rPr>
                <w:sz w:val="20"/>
                <w:szCs w:val="20"/>
              </w:rPr>
              <w:t xml:space="preserve">Current</w:t>
            </w:r>
          </w:p>
        </w:tc>
        <w:tc>
          <w:tcPr>
            <w:tcW w:type="dxa" w:w="1560"/>
            <w:tcBorders>
              <w:top w:val="single" w:color="CCCCCC" w:sz="1"/>
              <w:left w:val="single" w:color="CCCCCC" w:sz="1"/>
              <w:bottom w:val="single" w:color="CCCCCC" w:sz="1"/>
              <w:right w:val="single" w:color="CCCCCC" w:sz="1"/>
            </w:tcBorders>
            <w:shd w:fill="fef9e7" w:val="clear"/>
          </w:tcPr>
          <w:p>
            <w:pPr>
              <w:jc w:val="center"/>
            </w:pPr>
            <w:r>
              <w:rPr>
                <w:sz w:val="20"/>
                <w:szCs w:val="20"/>
              </w:rPr>
              <w:t xml:space="preserve">$12</w:t>
            </w:r>
          </w:p>
        </w:tc>
        <w:tc>
          <w:tcPr>
            <w:tcW w:type="dxa" w:w="2340"/>
            <w:tcBorders>
              <w:top w:val="single" w:color="CCCCCC" w:sz="1"/>
              <w:left w:val="single" w:color="CCCCCC" w:sz="1"/>
              <w:bottom w:val="single" w:color="CCCCCC" w:sz="1"/>
              <w:right w:val="single" w:color="CCCCCC" w:sz="1"/>
            </w:tcBorders>
            <w:shd w:fill="fef9e7" w:val="clear"/>
          </w:tcPr>
          <w:p>
            <w:r>
              <w:rPr>
                <w:sz w:val="18"/>
                <w:szCs w:val="18"/>
              </w:rPr>
              <w:t xml:space="preserve">Half position, add post-Q3 if beats</w:t>
            </w:r>
          </w:p>
        </w:tc>
      </w:tr>
    </w:tbl>
    <w:p/>
    <w:p>
      <w:pPr>
        <w:pStyle w:val="Heading2"/>
      </w:pPr>
      <w:r>
        <w:t xml:space="preserve">Next Steps</w:t>
      </w:r>
    </w:p>
    <w:p>
      <w:pPr>
        <w:pStyle w:val="ListParagraph"/>
        <w:numPr>
          <w:ilvl w:val="0"/>
          <w:numId w:val="8"/>
        </w:numPr>
      </w:pPr>
      <w:r>
        <w:t xml:space="preserve">Set price alerts for entry opportunities on pullbacks</w:t>
      </w:r>
    </w:p>
    <w:p>
      <w:pPr>
        <w:pStyle w:val="ListParagraph"/>
        <w:numPr>
          <w:ilvl w:val="0"/>
          <w:numId w:val="8"/>
        </w:numPr>
      </w:pPr>
      <w:r>
        <w:t xml:space="preserve">Monitor Q4 2025 earnings for TOST (Feb) and VRT (Q4) for thesis validation</w:t>
      </w:r>
    </w:p>
    <w:p>
      <w:pPr>
        <w:pStyle w:val="ListParagraph"/>
        <w:numPr>
          <w:ilvl w:val="0"/>
          <w:numId w:val="8"/>
        </w:numPr>
      </w:pPr>
      <w:r>
        <w:t xml:space="preserve">Watch SentinelOne Q3 FY2026 earnings (Dec 9) before adding to position</w:t>
      </w:r>
    </w:p>
    <w:p>
      <w:pPr>
        <w:pStyle w:val="ListParagraph"/>
        <w:numPr>
          <w:ilvl w:val="0"/>
          <w:numId w:val="8"/>
        </w:numPr>
      </w:pPr>
      <w:r>
        <w:t xml:space="preserve">Continue monitoring MEDIUM conviction candidates (CRWD, NET, APPF, SNOW) for better entry points</w:t>
      </w:r>
    </w:p>
    <w:p>
      <w:pPr>
        <w:pStyle w:val="ListParagraph"/>
        <w:numPr>
          <w:ilvl w:val="0"/>
          <w:numId w:val="8"/>
        </w:numPr>
      </w:pPr>
      <w:r>
        <w:t xml:space="preserve">Re-evaluate CoreWeave (CRWV) following Q4 results and debt trajectory</w:t>
      </w:r>
    </w:p>
    <w:p/>
    <w:p>
      <w:pPr>
        <w:spacing w:before="400"/>
        <w:jc w:val="center"/>
      </w:pPr>
      <w:r>
        <w:rPr>
          <w:i/>
          <w:iCs/>
          <w:color w:val="666666"/>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Stage 2 Investment Memos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5276"/>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2025-11-28T23:19:45.943Z</dcterms:created>
  <dcterms:modified xsi:type="dcterms:W3CDTF">2025-11-28T23:19:45.943Z</dcterms:modified>
</cp:coreProperties>
</file>

<file path=docProps/custom.xml><?xml version="1.0" encoding="utf-8"?>
<Properties xmlns="http://schemas.openxmlformats.org/officeDocument/2006/custom-properties" xmlns:vt="http://schemas.openxmlformats.org/officeDocument/2006/docPropsVTypes"/>
</file>