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2E4F"/>
          <w:sz w:val="36"/>
        </w:rPr>
        <w:t>Data Governance &amp; Privacy Assessment</w:t>
      </w:r>
    </w:p>
    <w:p>
      <w:r>
        <w:rPr>
          <w:b w:val="0"/>
          <w:i/>
          <w:color w:val="555555"/>
          <w:sz w:val="20"/>
        </w:rPr>
        <w:t>Harbourline Bank - Change &amp; Architecture Governance Board submission form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6920"/>
        <w:gridCol w:w="6920"/>
      </w:tblGrid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Form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Data Governance &amp; Privacy Assessment</w:t>
            </w:r>
          </w:p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Form ID / Version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GRC-DGP-011 / v2.4</w:t>
            </w:r>
          </w:p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Form owner (team)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Chief Data Office - Data Governance &amp; Privacy</w:t>
            </w:r>
          </w:p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Project / solution name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Project ID / cost centre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Submitter (name, role)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Product Lead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Tech Lead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Date submitted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Governance reviewer (for GRC use)</w:t>
            </w:r>
          </w:p>
        </w:tc>
        <w:tc>
          <w:tcPr>
            <w:tcW w:type="dxa" w:w="10200"/>
          </w:tcPr>
          <w:p/>
        </w:tc>
      </w:tr>
      <w:tr>
        <w:tc>
          <w:tcPr>
            <w:tcW w:type="dxa" w:w="360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Review outcome (for GRC use)</w:t>
            </w:r>
          </w:p>
        </w:tc>
        <w:tc>
          <w:tcPr>
            <w:tcW w:type="dxa" w:w="10200"/>
          </w:tcPr>
          <w:p>
            <w:r>
              <w:rPr>
                <w:b w:val="0"/>
                <w:i w:val="0"/>
                <w:sz w:val="18"/>
              </w:rPr>
              <w:t>[ ] Approved   [ ] Approved with conditions   [ ] Rework required   [ ] Rejected</w:t>
            </w:r>
          </w:p>
        </w:tc>
      </w:tr>
    </w:tbl>
    <w:p/>
    <w:p>
      <w:r>
        <w:rPr>
          <w:b/>
          <w:i w:val="0"/>
          <w:color w:val="0B2E4F"/>
          <w:sz w:val="22"/>
        </w:rPr>
        <w:t>Instructions</w:t>
      </w:r>
    </w:p>
    <w:p>
      <w:pPr>
        <w:pStyle w:val="ListBullet"/>
      </w:pPr>
      <w:r>
        <w:rPr>
          <w:b w:val="0"/>
          <w:i w:val="0"/>
          <w:sz w:val="18"/>
        </w:rPr>
        <w:t>Complete every row in the Answer column. Do not delete, merge, reorder or renumber rows; reviewers track responses by the ID in the No column.</w:t>
      </w:r>
    </w:p>
    <w:p>
      <w:pPr>
        <w:pStyle w:val="ListBullet"/>
      </w:pPr>
      <w:r>
        <w:rPr>
          <w:b w:val="0"/>
          <w:i w:val="0"/>
          <w:sz w:val="18"/>
        </w:rPr>
        <w:t>Each row states its expected response type. For Yes / No / N/A rows, start the answer with Yes, No or N/A, then justify. For multiple-choice rows, state the option(s) selected, then justify.</w:t>
      </w:r>
    </w:p>
    <w:p>
      <w:pPr>
        <w:pStyle w:val="ListBullet"/>
      </w:pPr>
      <w:r>
        <w:rPr>
          <w:b w:val="0"/>
          <w:i w:val="0"/>
          <w:sz w:val="18"/>
        </w:rPr>
        <w:t>Rows marked 'Evidence: MANDATORY' will not be accepted without a reference to the supporting document (title, version, location). Other rows may cite evidence where available.</w:t>
      </w:r>
    </w:p>
    <w:p>
      <w:pPr>
        <w:pStyle w:val="ListBullet"/>
      </w:pPr>
      <w:r>
        <w:rPr>
          <w:b w:val="0"/>
          <w:i w:val="0"/>
          <w:sz w:val="18"/>
        </w:rPr>
        <w:t>If an answer is not yet known, write OPEN and name the accountable role. Do not leave rows blank.</w:t>
      </w:r>
    </w:p>
    <w:p>
      <w:pPr>
        <w:pStyle w:val="ListBullet"/>
      </w:pPr>
      <w:r>
        <w:rPr>
          <w:b w:val="0"/>
          <w:i w:val="0"/>
          <w:sz w:val="18"/>
        </w:rPr>
        <w:t>Submissions are reviewed by the form owner before the Change &amp; Architecture Governance Board. Answers form part of the audit record.</w:t>
      </w:r>
    </w:p>
    <w:p/>
    <w:p>
      <w:r>
        <w:rPr>
          <w:b/>
          <w:i w:val="0"/>
          <w:color w:val="0B2E4F"/>
          <w:sz w:val="22"/>
        </w:rPr>
        <w:t>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60"/>
        <w:gridCol w:w="3460"/>
        <w:gridCol w:w="3460"/>
        <w:gridCol w:w="3460"/>
      </w:tblGrid>
      <w:tr>
        <w:trPr>
          <w:tblHeader/>
        </w:trPr>
        <w:tc>
          <w:tcPr>
            <w:tcW w:type="dxa" w:w="8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No</w:t>
            </w:r>
          </w:p>
        </w:tc>
        <w:tc>
          <w:tcPr>
            <w:tcW w:type="dxa" w:w="20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Section</w:t>
            </w:r>
          </w:p>
        </w:tc>
        <w:tc>
          <w:tcPr>
            <w:tcW w:type="dxa" w:w="62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4800"/>
            <w:shd w:val="clear" w:color="auto" w:fill="0B2E4F"/>
          </w:tcPr>
          <w:p>
            <w:r>
              <w:rPr>
                <w:b/>
                <w:i w:val="0"/>
                <w:color w:val="FFFFFF"/>
                <w:sz w:val="19"/>
              </w:rPr>
              <w:t>Answer</w:t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1. Data Inventory &amp; Classification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Which data domains and categories does the solution create, receive or process (e.g. client reference data, accounts, payments, transactions, derived analytics)?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1.2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1. Data Inventory &amp; Classification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What is the highest classification of data the solution handles?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Public   [ ] Internal   [ ] Confidential   [ ] Restricted / Secret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Data classification record per data asset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1.3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1. Data Inventory &amp; Classification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data assets labelled or tagged with their classification in storage and in the data catalog?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2.1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2. Personal Data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Does the solution process personal data (PII), including personal data of corporate clients' employees, signatories, beneficial owners or contacts? List the categories.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2.2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2. Personal Data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Does the solution process special-category or otherwise sensitive data (e.g. biometric, health, national ID numbers)?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2.3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2. Personal Data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For each category of personal data, what is the purpose of processing and the lawful basis under the applicable data protection law?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2.4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2. Personal Data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is personal data protected in non-production environments?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one)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Not present in non-production   [ ] Masked / pseudonymised   [ ] Tokenised   [ ] Synthetic replacement   [ ] Unmasked production copy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3.1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3. Synthetic &amp; Test Data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Does the solution use synthetic data? If so, how is it generated (tool, method) and is any real data used as a seed or reference distribution?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3.2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3. Synthetic &amp; Test Data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is the re-identification risk of synthetic, anonymised or pseudonymised data assessed, and by whom?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Re-identification / anonymisation assessment (mandatory if synthetic or anonymised data is derived from real data)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3.3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3. Synthetic &amp; Test Data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production data ever copied into development or test environments? If yes, who approves it and which controls apply?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4.1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4. Data Residency &amp; Cross-Border Transfer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In which countries or regions is data stored, processed and backed up, including logs, telemetry and vendor support access?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4.2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4. Data Residency &amp; Cross-Border Transfer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Does any data leave its country or region of origin? If yes, what transfer mechanism and approvals apply?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5.1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5. Retention &amp; Deletion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What retention period applies to each data category, and which legal, regulatory or business requirement drives it?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Mapping of data categories to the Group retention schedule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5.2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5. Retention &amp; Deletion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is data deleted or anonymised at the end of retention, including backups, logs, ML training sets and derived data?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6.1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6. Lineage, Catalog &amp; Data Quality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the solution's data assets registered in the enterprise data catalog with a named data owner and data steward?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6.2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6. Lineage, Catalog &amp; Data Quality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end-to-end lineage captured from source systems to reports, APIs and models? Name the tooling.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6.3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6. Lineage, Catalog &amp; Data Quality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Which data quality rules and controls are applied, how are they monitored, and how are data quality issues remediated?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7.1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7. Access Controls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is access to data granted, reviewed and revoked, and how often are access reviews performed?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7.2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7. Access Controls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Are row-level security, column-level security or dynamic data masking used to restrict data by client, legal entity or role?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7.3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7. Access Controls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privileged and administrative access to data stores logged and monitored?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8.1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8. Privacy Impact &amp; Data Subject Rights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Which DPIA triggers apply, and has a Data Protection Impact Assessment been completed?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Multiple choice (select all that apply) + free text</w:t>
            </w:r>
          </w:p>
          <w:p>
            <w:r>
              <w:rPr>
                <w:b w:val="0"/>
                <w:i/>
                <w:color w:val="555555"/>
                <w:sz w:val="16"/>
              </w:rPr>
              <w:t>Options: [ ] Large-scale processing of personal data   [ ] New technology (including AI / ML)   [ ] Profiling or automated decision-making   [ ] Cross-border transfer   [ ] Sensitive / special-category data   [ ] None apply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Completed DPIA or DPO screening outcome (mandatory if any trigger applies)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8.2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8. Privacy Impact &amp; Data Subject Rights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does the solution support data subject rights (access, rectification, erasure, objection, portability)?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8.3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8. Privacy Impact &amp; Data Subject Rights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are personal data breaches detected, escalated and notified to the DPO and the regulator within required timelines?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9.1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9. Data Sharing &amp; Secondary Use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data shared with third parties, other Group entities or external APIs? If yes, are data sharing / data processing agreements in place?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</w:tcPr>
          <w:p>
            <w:r>
              <w:rPr>
                <w:b/>
                <w:i w:val="0"/>
                <w:sz w:val="18"/>
              </w:rPr>
              <w:t>9.2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9. Data Sharing &amp; Secondary Use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Is any data used for purposes beyond those for which it was collected, including analytics or ML model training?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Yes / No / N/A + free text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  <w:tr>
        <w:tc>
          <w:tcPr>
            <w:tcW w:type="dxa" w:w="800"/>
            <w:shd w:val="clear" w:color="auto" w:fill="FDECEC"/>
          </w:tcPr>
          <w:p>
            <w:r>
              <w:rPr>
                <w:b/>
                <w:i w:val="0"/>
                <w:sz w:val="18"/>
              </w:rPr>
              <w:t>10.1</w:t>
            </w:r>
          </w:p>
        </w:tc>
        <w:tc>
          <w:tcPr>
            <w:tcW w:type="dxa" w:w="2000"/>
          </w:tcPr>
          <w:p>
            <w:r>
              <w:rPr>
                <w:b w:val="0"/>
                <w:i w:val="0"/>
                <w:color w:val="333333"/>
                <w:sz w:val="17"/>
              </w:rPr>
              <w:t>10. Backup &amp; Recovery</w:t>
            </w:r>
          </w:p>
        </w:tc>
        <w:tc>
          <w:tcPr>
            <w:tcW w:type="dxa" w:w="6200"/>
          </w:tcPr>
          <w:p>
            <w:r>
              <w:rPr>
                <w:b w:val="0"/>
                <w:i w:val="0"/>
                <w:sz w:val="18"/>
              </w:rPr>
              <w:t>How are data stores backed up (frequency, retention, immutability, encryption, location), and when were restores last tested?</w:t>
            </w:r>
          </w:p>
          <w:p>
            <w:r>
              <w:rPr>
                <w:b w:val="0"/>
                <w:i/>
                <w:color w:val="555555"/>
                <w:sz w:val="16"/>
              </w:rPr>
              <w:t>Response type: Free text</w:t>
            </w:r>
          </w:p>
          <w:p>
            <w:r>
              <w:rPr>
                <w:b/>
                <w:i w:val="0"/>
                <w:color w:val="B00020"/>
                <w:sz w:val="16"/>
              </w:rPr>
              <w:t>Evidence: MANDATORY - Most recent backup restore test record</w:t>
            </w:r>
          </w:p>
        </w:tc>
        <w:tc>
          <w:tcPr>
            <w:tcW w:type="dxa" w:w="4800"/>
          </w:tcPr>
          <w:p>
            <w:r>
              <w:rPr>
                <w:b w:val="0"/>
                <w:i w:val="0"/>
                <w:sz w:val="18"/>
              </w:rPr>
            </w:r>
          </w:p>
        </w:tc>
      </w:tr>
    </w:tbl>
    <w:p/>
    <w:p>
      <w:r>
        <w:rPr>
          <w:b/>
          <w:i w:val="0"/>
          <w:color w:val="0B2E4F"/>
          <w:sz w:val="22"/>
        </w:rP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60"/>
        <w:gridCol w:w="3460"/>
        <w:gridCol w:w="3460"/>
        <w:gridCol w:w="3460"/>
      </w:tblGrid>
      <w:tr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Role</w:t>
            </w:r>
          </w:p>
        </w:tc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Name</w:t>
            </w:r>
          </w:p>
        </w:tc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Signature</w:t>
            </w:r>
          </w:p>
        </w:tc>
        <w:tc>
          <w:tcPr>
            <w:tcW w:type="dxa" w:w="3460"/>
            <w:shd w:val="clear" w:color="auto" w:fill="E7ECF2"/>
          </w:tcPr>
          <w:p>
            <w:r>
              <w:rPr>
                <w:b/>
                <w:i w:val="0"/>
                <w:sz w:val="18"/>
              </w:rPr>
              <w:t>Date</w:t>
            </w:r>
          </w:p>
        </w:tc>
      </w:tr>
      <w:tr>
        <w:tc>
          <w:tcPr>
            <w:tcW w:type="dxa" w:w="3460"/>
          </w:tcPr>
          <w:p>
            <w:r>
              <w:rPr>
                <w:b w:val="0"/>
                <w:i w:val="0"/>
                <w:sz w:val="18"/>
              </w:rPr>
              <w:t>Product Lead</w:t>
            </w:r>
          </w:p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</w:tr>
      <w:tr>
        <w:tc>
          <w:tcPr>
            <w:tcW w:type="dxa" w:w="3460"/>
          </w:tcPr>
          <w:p>
            <w:r>
              <w:rPr>
                <w:b w:val="0"/>
                <w:i w:val="0"/>
                <w:sz w:val="18"/>
              </w:rPr>
              <w:t>Tech Lead</w:t>
            </w:r>
          </w:p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</w:tr>
      <w:tr>
        <w:tc>
          <w:tcPr>
            <w:tcW w:type="dxa" w:w="3460"/>
          </w:tcPr>
          <w:p>
            <w:r>
              <w:rPr>
                <w:b w:val="0"/>
                <w:i w:val="0"/>
                <w:sz w:val="18"/>
              </w:rPr>
              <w:t>Form owner reviewer</w:t>
            </w:r>
          </w:p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  <w:tc>
          <w:tcPr>
            <w:tcW w:type="dxa" w:w="3460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900" w:right="1000" w:bottom="90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555555"/>
        <w:sz w:val="15"/>
      </w:rPr>
      <w:t>GRC-DGP-011 v2.4 | Data Governance &amp; Privacy Assessment | Classification: Internal | Owner: Chief Data Office - Data Governance &amp; Privacy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i w:val="0"/>
        <w:sz w:val="16"/>
      </w:rPr>
      <w:t>Harbourline Bank | Group Technology Governance</w:t>
    </w:r>
    <w:r>
      <w:rPr>
        <w:b w:val="0"/>
        <w:i w:val="0"/>
        <w:color w:val="B00020"/>
        <w:sz w:val="16"/>
      </w:rPr>
      <w:t xml:space="preserve">    SAMPLE FORM - FICTITIOUS BANK, FOR TESTING ONLY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Governance &amp; Privacy Assessment</dc:title>
  <dc:subject>SAMPLE FORM - FICTITIOUS BANK, FOR TESTING ONLY</dc:subject>
  <dc:creator>Harbourline Bank (fictitious) - Chief Data Office - Data Governance &amp; Privacy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