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2E4F"/>
          <w:sz w:val="36"/>
        </w:rPr>
        <w:t>Technology Risk Assessment (Technical Architecture)</w:t>
      </w:r>
    </w:p>
    <w:p>
      <w:r>
        <w:rPr>
          <w:b w:val="0"/>
          <w:i/>
          <w:color w:val="555555"/>
          <w:sz w:val="20"/>
        </w:rPr>
        <w:t>Harbourline Bank - Change &amp; Architecture Governance Board submission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20"/>
        <w:gridCol w:w="6920"/>
      </w:tblGrid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Technology Risk Assessment (Technical Architecture)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 ID / Version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GRC-TRA-007 / v4.2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 owner (team)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Technology Risk &amp; Enterprise Architecture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Project / solution name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Project ID / cost centre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Submitter (name, role)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Product Lead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Tech Lead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Date submitted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Governance reviewer (for GRC use)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Review outcome (for GRC use)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[ ] Approved   [ ] Approved with conditions   [ ] Rework required   [ ] Rejected</w:t>
            </w:r>
          </w:p>
        </w:tc>
      </w:tr>
    </w:tbl>
    <w:p/>
    <w:p>
      <w:r>
        <w:rPr>
          <w:b/>
          <w:i w:val="0"/>
          <w:color w:val="0B2E4F"/>
          <w:sz w:val="22"/>
        </w:rPr>
        <w:t>Instructions</w:t>
      </w:r>
    </w:p>
    <w:p>
      <w:pPr>
        <w:pStyle w:val="ListBullet"/>
      </w:pPr>
      <w:r>
        <w:rPr>
          <w:b w:val="0"/>
          <w:i w:val="0"/>
          <w:sz w:val="18"/>
        </w:rPr>
        <w:t>Complete every row in the Answer column. Do not delete, merge, reorder or renumber rows; reviewers track responses by the ID in the No column.</w:t>
      </w:r>
    </w:p>
    <w:p>
      <w:pPr>
        <w:pStyle w:val="ListBullet"/>
      </w:pPr>
      <w:r>
        <w:rPr>
          <w:b w:val="0"/>
          <w:i w:val="0"/>
          <w:sz w:val="18"/>
        </w:rPr>
        <w:t>Each row states its expected response type. For Yes / No / N/A rows, start the answer with Yes, No or N/A, then justify. For multiple-choice rows, state the option(s) selected, then justify.</w:t>
      </w:r>
    </w:p>
    <w:p>
      <w:pPr>
        <w:pStyle w:val="ListBullet"/>
      </w:pPr>
      <w:r>
        <w:rPr>
          <w:b w:val="0"/>
          <w:i w:val="0"/>
          <w:sz w:val="18"/>
        </w:rPr>
        <w:t>Rows marked 'Evidence: MANDATORY' will not be accepted without a reference to the supporting document (title, version, location). Other rows may cite evidence where available.</w:t>
      </w:r>
    </w:p>
    <w:p>
      <w:pPr>
        <w:pStyle w:val="ListBullet"/>
      </w:pPr>
      <w:r>
        <w:rPr>
          <w:b w:val="0"/>
          <w:i w:val="0"/>
          <w:sz w:val="18"/>
        </w:rPr>
        <w:t>If an answer is not yet known, write OPEN and name the accountable role. Do not leave rows blank.</w:t>
      </w:r>
    </w:p>
    <w:p>
      <w:pPr>
        <w:pStyle w:val="ListBullet"/>
      </w:pPr>
      <w:r>
        <w:rPr>
          <w:b w:val="0"/>
          <w:i w:val="0"/>
          <w:sz w:val="18"/>
        </w:rPr>
        <w:t>Submissions are reviewed by the form owner before the Change &amp; Architecture Governance Board. Answers form part of the audit record.</w:t>
      </w:r>
    </w:p>
    <w:p/>
    <w:p>
      <w:r>
        <w:rPr>
          <w:b/>
          <w:i w:val="0"/>
          <w:color w:val="0B2E4F"/>
          <w:sz w:val="22"/>
        </w:rP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0"/>
        <w:gridCol w:w="3460"/>
        <w:gridCol w:w="3460"/>
        <w:gridCol w:w="3460"/>
      </w:tblGrid>
      <w:tr>
        <w:trPr>
          <w:tblHeader/>
        </w:trPr>
        <w:tc>
          <w:tcPr>
            <w:tcW w:type="dxa" w:w="8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0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62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48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Hosting &amp; Deployment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Where is the solution hosted, and in which regions / data centres?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On-premises   [ ] Public cloud (specify provider)   [ ] Private cloud   [ ] Hybrid   [ ] SaaS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1.2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Hosting &amp; Deployment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List the main components and, for each, whether it is IaaS, PaaS, SaaS or containerised workload.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Current logical and deployment architecture diagram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Hosting &amp; Deployment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the solution built in-house, by a vendor, or a combination? Name any delivery partners.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In-house   [ ] Vendor / SaaS   [ ] Combination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2.1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Network Security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the network segmented between tiers, workloads and environments (virtual networks, subnets, security groups, firewalls)?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Network topology diagram showing trust boundaries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Network Security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PaaS services (storage, databases, analytics, messaging, key vault) reached only through private endpoints with public network access disabled? List any exceptions.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Network Security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endpoints are exposed to the internet or to clients, and how are they protected (WAF, DDoS protection, API gateway, rate limiting)?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Identity &amp; Access Management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internal and external users authenticated (SSO, MFA, conditional access, federation for client users)?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Identity &amp; Access Management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least privilege enforced for administrative and operational access (RBAC, just-in-time / PIM, break-glass accounts, periodic access reviews)?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Identity &amp; Access Management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 workloads authenticate to other services with managed / workload identities rather than stored credentials?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Yes - all workloads   [ ] Partially (list exceptions)   [ ] No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4.1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4. Secrets Management &amp; Encryption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Where are secrets, keys and certificates stored, and how are they rotated?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Cloud key vault / HSM   [ ] CI/CD secret store   [ ] Configuration files or environment variables   [ ] Other (specify)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4.2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4. Secrets Management &amp; Encryption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all data encrypted at rest, and are platform-managed or customer-managed keys used for each data store?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Platform-managed keys   [ ] Customer-managed keys   [ ] Mixed (specify per store)   [ ] Not encrypted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4.3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4. Secrets Management &amp; Encryption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all traffic encrypted in transit with TLS 1.2 or higher, including internal service-to-service traffic?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5.1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Resilience &amp; Disaster Recovery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are the Recovery Time Objective (RTO) and Recovery Point Objective (RPO), and have they been approved by the business owner?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Business Impact Analysis (BIA) with approved RTO / RPO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5.2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Resilience &amp; Disaster Recovery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the solution made resilient (availability zones, multi-region), and what is the disaster recovery strategy?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Active-active multi-region   [ ] Active-passive (warm / cold standby)   [ ] Backup and restore only   [ ] No DR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5.3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Resilience &amp; Disaster Recovery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When was disaster recovery last tested, and were RTO and RPO met?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Most recent DR test report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5.4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Resilience &amp; Disaster Recovery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Does the solution contain single points of failure? List them and any mitigations.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CI/CD &amp; Software Supply Chain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application code and infrastructure deployed (infrastructure as code, pipelines, approvals, environment promotion), and how are manual production changes prevented?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CI/CD &amp; Software Supply Chain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supply-chain controls apply (dependency and container image scanning, SBOM, signed artefacts, trusted registries, approved base images)?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CI/CD &amp; Software Supply Chain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SAST, DAST, IaC and secret scanning run in the pipeline, and do critical findings block release?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Logging &amp; Monitoring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application, infrastructure, audit and security logs centralised and forwarded to the Security Operations SIEM, and for how long are they retained?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Logging &amp; Monitoring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monitoring and alerting covers availability, performance and capacity, and who responds to alerts (support model, on-call)?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8.1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Vulnerability Management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vulnerabilities in operating systems, container images and libraries identified and remediated, and within which SLAs by severity?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8.2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Vulnerability Management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Has a penetration test been performed, or is one scheduled before go-live?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Penetration test report or approved test plan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Third-Party &amp; Open-Source Components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third-party services, vendors and external APIs does the solution depend on, and have they been approved by Third-Party Risk Management?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Third-Party &amp; Open-Source Components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open-source software used, and are its licences and maintenance status reviewed against policy?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Third-Party &amp; Open-Source Components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all technologies on the approved technology list, and is any component near end-of-life or end-of-support?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10.1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10. Cost &amp; Decommissioning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there an approved run-cost estimate, and are budget alerts and cost-allocation tagging in place?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10.2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10. Cost &amp; Decommissioning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there a decommissioning plan (resource teardown, data disposal, access and credential revocation), including if a pilot or PoC does not proceed?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B2E4F"/>
          <w:sz w:val="22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0"/>
        <w:gridCol w:w="3460"/>
        <w:gridCol w:w="3460"/>
        <w:gridCol w:w="3460"/>
      </w:tblGrid>
      <w:tr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Name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Signature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Product Lead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Tech Lead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Form owner reviewer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55555"/>
        <w:sz w:val="15"/>
      </w:rPr>
      <w:t>GRC-TRA-007 v4.2 | Technology Risk Assessment (Technical Architecture) | Classification: Internal | Owner: Technology Risk &amp; Enterprise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i w:val="0"/>
        <w:sz w:val="16"/>
      </w:rPr>
      <w:t>Harbourline Bank | Group Technology Governance</w:t>
    </w:r>
    <w:r>
      <w:rPr>
        <w:b w:val="0"/>
        <w:i w:val="0"/>
        <w:color w:val="B00020"/>
        <w:sz w:val="16"/>
      </w:rPr>
      <w:t xml:space="preserve">    SAMPLE FORM - FICTITIOUS BANK, FOR TESTING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Risk Assessment (Technical Architecture)</dc:title>
  <dc:subject>SAMPLE FORM - FICTITIOUS BANK, FOR TESTING ONLY</dc:subject>
  <dc:creator>Harbourline Bank (fictitious) - Technology Risk &amp; Enterprise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