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cs="Arial" w:eastAsia="Arial"/>
          <w:b/>
          <w:i w:val="0"/>
          <w:color w:val="000000"/>
          <w:sz w:val="24"/>
        </w:rPr>
        <w:t>Guía de revisión del proyecto RAG de salvaguardas GLF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Grupo 10 · Schubert Lombeida Manjarrez y Niko Dimitri Jiménez Bruno · Edición 30 de octubre de 2026</w:t>
      </w:r>
    </w:p>
    <w:p>
      <w:pPr>
        <w:pStyle w:val="Heading1"/>
      </w:pPr>
      <w:r>
        <w:rPr>
          <w:rFonts w:ascii="Arial" w:hAnsi="Arial" w:cs="Arial" w:eastAsia="Arial"/>
          <w:b/>
          <w:i w:val="0"/>
          <w:color w:val="000000"/>
          <w:sz w:val="24"/>
        </w:rPr>
        <w:t>Acceso y recorrido de lectura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La entrega reúne la implementación RAG, seis informes temáticos, cinco cuadernos y evidencia de evaluación. El punto de entrada es index.html, que permite leer los informes, descargarlos y acceder a su fuente en GitHub. El menú ofrece dos áreas: Documentación y Portal GLF.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En Documentación se recomienda comenzar por el manual de usuario, continuar con arquitectura y revisar los informes de datos, optimización, ética y planificación según el criterio de evaluación. Los documentos Word y PDF conservan Arial 11, títulos Arial 12 en negrita, texto negro, tablas grises y numeración de páginas. Las figuras se mantienen a color.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Portal GLF abre el asistente publicado. La profesora utiliza la cuenta facilitada por el equipo mediante el portal de la universidad. El índice y el repositorio no solicitan ni contienen contraseñas. La aplicación académica local permite reproducir la recuperación sobre fuentes públicas sin acceder a expedientes privados.</w:t>
      </w:r>
    </w:p>
    <w:p>
      <w:pPr>
        <w:pStyle w:val="Heading1"/>
      </w:pPr>
      <w:r>
        <w:rPr>
          <w:rFonts w:ascii="Arial" w:hAnsi="Arial" w:cs="Arial" w:eastAsia="Arial"/>
          <w:b/>
          <w:i w:val="0"/>
          <w:color w:val="000000"/>
          <w:sz w:val="24"/>
        </w:rPr>
        <w:t>Documentos y criterios de evaluación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92"/>
        <w:gridCol w:w="3744"/>
        <w:gridCol w:w="3744"/>
      </w:tblGrid>
      <w:tr>
        <w:trPr>
          <w:cantSplit/>
          <w:tblHeader w:val="true"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2"/>
              </w:rPr>
              <w:t>Criterio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2"/>
              </w:rPr>
              <w:t>Documento o recurso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2"/>
              </w:rPr>
              <w:t>Contenido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Problema y planificación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docs/planificacion.md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Usuarios, objetivos, alcance, etapas y riesgos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Análisis de datos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docs/analisis_datos.md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Fuentes, conjuntos separados y seis figuras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Diseño técnico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docs/arquitectura.md e integration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Portal, servicios, modelos y flujos de consulta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Optimización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docs/optimizacion.md y cuaderno 04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Comparación histórica, sensibilidad y protocolo reproducible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Ética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docs/consideraciones_eticas.md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Sesgos, privacidad, explicabilidad y responsabilidad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Uso de la aplicación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docs/manual_usuario.md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Modos, etapas, fuentes, exportación y errores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Código y pruebas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src, app, tests y .github/workflows/ci.yml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Ejecución local y comprobaciones automáticas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Evaluación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evaluation y results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Formatos, resultados con alcance y registros de consultas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Presentación audiovisual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Catálogo de videos del índice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Pitch y respuestas técnicas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rial" w:hAnsi="Arial" w:cs="Arial" w:eastAsia="Arial"/>
          <w:b/>
          <w:i w:val="0"/>
          <w:color w:val="000000"/>
          <w:sz w:val="24"/>
        </w:rPr>
        <w:t>Cómo interpretar la evidencia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El corpus público reconstruido contiene siete documentos, 98 páginas y 271 fragmentos. Los experimentos históricos de recuperación utilizaron otro corpus de 585 fragmentos. Sus resultados se presentan con la configuración y el contexto de desarrollo que les corresponden.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La copia de componentes del portal conserva el commit de la versión 0.7.62; el servicio incorpora la política glf-grounded-v3.1 documentada el 30 de octubre. En esa fecha se ejecutaron 33 pruebas académicas, 49 pruebas del servicio y su prueba de integración. Los registros anteriores conservan sus fechas y alcance. Estos conteos corresponden a la verificación funcional del código.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Las consultas reales registran respuestas, fuentes, tiempos y límites observados. Una referencia técnicamente válida no demuestra por sí sola respaldo semántico. Las métricas publicadas corresponden a desarrollo y funcionamiento y se interpretan dentro de sus corpus y condiciones.</w:t>
      </w:r>
    </w:p>
    <w:p>
      <w:pPr>
        <w:pStyle w:val="Heading1"/>
      </w:pPr>
      <w:r>
        <w:rPr>
          <w:rFonts w:ascii="Arial" w:hAnsi="Arial" w:cs="Arial" w:eastAsia="Arial"/>
          <w:b/>
          <w:i w:val="0"/>
          <w:color w:val="000000"/>
          <w:sz w:val="24"/>
        </w:rPr>
        <w:t>Presentación audiovisual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El pitch exportado dura 4 minutos y 4 segundos, dentro del máximo de cinco minutos. Presenta problema, datos, metodología, demostración del portal, resultados, ética y cierre. El video técnico dura 12 minutos y 17 segundos. Las duraciones corresponden a los archivos revisados, no a tiempos de inferencia.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92"/>
        <w:gridCol w:w="3744"/>
        <w:gridCol w:w="3744"/>
      </w:tblGrid>
      <w:tr>
        <w:trPr>
          <w:cantSplit/>
          <w:tblHeader w:val="true"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2"/>
              </w:rPr>
              <w:t>Video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2"/>
              </w:rPr>
              <w:t>Propósito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2"/>
              </w:rPr>
              <w:t>Duración revisada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Pitch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Presentación del problema, solución y demostración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4 min 4 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Diez respuestas técnicas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Decisiones, evidencia, errores y límites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12 min 17 s</w:t>
            </w:r>
          </w:p>
        </w:tc>
      </w:tr>
    </w:tbl>
    <w:p>
      <w:pPr>
        <w:spacing w:after="20"/>
      </w:pP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El video técnico responde las diez preguntas oficiales en orden. Schubert Lombeida Manjarrez responde las impares y Niko Dimitri Jiménez Bruno las pares. Cada respuesta dura como máximo dos minutos y mantiene al expositor visible en cámara. La pregunta 9 desarrolla la opción C, correspondiente a texto y modelos de lenguaje.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La sección audiovisual del índice utiliza un catálogo de enlaces. Admite archivos MP4 del repositorio y enlaces a una plataforma de reproducción. Una grabación editada identifica los recortes de espera y no transforma la duración del montaje en una medición de latencia.</w:t>
      </w:r>
    </w:p>
    <w:p>
      <w:pPr>
        <w:pStyle w:val="Heading1"/>
      </w:pPr>
      <w:r>
        <w:rPr>
          <w:rFonts w:ascii="Arial" w:hAnsi="Arial" w:cs="Arial" w:eastAsia="Arial"/>
          <w:b/>
          <w:i w:val="0"/>
          <w:color w:val="000000"/>
          <w:sz w:val="24"/>
        </w:rPr>
        <w:t>Reproducción y trazabilidad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README.md contiene los comandos de instalación y ejecución. Los cuadernos se ordenan desde exploración hasta evaluación. data/sources.json identifica los PDF oficiales; integration/source_manifest.json relaciona los componentes copiados con su origen y huella. Los registros históricos se conservan sin alterar sus resultados.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Las utilidades de evaluación distinguen recuperación, respaldo de afirmaciones y abstención. Sus formatos identifican pregunta, pasajes, versión de corpus y partición. Las pruebas sintéticas demuestran el comportamiento de esas funciones y se separan de las métricas de desarrollo publicadas.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cs="Arial" w:eastAsia="Arial"/>
        <w:b w:val="0"/>
        <w:i w:val="0"/>
        <w:color w:val="000000"/>
        <w:sz w:val="22"/>
      </w:rPr>
      <w:t xml:space="preserve">Página </w:t>
    </w:r>
    <w:r>
      <w:rPr>
        <w:rFonts w:ascii="Arial" w:hAnsi="Arial" w:cs="Arial" w:eastAsia="Arial"/>
        <w:b w:val="0"/>
        <w:i w:val="0"/>
        <w:color w:val="000000"/>
        <w:sz w:val="22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cs="Arial" w:eastAsia="Arial"/>
        <w:b w:val="0"/>
        <w:i w:val="0"/>
        <w:color w:val="000000"/>
        <w:sz w:val="22"/>
      </w:rPr>
      <w:t xml:space="preserve"> de </w:t>
    </w:r>
    <w:r>
      <w:rPr>
        <w:rFonts w:ascii="Arial" w:hAnsi="Arial" w:cs="Arial" w:eastAsia="Arial"/>
        <w:b w:val="0"/>
        <w:i w:val="0"/>
        <w:color w:val="000000"/>
        <w:sz w:val="22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00" w:line="245" w:lineRule="auto"/>
    </w:pPr>
    <w:rPr>
      <w:rFonts w:ascii="Arial" w:hAnsi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b w:val="0"/>
      <w:color w:val="000000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/>
      <w:b w:val="0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b w:val="0"/>
      <w:color w:val="000000"/>
      <w:sz w:val="22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/>
      <w:b w:val="0"/>
      <w:color w:val="000000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4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/>
      <w:b w:val="0"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" w:hAnsi="Arial"/>
      <w:b w:val="0"/>
      <w:i/>
      <w:iCs/>
      <w:color w:val="000000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" w:hAnsi="Arial"/>
      <w:b w:val="0"/>
      <w:i/>
      <w:iCs/>
      <w:color w:val="000000"/>
      <w:sz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" w:hAnsi="Arial"/>
      <w:b w:val="0"/>
      <w:color w:val="000000"/>
      <w:sz w:val="22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" w:hAnsi="Arial"/>
      <w:b w:val="0"/>
      <w:i/>
      <w:iCs/>
      <w:color w:val="000000"/>
      <w:sz w:val="22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" w:hAnsi="Arial"/>
      <w:b w:val="0"/>
      <w:color w:val="000000"/>
      <w:sz w:val="22"/>
    </w:rPr>
  </w:style>
  <w:style w:type="table" w:default="1" w:styleId="TableNormal">
    <w:name w:val="Normal Table"/>
    <w:uiPriority w:val="99"/>
    <w:semiHidden/>
    <w:unhideWhenUsed/>
    <w:rPr>
      <w:rFonts w:ascii="Arial" w:hAnsi="Arial"/>
      <w:b w:val="0"/>
      <w:color w:val="000000"/>
      <w:sz w:val="22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/>
      <w:b w:val="0"/>
      <w:color w:val="000000"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rial" w:hAnsi="Arial"/>
      <w:b w:val="0"/>
      <w:bCs/>
      <w:color w:val="000000"/>
      <w:sz w:val="2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rial" w:hAnsi="Arial"/>
      <w:b w:val="0"/>
      <w:bCs/>
      <w:color w:val="000000"/>
      <w:sz w:val="2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rial" w:hAnsi="Arial"/>
      <w:b w:val="0"/>
      <w:bCs/>
      <w:color w:val="000000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2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rial" w:hAnsi="Arial"/>
      <w:b w:val="0"/>
      <w:color w:val="000000"/>
      <w:spacing w:val="5"/>
      <w:kern w:val="28"/>
      <w:sz w:val="2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rial" w:hAnsi="Arial"/>
      <w:b w:val="0"/>
      <w:i/>
      <w:iCs/>
      <w:color w:val="000000"/>
      <w:spacing w:val="15"/>
      <w:sz w:val="22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/>
      <w:b w:val="0"/>
      <w:color w:val="000000"/>
      <w:sz w:val="22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b w:val="0"/>
      <w:color w:val="000000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/>
      <w:b w:val="0"/>
      <w:color w:val="000000"/>
      <w:sz w:val="22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/>
      <w:b w:val="0"/>
      <w:color w:val="000000"/>
      <w:sz w:val="22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/>
      <w:b w:val="0"/>
      <w:color w:val="000000"/>
      <w:sz w:val="22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/>
      <w:b w:val="0"/>
      <w:color w:val="000000"/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/>
      <w:b w:val="0"/>
      <w:color w:val="000000"/>
      <w:sz w:val="22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/>
      <w:b w:val="0"/>
      <w:color w:val="000000"/>
      <w:sz w:val="22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/>
      <w:b w:val="0"/>
      <w:color w:val="000000"/>
      <w:sz w:val="22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/>
      <w:b w:val="0"/>
      <w:color w:val="000000"/>
      <w:sz w:val="2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/>
      <w:b w:val="0"/>
      <w:color w:val="000000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/>
      <w:b w:val="0"/>
      <w:color w:val="000000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/>
      <w:b w:val="0"/>
      <w:color w:val="000000"/>
      <w:sz w:val="22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/>
      <w:b w:val="0"/>
      <w:color w:val="000000"/>
      <w:sz w:val="22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/>
      <w:b w:val="0"/>
      <w:color w:val="000000"/>
      <w:sz w:val="22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/>
      <w:b w:val="0"/>
      <w:color w:val="000000"/>
      <w:sz w:val="22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/>
      <w:b w:val="0"/>
      <w:color w:val="000000"/>
      <w:sz w:val="22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b w:val="0"/>
      <w:color w:val="000000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/>
      <w:b w:val="0"/>
      <w:color w:val="000000"/>
      <w:sz w:val="22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/>
      <w:b w:val="0"/>
      <w:i/>
      <w:iCs/>
      <w:color w:val="000000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/>
      <w:b w:val="0"/>
      <w:i/>
      <w:iCs/>
      <w:color w:val="000000"/>
      <w:sz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rial" w:hAnsi="Arial"/>
      <w:b w:val="0"/>
      <w:bCs/>
      <w:i/>
      <w:iCs/>
      <w:color w:val="000000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rial" w:hAnsi="Arial"/>
      <w:b w:val="0"/>
      <w:color w:val="000000"/>
      <w:sz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rial" w:hAnsi="Arial"/>
      <w:b w:val="0"/>
      <w:i/>
      <w:iCs/>
      <w:color w:val="000000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rial" w:hAnsi="Arial"/>
      <w:b w:val="0"/>
      <w:i/>
      <w:iCs/>
      <w:color w:val="000000"/>
      <w:sz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rial" w:hAnsi="Arial"/>
      <w:b w:val="0"/>
      <w:color w:val="000000"/>
      <w:sz w:val="22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rial" w:hAnsi="Arial"/>
      <w:b w:val="0"/>
      <w:i/>
      <w:iCs/>
      <w:color w:val="000000"/>
      <w:sz w:val="22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 w:val="0"/>
      <w:bCs/>
      <w:color w:val="000000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/>
      <w:b w:val="0"/>
      <w:bCs/>
      <w:color w:val="000000"/>
      <w:sz w:val="22"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/>
      <w:b w:val="0"/>
      <w:i/>
      <w:iCs/>
      <w:color w:val="000000"/>
      <w:sz w:val="2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Arial" w:hAnsi="Arial"/>
      <w:b w:val="0"/>
      <w:bCs/>
      <w:i/>
      <w:iCs/>
      <w:color w:val="000000"/>
      <w:sz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/>
      <w:b w:val="0"/>
      <w:bCs/>
      <w:i/>
      <w:iCs/>
      <w:color w:val="000000"/>
      <w:sz w:val="22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/>
      <w:b w:val="0"/>
      <w:i/>
      <w:iCs/>
      <w:color w:val="000000"/>
      <w:sz w:val="22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/>
      <w:b w:val="0"/>
      <w:bCs/>
      <w:i/>
      <w:iCs/>
      <w:color w:val="000000"/>
      <w:sz w:val="22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/>
      <w:b w:val="0"/>
      <w:smallCaps/>
      <w:color w:val="000000"/>
      <w:sz w:val="2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/>
      <w:b w:val="0"/>
      <w:bCs/>
      <w:smallCaps/>
      <w:color w:val="000000"/>
      <w:spacing w:val="5"/>
      <w:sz w:val="22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/>
      <w:b w:val="0"/>
      <w:bCs/>
      <w:smallCaps/>
      <w:color w:val="000000"/>
      <w:spacing w:val="5"/>
      <w:sz w:val="2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/>
      <w:b w:val="0"/>
      <w:color w:val="000000"/>
      <w:sz w:val="2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rial" w:hAnsi="Arial"/>
      <w:b w:val="0"/>
      <w:color w:val="000000"/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revisión del proyecto RAG de salvaguardas GLF</dc:title>
  <dc:subject>Proyecto final RAG de salvaguardas GLF — Grupo 10</dc:subject>
  <dc:creator>Schubert Lombeida Manjarrez y Niko Dimitri Jiménez Bruno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