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cs="Arial" w:eastAsia="Arial"/>
          <w:b/>
          <w:i w:val="0"/>
          <w:color w:val="000000"/>
          <w:sz w:val="24"/>
        </w:rPr>
        <w:t>Planificación del asistente RAG de salvaguardas GLF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Grupo 10 · Schubert Lombeida Manjarrez y Niko Dimitri Jiménez Bruno · Corte documental 23 de octubre de 2026</w:t>
      </w:r>
    </w:p>
    <w:p>
      <w:pPr>
        <w:pStyle w:val="Heading1"/>
      </w:pPr>
      <w:r>
        <w:rPr>
          <w:rFonts w:ascii="Arial" w:hAnsi="Arial" w:cs="Arial" w:eastAsia="Arial"/>
          <w:b/>
          <w:i w:val="0"/>
          <w:color w:val="000000"/>
          <w:sz w:val="24"/>
        </w:rPr>
        <w:t>Propósito y conclusión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El proyecto desarrolla un asistente de consulta de evidencia normativa para apoyar a los especialistas del Galápagos Life Fund (GLF). El portal ya integra búsqueda documental y una ruta de generación con citas. La entrega académica reúne código, documentación y experimentos anteriores, y prepara una evaluación independiente sobre un corpus común. La utilidad institucional y el cumplimiento de las metas de calidad todavía requieren esa evaluación; una prueba funcional no demuestra impacto social.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Los documentos de las semanas 1 a 5 se preservan como antecedentes entregados. Este informe actualiza la presentación final a partir del código revisado y de la retroalimentación docente, sin reescribir esos antecedentes ni alterar el portal de producción.</w:t>
      </w:r>
    </w:p>
    <w:p>
      <w:pPr>
        <w:pStyle w:val="Heading1"/>
      </w:pPr>
      <w:r>
        <w:rPr>
          <w:rFonts w:ascii="Arial" w:hAnsi="Arial" w:cs="Arial" w:eastAsia="Arial"/>
          <w:b/>
          <w:i w:val="0"/>
          <w:color w:val="000000"/>
          <w:sz w:val="24"/>
        </w:rPr>
        <w:t>Problema y usuarios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Los requisitos ambientales y sociales están repartidos entre el Manual del Sistema de Gestión Ambiental y Social (SGAS), sus anexos y referencias complementarias. El especialista necesita localizar la disposición aplicable, comprobar su fuente y distinguir una obligación de una recomendación. Una respuesta sin evidencia puede inducir omisiones o requisitos inexistentes.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El usuario principal es el personal técnico que revisa proyectos. Los administradores mantienen corpus, permisos y servicios. Los postulantes son beneficiarios indirectos de una revisión más consistente; el asistente no determina su elegibilidad ni asigna financiamiento. La profesora evalúa reproducibilidad y fundamento técnico mediante el repositorio y un acceso de demostración que se comparte por un canal separado.</w:t>
      </w:r>
    </w:p>
    <w:p>
      <w:pPr>
        <w:pStyle w:val="Heading1"/>
      </w:pPr>
      <w:r>
        <w:rPr>
          <w:rFonts w:ascii="Arial" w:hAnsi="Arial" w:cs="Arial" w:eastAsia="Arial"/>
          <w:b/>
          <w:i w:val="0"/>
          <w:color w:val="000000"/>
          <w:sz w:val="24"/>
        </w:rPr>
        <w:t>Objetivo y criterios de éxito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El objetivo es recuperar evidencia relevante y producir apoyo documental trazable, manteniendo la decisión en el especialista. Las metas históricas se conservan como objetivos y no como resultados alcanzados de la nueva evaluación.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3744"/>
        <w:gridCol w:w="3744"/>
      </w:tblGrid>
      <w:tr>
        <w:trPr>
          <w:cantSplit/>
          <w:tblHeader w:val="true"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Criterio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Definición operativa y meta histórica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Evidencia necesaria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Cobertura de recuperación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Recall@5 macro de al menos 80 %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Pasajes relevantes anotados por especialista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Precisión de recuperación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Precision@5 macro de al menos 80 %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Mismo corpus, preguntas y top k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Trazabilidad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Toda respuesta generada con citas comprobables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Verificación de contrato y revisión semántica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Tiempo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Reducción mediana de al menos 20 %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Comparación manual y asistida incluyendo lectura de citas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Utilidad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Promedio de al menos 4 sobre 5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Instrumento aplicado a especialistas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Latencia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Percentil 95 de hasta 7 segundos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Medición completa con red, recuperación y generación</w:t>
            </w:r>
          </w:p>
        </w:tc>
      </w:tr>
    </w:tbl>
    <w:p>
      <w:pPr>
        <w:spacing w:after="20"/>
      </w:pP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Hit@5 mide si aparece al menos un pasaje correcto y no equivale a Recall@5. La existencia de un identificador válido tampoco demuestra que la cita respalde la afirmación.</w:t>
      </w:r>
    </w:p>
    <w:p>
      <w:pPr>
        <w:pStyle w:val="Heading1"/>
      </w:pPr>
      <w:r>
        <w:rPr>
          <w:rFonts w:ascii="Arial" w:hAnsi="Arial" w:cs="Arial" w:eastAsia="Arial"/>
          <w:b/>
          <w:i w:val="0"/>
          <w:color w:val="000000"/>
          <w:sz w:val="24"/>
        </w:rPr>
        <w:t>Alcance y exclusiones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Se incluyen recuperación lexical BM25, consulta semántica E5, generación con evidencia, tratamiento de insuficiencia documental, fuentes con páginas y una interfaz conectada al portal. El repositorio incorpora una interfaz académica que permite reconstruir la búsqueda con documentos oficiales públicos, además de una copia de la integración real.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Se excluyen aprobación automática, calificación jurídica vinculante, entrenamiento de un modelo de lenguaje con expedientes personales, clasificación demográfica y promesas de generalización no medidas. La fusión BM25 con E5 y el reranking constan como alternativas experimentales históricas; el código revisado no muestra que E5 alimente actualmente la generación de Qwen en el portal.</w:t>
      </w:r>
    </w:p>
    <w:p>
      <w:pPr>
        <w:pStyle w:val="Heading1"/>
      </w:pPr>
      <w:r>
        <w:rPr>
          <w:rFonts w:ascii="Arial" w:hAnsi="Arial" w:cs="Arial" w:eastAsia="Arial"/>
          <w:b/>
          <w:i w:val="0"/>
          <w:color w:val="000000"/>
          <w:sz w:val="24"/>
        </w:rPr>
        <w:t>Cronograma previsto y situación documentada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3744"/>
        <w:gridCol w:w="3744"/>
      </w:tblGrid>
      <w:tr>
        <w:trPr>
          <w:cantSplit/>
          <w:tblHeader w:val="true"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Periodo original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Trabajo previsto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Evidencia disponible al cierre documental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19 al 25 de septiembre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Definición, fuentes y objetivos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Documentos de semana 1 y evaluación SMART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26 de septiembre al 2 de octubre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Corpus y baseline lexical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Inventario EDA y decisión técnica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3 al 16 de octubre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Recuperación semántica y RAG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Código E5, BM25, servicio Qwen e integración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17 al 23 de octubre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Piloto y entrega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Análisis ético, portal y preparación de este paquete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Incorporación posterior del archivo FAQ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Anotación y evaluación independiente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El equipo prevé recibir el archivo el 26 de octubre</w:t>
            </w:r>
          </w:p>
        </w:tc>
      </w:tr>
    </w:tbl>
    <w:p>
      <w:pPr>
        <w:spacing w:after="20"/>
      </w:pP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Estas fechas describen el plan y los materiales existentes. No se deducen horas ejecutadas, entrevistas ni participación individual a partir del nombre de un archivo.</w:t>
      </w:r>
    </w:p>
    <w:p>
      <w:pPr>
        <w:pStyle w:val="Heading1"/>
      </w:pPr>
      <w:r>
        <w:rPr>
          <w:rFonts w:ascii="Arial" w:hAnsi="Arial" w:cs="Arial" w:eastAsia="Arial"/>
          <w:b/>
          <w:i w:val="0"/>
          <w:color w:val="000000"/>
          <w:sz w:val="24"/>
        </w:rPr>
        <w:t>Equipo y recursos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La autoría confirmada corresponde a Schubert Lombeida Manjarrez y Niko Dimitri Jiménez Bruno. Los documentos iniciales proponían que Niko trabajara corpus, recuperación y evaluación, y Schubert integración web, permisos y flujos. Se conserva esa distribución como planificación histórica; no se presenta como un registro individual de horas o contribuciones confirmadas.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Los recursos son el portal Next.js en Vercel, Supabase para datos y búsqueda vectorial, servicios en Hugging Face, código Python y documentación normativa. El generador utiliza un proveedor de inferencia remoto; el modelo no se entrena dentro de Vercel. La entrega local utiliza un entorno Python aislado y versiones fijadas. Las credenciales y expedientes no forman parte del repositorio público.</w:t>
      </w:r>
    </w:p>
    <w:p>
      <w:pPr>
        <w:pStyle w:val="Heading1"/>
      </w:pPr>
      <w:r>
        <w:rPr>
          <w:rFonts w:ascii="Arial" w:hAnsi="Arial" w:cs="Arial" w:eastAsia="Arial"/>
          <w:b/>
          <w:i w:val="0"/>
          <w:color w:val="000000"/>
          <w:sz w:val="24"/>
        </w:rPr>
        <w:t>Riesgos de ejecución y respuesta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3744"/>
        <w:gridCol w:w="3744"/>
      </w:tblGrid>
      <w:tr>
        <w:trPr>
          <w:cantSplit/>
          <w:tblHeader w:val="true"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Riesgo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Consecuencia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Acción prevista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Ausencia de gold independiente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Calidad no estimable de forma válida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Preparar anotación y esperar revisión identificada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Cambio de corpus o modelo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Resultados no comparables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Registrar huella, versión, fecha y configuración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Fuente pública sin licencia de redistribución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Publicación indebida de documentos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Publicar enlaces y script de descarga local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Servicio externo no disponible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Consulta sin respuesta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Error comprensible y consulta de fuentes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Filtración de expedientes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Afectación a titulares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Corpus público separado, secretos solo en servidor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Videos o enlaces incompletos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Entrega académica incompleta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Guion y matriz de cierre con evidencias reales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cs="Arial" w:eastAsia="Arial"/>
          <w:b/>
          <w:i w:val="0"/>
          <w:color w:val="000000"/>
          <w:sz w:val="24"/>
        </w:rPr>
        <w:t>Control de cambios y aceptación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Cada resultado nuevo debe registrar commit, entorno, corpus, preguntas, partición y fecha. Las mejoras se desarrollan con preguntas de desarrollo y validación; el test se congela antes de usarlo. Un cambio de corpus obliga a revisar los pasajes anotados. Se aceptará la evaluación empírica cuando estén disponibles las anotaciones independientes, los conteos por tema y la revisión de respuestas, sin sustituirlos por los resultados históricos.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Arial"/>
        <w:b w:val="0"/>
        <w:i w:val="0"/>
        <w:color w:val="000000"/>
        <w:sz w:val="22"/>
      </w:rPr>
      <w:t xml:space="preserve">Página </w:t>
    </w:r>
    <w:r>
      <w:rPr>
        <w:rFonts w:ascii="Arial" w:hAnsi="Arial" w:cs="Arial" w:eastAsia="Arial"/>
        <w:b w:val="0"/>
        <w:i w:val="0"/>
        <w:color w:val="000000"/>
        <w:sz w:val="22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cs="Arial" w:eastAsia="Arial"/>
        <w:b w:val="0"/>
        <w:i w:val="0"/>
        <w:color w:val="000000"/>
        <w:sz w:val="22"/>
      </w:rPr>
      <w:t xml:space="preserve"> de </w:t>
    </w:r>
    <w:r>
      <w:rPr>
        <w:rFonts w:ascii="Arial" w:hAnsi="Arial" w:cs="Arial" w:eastAsia="Arial"/>
        <w:b w:val="0"/>
        <w:i w:val="0"/>
        <w:color w:val="000000"/>
        <w:sz w:val="22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9" w:lineRule="auto"/>
    </w:pPr>
    <w:rPr>
      <w:rFonts w:ascii="Arial" w:hAnsi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b w:val="0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b w:val="0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b w:val="0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b w:val="0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 w:val="0"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b w:val="0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b w:val="0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b w:val="0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b w:val="0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b w:val="0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b w:val="0"/>
      <w:color w:val="000000"/>
      <w:sz w:val="22"/>
    </w:rPr>
  </w:style>
  <w:style w:type="table" w:default="1" w:styleId="TableNormal">
    <w:name w:val="Normal Table"/>
    <w:uiPriority w:val="99"/>
    <w:semiHidden/>
    <w:unhideWhenUsed/>
    <w:rPr>
      <w:rFonts w:ascii="Arial" w:hAnsi="Arial"/>
      <w:b w:val="0"/>
      <w:color w:val="000000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b w:val="0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 w:val="0"/>
      <w:bCs/>
      <w:color w:val="000000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 w:val="0"/>
      <w:bCs/>
      <w:color w:val="000000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 w:val="0"/>
      <w:bCs/>
      <w:color w:val="000000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b w:val="0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b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b w:val="0"/>
      <w:color w:val="000000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b w:val="0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b w:val="0"/>
      <w:color w:val="000000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b w:val="0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b w:val="0"/>
      <w:color w:val="000000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b w:val="0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b w:val="0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b w:val="0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b w:val="0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b w:val="0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b w:val="0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b w:val="0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b w:val="0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b w:val="0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b w:val="0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b w:val="0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b w:val="0"/>
      <w:color w:val="000000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b w:val="0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b w:val="0"/>
      <w:i/>
      <w:iCs/>
      <w:color w:val="000000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 w:val="0"/>
      <w:bCs/>
      <w:i/>
      <w:iCs/>
      <w:color w:val="000000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b w:val="0"/>
      <w:color w:val="000000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b w:val="0"/>
      <w:i/>
      <w:iCs/>
      <w:color w:val="000000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b w:val="0"/>
      <w:i/>
      <w:iCs/>
      <w:color w:val="000000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b w:val="0"/>
      <w:color w:val="000000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b w:val="0"/>
      <w:i/>
      <w:iCs/>
      <w:color w:val="000000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 w:val="0"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 w:val="0"/>
      <w:bCs/>
      <w:color w:val="000000"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b w:val="0"/>
      <w:i/>
      <w:iCs/>
      <w:color w:val="00000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 w:val="0"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 w:val="0"/>
      <w:bCs/>
      <w:i/>
      <w:iCs/>
      <w:color w:val="000000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b w:val="0"/>
      <w:i/>
      <w:iCs/>
      <w:color w:val="000000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 w:val="0"/>
      <w:bCs/>
      <w:i/>
      <w:iCs/>
      <w:color w:val="000000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b w:val="0"/>
      <w:smallCaps/>
      <w:color w:val="000000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 w:val="0"/>
      <w:bCs/>
      <w:smallCaps/>
      <w:color w:val="000000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 w:val="0"/>
      <w:bCs/>
      <w:smallCaps/>
      <w:color w:val="000000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b w:val="0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b w:val="0"/>
      <w:color w:val="000000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b w:val="0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 del asistente RAG de salvaguardas GLF</dc:title>
  <dc:subject>Proyecto final RAG de salvaguardas GLF — Grupo 10</dc:subject>
  <dc:creator>Schubert Lombeida Manjarrez y Niko Dimitri Jiménez Bruno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