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cs="Arial" w:eastAsia="Arial"/>
          <w:b/>
          <w:i w:val="0"/>
          <w:color w:val="000000"/>
          <w:sz w:val="24"/>
        </w:rPr>
        <w:t>Consideraciones éticas y responsabilidad del asistente RAG GLF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Grupo 10 · Schubert Lombeida Manjarrez y Niko Dimitri Jiménez Bruno · Corte documental 23 de octubre de 2026</w:t>
      </w:r>
    </w:p>
    <w:p>
      <w:pPr>
        <w:pStyle w:val="Heading1"/>
      </w:pPr>
      <w:r>
        <w:rPr>
          <w:rFonts w:ascii="Arial" w:hAnsi="Arial" w:cs="Arial" w:eastAsia="Arial"/>
          <w:b/>
          <w:i w:val="0"/>
          <w:color w:val="000000"/>
          <w:sz w:val="24"/>
        </w:rPr>
        <w:t>Alcance y conclusión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El asistente recupera evidencia para una revisión ambiental y social humana. Su utilidad potencial depende de que localice disposiciones pertinentes, respete la confidencialidad y permita corregir errores. El funcionamiento de una consulta no prueba que mejore decisiones o beneficie a comunidades. El análisis distingue controles presentes en el código, medidas documentales incorporadas y verificaciones empíricas que requieren especialistas.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Se utiliza el marco de gestión de riesgos de inteligencia artificial de NIST como referencia de organización, no como certificación del sistema. Las categorías de probabilidad y severidad propuestas por el equipo son juicios para priorizar acciones y no frecuencias medidas de incidentes.</w:t>
      </w:r>
    </w:p>
    <w:p>
      <w:pPr>
        <w:pStyle w:val="Heading1"/>
      </w:pPr>
      <w:r>
        <w:rPr>
          <w:rFonts w:ascii="Arial" w:hAnsi="Arial" w:cs="Arial" w:eastAsia="Arial"/>
          <w:b/>
          <w:i w:val="0"/>
          <w:color w:val="000000"/>
          <w:sz w:val="24"/>
        </w:rPr>
        <w:t>Sesgo de fuentes y representación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El corpus puede privilegiar documentos extensos, español, fuentes oficiales disponibles y términos exactos. Una traducción o guía derivada puede recuperar mejor que una disposición original sin tener la misma autoridad. El peso GLF mejora una preferencia editorial, pero no demuestra corrección jurídica.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Mitigación técnica y documental: 1. Identificar documento, idioma, tipo de fuente y versión. 2. Mantener traducciones y normalizaciones identificadas. 3. Equilibrar preguntas por tema y registrar resultados desagregados. 4. Revisar errores donde una excepción quede fuera del fragmento. La estructura y procedencia están documentadas; la medición por tema sobre el nuevo gold está preparada y aún no ejecutada.</w:t>
      </w:r>
    </w:p>
    <w:p>
      <w:pPr>
        <w:pStyle w:val="Heading1"/>
      </w:pPr>
      <w:r>
        <w:rPr>
          <w:rFonts w:ascii="Arial" w:hAnsi="Arial" w:cs="Arial" w:eastAsia="Arial"/>
          <w:b/>
          <w:i w:val="0"/>
          <w:color w:val="000000"/>
          <w:sz w:val="24"/>
        </w:rPr>
        <w:t>Equidad y acceso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El sistema no clasifica personas ni produce decisiones individuales de concesión. La paridad demográfica no es una métrica adecuada para este recuperador y no se calcula sin datos y una pregunta causal pertinente. Sí es relevante que diferentes temas, idiomas y formas de preguntar reciban apoyo comparable.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Mitigación de evaluación y diseño: 1. Incluir reformulaciones y distintos niveles de lenguaje técnico. 2. Comparar Hit@5 y MRR por tema sobre el mismo corpus. 3. Mantener legibles fuente y página en móvil. 4. Ofrecer acceso directo a los originales cuando la IA falla. La interfaz incluye fuentes legibles; no se afirma haber medido accesibilidad integral ni equidad entre poblaciones.</w:t>
      </w:r>
    </w:p>
    <w:p>
      <w:pPr>
        <w:pStyle w:val="Heading1"/>
      </w:pPr>
      <w:r>
        <w:rPr>
          <w:rFonts w:ascii="Arial" w:hAnsi="Arial" w:cs="Arial" w:eastAsia="Arial"/>
          <w:b/>
          <w:i w:val="0"/>
          <w:color w:val="000000"/>
          <w:sz w:val="24"/>
        </w:rPr>
        <w:t>Privacidad y protección de datos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El repositorio público utiliza manifiestos de documentos oficiales y código. Excluye expedientes, contraseñas, tokens y embeddings privados. El servicio generativo puede recibir una pregunta y su contexto en un proveedor externo: limitar el corpus a normas públicas no impide que el usuario escriba datos personales en la pregunta.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Mitigación técnica y organizativa: 1. No introducir información identificable en consultas de demostración. 2. Mantener secretos en servidor y separar datos de postulaciones de los textos públicos. 3. Definir finalidad, base de legitimación, conservación y responsables antes de tratar datos personales con IA. 4. Revisar condiciones del proveedor, transferencias y procedimientos para derechos e incidentes. Los dos primeros puntos son controles de la entrega y del código; los documentos de gobernanza y su aplicación institucional no se acreditan como aprobados por este trabajo.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La Ley Orgánica de Protección de Datos Personales, su Reglamento y la normativa aplicable de la Superintendencia de Protección de Datos Personales (SPDP) son referencias a verificar frente al tratamiento real. La página oficial de SPDP identifica la norma general sobre IA de 2026 y un enfoque de riesgos. Esta revisión no declara cumplimiento legal integral. Identificar una ley no sustituye un inventario de datos, una evaluación de riesgos, contratos ni evidencia de ejercicio de derechos.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92"/>
        <w:gridCol w:w="3744"/>
        <w:gridCol w:w="3744"/>
      </w:tblGrid>
      <w:tr>
        <w:trPr>
          <w:cantSplit/>
          <w:tblHeader w:val="true"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2"/>
              </w:rPr>
              <w:t>Requisito operativo a documentar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2"/>
              </w:rPr>
              <w:t>Cambio de diseño relacionado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2"/>
              </w:rPr>
              <w:t>Situación acreditada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Finalidad y minimización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Corpus público separado de expedientes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Aplicado a este repositorio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Seguridad y confidencialidad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Autenticación, claves en servidor y fuentes permitidas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Visible en el código revisado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Información a usuarios y límites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Avisos de apoyo documental y revisión de citas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Incluido en interfaz y manual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Conservación y derechos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Política y procedimiento institucional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No demostrado mediante este paquete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Evaluación del proveedor y transferencias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Identificar ruta de inferencia y datos enviados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Flujo documentado; revisión institucional por realizar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rial" w:hAnsi="Arial" w:cs="Arial" w:eastAsia="Arial"/>
          <w:b/>
          <w:i w:val="0"/>
          <w:color w:val="000000"/>
          <w:sz w:val="24"/>
        </w:rPr>
        <w:t>Transparencia y explicabilidad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La interfaz muestra texto recuperado, fuente y página. Los puntajes de BM25 y E5 ordenan documentos; no son probabilidades de verdad. Los controles de citas verifican coherencia formal de identificadores, pero no garantizan que cada afirmación se desprenda del pasaje.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Mitigación técnica y de evaluación: 1. Mostrar qué modo se ejecutó. 2. Distinguir búsqueda sin generación de respuesta con IA. 3. Conservar las citas y abrir la página original. 4. Revisar una muestra de afirmaciones y registrar soportadas, no soportadas y ambiguas. Los tres primeros puntos están en la entrega; la muestra independiente debe completarse con el gold.</w:t>
      </w:r>
    </w:p>
    <w:p>
      <w:pPr>
        <w:pStyle w:val="Heading1"/>
      </w:pPr>
      <w:r>
        <w:rPr>
          <w:rFonts w:ascii="Arial" w:hAnsi="Arial" w:cs="Arial" w:eastAsia="Arial"/>
          <w:b/>
          <w:i w:val="0"/>
          <w:color w:val="000000"/>
          <w:sz w:val="24"/>
        </w:rPr>
        <w:t>Impacto social y ambiental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Una búsqueda más rápida podría reducir trabajo repetitivo y apoyar revisiones consistentes. También puede omitir un criterio, producir una exigencia inexistente o generar dependencia excesiva. En un caso de manglar, por ejemplo, recuperar una definición no basta para establecer si una actividad está excluida: deben revisarse disposición, condiciones y excepciones en el documento completo.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Mitigación de proceso: 1. Registrar el riesgo o pregunta y el fundamento normativo. 2. Pedir al especialista que contraste la disposición y su contexto. 3. Separar sugerencias del asistente de decisiones formales. 4. Medir tiempo con comprobación de citas y utilidad percibida, sin inferir impacto comunitario. El diseño mantiene la decisión humana. No se han medido efectos sociales ni huella energética de los servicios.</w:t>
      </w:r>
    </w:p>
    <w:p>
      <w:pPr>
        <w:pStyle w:val="Heading1"/>
      </w:pPr>
      <w:r>
        <w:rPr>
          <w:rFonts w:ascii="Arial" w:hAnsi="Arial" w:cs="Arial" w:eastAsia="Arial"/>
          <w:b/>
          <w:i w:val="0"/>
          <w:color w:val="000000"/>
          <w:sz w:val="24"/>
        </w:rPr>
        <w:t>Responsabilidad y seguimiento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El equipo académico responde por describir y probar su implementación. La autoridad técnica institucional mantiene la interpretación y decisión del expediente. La asignación inicial de tareas entre los dos autores es un plan histórico, no prueba de horas ni de revisión especializada independiente.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92"/>
        <w:gridCol w:w="3744"/>
        <w:gridCol w:w="3744"/>
      </w:tblGrid>
      <w:tr>
        <w:trPr>
          <w:cantSplit/>
          <w:tblHeader w:val="true"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2"/>
              </w:rPr>
              <w:t>Mecanismo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2"/>
              </w:rPr>
              <w:t>Responsable funcional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2"/>
              </w:rPr>
              <w:t>Evidencia y estado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Versionado y manifiestos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Equipo técnico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Commit y huellas incluidos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Revisión normativa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Especialista de dominio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Requerida para las respuestas; gold independiente pendiente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Detección de errores técnicos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Equipo técnico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Pruebas automáticas y errores controlados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Registro y corrección de resultados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Administración y especialista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Flujo del portal descrito; no se audita todo su uso institucional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Incidentes y derechos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Responsable institucional del tratamiento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Procedimiento formal no acreditado aquí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Reevaluación por cambio de corpus o modelo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Equipo técnico y especialista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Protocolo preparado, ejecución según nueva versión</w:t>
            </w:r>
          </w:p>
        </w:tc>
      </w:tr>
    </w:tbl>
    <w:p>
      <w:pPr>
        <w:spacing w:after="20"/>
      </w:pP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Mitigación organizativa: 1. Reportar el identificador de consulta y la fuente sin copiar datos sensibles. 2. Clasificar el error como recuperación, generación, fuente o acceso. 3. Corregir con desarrollo y validación. 4. Reevaluar antes de aplicar cambios a decisiones reales. Un responsable de cierre y una fecha deben acompañar cada incidente institucional.</w:t>
      </w:r>
    </w:p>
    <w:p>
      <w:pPr>
        <w:pStyle w:val="Heading1"/>
      </w:pPr>
      <w:r>
        <w:rPr>
          <w:rFonts w:ascii="Arial" w:hAnsi="Arial" w:cs="Arial" w:eastAsia="Arial"/>
          <w:b/>
          <w:i w:val="0"/>
          <w:color w:val="000000"/>
          <w:sz w:val="24"/>
        </w:rPr>
        <w:t>Uso indebido y seguridad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Un usuario puede intentar extraer datos, insertar instrucciones en documentos o pedir una conclusión fuera de evidencia. La consulta pública puede ser abusada para generar costos. Las cuotas en memoria y la autenticación ayudan, pero no son un sistema completo de prevención de abuso.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Mitigación técnica: 1. Mantener listas de fuentes autorizadas y no ejecutar instrucciones del texto recuperado. 2. Validar longitud y estructura de solicitudes y respuestas. 3. Aplicar tiempos de espera, cuotas y errores sin secretos. 4. Revisar pruebas adversarias y controles de gasto externos. Se verifican contratos y validaciones; no se presenta esto como una auditoría de penetración ni como resistencia probada a toda inyección de instrucciones.</w:t>
      </w:r>
    </w:p>
    <w:p>
      <w:pPr>
        <w:pStyle w:val="Heading1"/>
      </w:pPr>
      <w:r>
        <w:rPr>
          <w:rFonts w:ascii="Arial" w:hAnsi="Arial" w:cs="Arial" w:eastAsia="Arial"/>
          <w:b/>
          <w:i w:val="0"/>
          <w:color w:val="000000"/>
          <w:sz w:val="24"/>
        </w:rPr>
        <w:t>Límites y reflexión sobre el diseño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Sí cambiaríamos el diseño respecto de una propuesta que mezclara corpus y tratara toda cita como prueba de exactitud. Congelaríamos un corpus común antes de comparar métodos, haríamos explícita la autoridad de cada fuente y exigiríamos anotación independiente. Mantendríamos la abstención visible y la decisión humana. No incorporaríamos un clasificador que obtiene alta exactitud prediciendo siempre la clase mayoritaria.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El principal límite es empírico: los resultados históricos no sustituyen una batería independiente. La respuesta FAQ que se espera recibir requiere pasajes verificables y revisión por un especialista diferente al generador de preguntas. El estado pendiente se describe como una condición de la evidencia, no se transforma en una métrica igual a cero ni en éxito inferido.</w:t>
      </w:r>
    </w:p>
    <w:p>
      <w:pPr>
        <w:pStyle w:val="Heading1"/>
      </w:pPr>
      <w:r>
        <w:rPr>
          <w:rFonts w:ascii="Arial" w:hAnsi="Arial" w:cs="Arial" w:eastAsia="Arial"/>
          <w:b/>
          <w:i w:val="0"/>
          <w:color w:val="000000"/>
          <w:sz w:val="24"/>
        </w:rPr>
        <w:t>Referencias</w:t>
      </w:r>
    </w:p>
    <w:p>
      <w:pPr>
        <w:ind w:left="259" w:hanging="259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1. NIST. AI Risk Management Framework. https:/​/​www.nist.gov/​itl/​ai-​risk-​management-​framework</w:t>
      </w:r>
    </w:p>
    <w:p>
      <w:pPr>
        <w:ind w:left="259" w:hanging="259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2. SPDP. Marco normativo de protección de datos personales. https://www.spdp.gob.ec/marco-normativo/</w:t>
      </w:r>
    </w:p>
    <w:p>
      <w:pPr>
        <w:ind w:left="259" w:hanging="259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3. SPDP. Normativa y obligaciones aplicables. https:/​/​www.spdp.gob.ec/​docs/​proteccion-​de-​datos-​personales/​general/​normativa/​</w:t>
      </w:r>
    </w:p>
    <w:p>
      <w:pPr>
        <w:ind w:left="259" w:hanging="259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4. SPDP. Comunicación oficial sobre protección de datos e IA. https://www.spdp.gob.ec/prensa/</w:t>
      </w:r>
    </w:p>
    <w:p>
      <w:pPr>
        <w:ind w:left="259" w:hanging="259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5. Lewis y colaboradores. Retrieval Augmented Generation for Knowledge Intensive NLP Tasks. https://arxiv.org/abs/2005.11401</w:t>
      </w:r>
    </w:p>
    <w:p>
      <w:pPr>
        <w:ind w:left="259" w:hanging="259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6. Wang y colaboradores. Multilingual E5 Text Embeddings. https://arxiv.org/abs/2402.05672</w:t>
      </w:r>
    </w:p>
    <w:p>
      <w:pPr>
        <w:ind w:left="259" w:hanging="259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7. Robertson y Zaragoza. The Probabilistic Relevance Framework BM25 and Beyond. https://doi.org/10.1561/1500000019</w:t>
      </w:r>
    </w:p>
    <w:p>
      <w:pPr>
        <w:ind w:left="259" w:hanging="259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8. GLF. Manual SGAS y anexos oficiales. Véase data/sources.json para los enlaces individuales y las huellas de las fuentes descargadas.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cs="Arial" w:eastAsia="Arial"/>
        <w:b w:val="0"/>
        <w:i w:val="0"/>
        <w:color w:val="000000"/>
        <w:sz w:val="22"/>
      </w:rPr>
      <w:t xml:space="preserve">Página </w:t>
    </w:r>
    <w:r>
      <w:rPr>
        <w:rFonts w:ascii="Arial" w:hAnsi="Arial" w:cs="Arial" w:eastAsia="Arial"/>
        <w:b w:val="0"/>
        <w:i w:val="0"/>
        <w:color w:val="000000"/>
        <w:sz w:val="22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cs="Arial" w:eastAsia="Arial"/>
        <w:b w:val="0"/>
        <w:i w:val="0"/>
        <w:color w:val="000000"/>
        <w:sz w:val="22"/>
      </w:rPr>
      <w:t xml:space="preserve"> de </w:t>
    </w:r>
    <w:r>
      <w:rPr>
        <w:rFonts w:ascii="Arial" w:hAnsi="Arial" w:cs="Arial" w:eastAsia="Arial"/>
        <w:b w:val="0"/>
        <w:i w:val="0"/>
        <w:color w:val="000000"/>
        <w:sz w:val="22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59" w:lineRule="auto"/>
    </w:pPr>
    <w:rPr>
      <w:rFonts w:ascii="Arial" w:hAnsi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b w:val="0"/>
      <w:color w:val="000000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/>
      <w:b w:val="0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b w:val="0"/>
      <w:color w:val="000000"/>
      <w:sz w:val="22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/>
      <w:b w:val="0"/>
      <w:color w:val="000000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/>
      <w:b w:val="0"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/>
      <w:b w:val="0"/>
      <w:i/>
      <w:iCs/>
      <w:color w:val="000000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/>
      <w:b w:val="0"/>
      <w:i/>
      <w:iCs/>
      <w:color w:val="000000"/>
      <w:sz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/>
      <w:b w:val="0"/>
      <w:color w:val="000000"/>
      <w:sz w:val="22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/>
      <w:b w:val="0"/>
      <w:i/>
      <w:iCs/>
      <w:color w:val="000000"/>
      <w:sz w:val="22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/>
      <w:b w:val="0"/>
      <w:color w:val="000000"/>
      <w:sz w:val="22"/>
    </w:rPr>
  </w:style>
  <w:style w:type="table" w:default="1" w:styleId="TableNormal">
    <w:name w:val="Normal Table"/>
    <w:uiPriority w:val="99"/>
    <w:semiHidden/>
    <w:unhideWhenUsed/>
    <w:rPr>
      <w:rFonts w:ascii="Arial" w:hAnsi="Arial"/>
      <w:b w:val="0"/>
      <w:color w:val="000000"/>
      <w:sz w:val="22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  <w:b w:val="0"/>
      <w:color w:val="000000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" w:hAnsi="Arial"/>
      <w:b w:val="0"/>
      <w:bCs/>
      <w:color w:val="000000"/>
      <w:sz w:val="2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" w:hAnsi="Arial"/>
      <w:b w:val="0"/>
      <w:bCs/>
      <w:color w:val="000000"/>
      <w:sz w:val="2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" w:hAnsi="Arial"/>
      <w:b w:val="0"/>
      <w:bCs/>
      <w:color w:val="000000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" w:hAnsi="Arial"/>
      <w:b w:val="0"/>
      <w:color w:val="000000"/>
      <w:spacing w:val="5"/>
      <w:kern w:val="28"/>
      <w:sz w:val="2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2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/>
      <w:b w:val="0"/>
      <w:color w:val="000000"/>
      <w:sz w:val="22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b w:val="0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/>
      <w:b w:val="0"/>
      <w:color w:val="000000"/>
      <w:sz w:val="22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/>
      <w:b w:val="0"/>
      <w:color w:val="000000"/>
      <w:sz w:val="22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/>
      <w:b w:val="0"/>
      <w:color w:val="000000"/>
      <w:sz w:val="22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/>
      <w:b w:val="0"/>
      <w:color w:val="000000"/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/>
      <w:b w:val="0"/>
      <w:color w:val="000000"/>
      <w:sz w:val="22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/>
      <w:b w:val="0"/>
      <w:color w:val="000000"/>
      <w:sz w:val="22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/>
      <w:b w:val="0"/>
      <w:color w:val="000000"/>
      <w:sz w:val="22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/>
      <w:b w:val="0"/>
      <w:color w:val="000000"/>
      <w:sz w:val="2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  <w:b w:val="0"/>
      <w:color w:val="000000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/>
      <w:b w:val="0"/>
      <w:color w:val="000000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/>
      <w:b w:val="0"/>
      <w:color w:val="000000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/>
      <w:b w:val="0"/>
      <w:color w:val="000000"/>
      <w:sz w:val="22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/>
      <w:b w:val="0"/>
      <w:color w:val="000000"/>
      <w:sz w:val="22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/>
      <w:b w:val="0"/>
      <w:color w:val="000000"/>
      <w:sz w:val="22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/>
      <w:b w:val="0"/>
      <w:color w:val="000000"/>
      <w:sz w:val="22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b w:val="0"/>
      <w:color w:val="000000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/>
      <w:b w:val="0"/>
      <w:color w:val="000000"/>
      <w:sz w:val="22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/>
      <w:b w:val="0"/>
      <w:i/>
      <w:iCs/>
      <w:color w:val="000000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/>
      <w:b w:val="0"/>
      <w:i/>
      <w:iCs/>
      <w:color w:val="000000"/>
      <w:sz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" w:hAnsi="Arial"/>
      <w:b w:val="0"/>
      <w:bCs/>
      <w:i/>
      <w:iCs/>
      <w:color w:val="000000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" w:hAnsi="Arial"/>
      <w:b w:val="0"/>
      <w:color w:val="000000"/>
      <w:sz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" w:hAnsi="Arial"/>
      <w:b w:val="0"/>
      <w:i/>
      <w:iCs/>
      <w:color w:val="000000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" w:hAnsi="Arial"/>
      <w:b w:val="0"/>
      <w:i/>
      <w:iCs/>
      <w:color w:val="000000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" w:hAnsi="Arial"/>
      <w:b w:val="0"/>
      <w:color w:val="000000"/>
      <w:sz w:val="22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" w:hAnsi="Arial"/>
      <w:b w:val="0"/>
      <w:i/>
      <w:iCs/>
      <w:color w:val="000000"/>
      <w:sz w:val="22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 w:val="0"/>
      <w:bCs/>
      <w:color w:val="000000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/>
      <w:b w:val="0"/>
      <w:bCs/>
      <w:color w:val="000000"/>
      <w:sz w:val="22"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/>
      <w:b w:val="0"/>
      <w:i/>
      <w:iCs/>
      <w:color w:val="000000"/>
      <w:sz w:val="2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Arial" w:hAnsi="Arial"/>
      <w:b w:val="0"/>
      <w:bCs/>
      <w:i/>
      <w:iCs/>
      <w:color w:val="000000"/>
      <w:sz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/>
      <w:b w:val="0"/>
      <w:bCs/>
      <w:i/>
      <w:iCs/>
      <w:color w:val="000000"/>
      <w:sz w:val="22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/>
      <w:b w:val="0"/>
      <w:i/>
      <w:iCs/>
      <w:color w:val="000000"/>
      <w:sz w:val="22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/>
      <w:b w:val="0"/>
      <w:bCs/>
      <w:i/>
      <w:iCs/>
      <w:color w:val="000000"/>
      <w:sz w:val="22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/>
      <w:b w:val="0"/>
      <w:smallCaps/>
      <w:color w:val="000000"/>
      <w:sz w:val="2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/>
      <w:b w:val="0"/>
      <w:bCs/>
      <w:smallCaps/>
      <w:color w:val="000000"/>
      <w:spacing w:val="5"/>
      <w:sz w:val="22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/>
      <w:b w:val="0"/>
      <w:bCs/>
      <w:smallCaps/>
      <w:color w:val="000000"/>
      <w:spacing w:val="5"/>
      <w:sz w:val="2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/>
      <w:b w:val="0"/>
      <w:color w:val="000000"/>
      <w:sz w:val="2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Consideraciones éticas y responsabilidad del asistente RAG GLF</dc:title>
  <dc:subject>Proyecto final RAG de salvaguardas GLF — Grupo 10</dc:subject>
  <dc:creator>Schubert Lombeida Manjarrez y Niko Dimitri Jiménez Bruno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