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cs="Arial" w:eastAsia="Arial"/>
          <w:b/>
          <w:i w:val="0"/>
          <w:color w:val="000000"/>
          <w:sz w:val="24"/>
        </w:rPr>
        <w:t>Guía de entrega y presentación final del proyecto RAG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Grupo 10 · Schubert Lombeida Manjarrez y Niko Dimitri Jiménez Bruno · Corte documental 23 de octubre de 2026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Qué contiene el paquete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La entrega organiza el proyecto RAG de salvaguardas en un repositorio público y conserva los documentos de las semanas 1 a 5 fuera de cambios. Los seis informes exigidos se publican como Markdown para GitHub y como Word con Arial, títulos 12 en negrita, texto 11 negro, tablas en grises y numeración Página X de Y. El código del portal y del servicio está copiado con manifiesto de procedencia y enlace a la aplicación publicada.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Correspondencia con la rúbrica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92"/>
        <w:gridCol w:w="3744"/>
        <w:gridCol w:w="3744"/>
      </w:tblGrid>
      <w:tr>
        <w:trPr>
          <w:cantSplit/>
          <w:tblHeader w:val="true"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Requisito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Ubicación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Evidencia o condición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Repositorio público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README y estructura raíz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URL confirmada por el equipo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Planificación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docs/planificacion.md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Problema, alcance, objetivos, cronograma y riesgos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Análisis de datos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docs/analisis_datos.md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Conjuntos separados y seis figuras reproducibles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Arquitectura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docs/arquitectura.md e integration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Portal, Supabase, E5, BM25, Qwen y contratos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Optimización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docs/optimizacion.md y cuaderno 04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Análisis de resultados históricos con procedencia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Ética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docs/consideraciones_eticas.md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Ocho ejes, mitigaciones y estado de mecanismos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Manual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docs/manual_usuario.md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Instalación, uso, fuentes y solución de errores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Cinco cuadernos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notebooks/01 a 05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Exploración, preparación, modelado, optimización y evaluación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Código modular y pruebas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src, app y tests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Ejecución automática y reporte de resultados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Datos y modelos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data y models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Manifiestos y configuración, sin datos privados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Interfaz funcional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Portal Vercel y app local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Portal real e interfaz reproducible limitada al RAG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Evaluación independiente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evaluation y src/evaluate.py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Requiere preguntas y pasajes revisados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Video pitch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Guion de esta guía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Grabación y enlace aún no aportados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Video de preguntas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Sección de esta guía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Requiere preguntas oficiales de la profesora</w:t>
            </w:r>
          </w:p>
        </w:tc>
      </w:tr>
    </w:tbl>
    <w:p>
      <w:pPr>
        <w:spacing w:after="20"/>
      </w:pP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La tabla es un control de completitud y no declara como terminados componentes que dependen de evidencia todavía no recibida. Un resultado no ejecutado no se marca aprobado.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Ruta para integrar las preguntas frecuentes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1. Conservar el archivo FAQ recibido como una versión de fuente local y registrar autoría y fecha.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2. Seleccionar entre 40 y 60 preguntas equilibradas por tema, incluidas entre 10 y 15 no contestables.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3. Congelar PDF, fragmentación e identificadores y obtener la huella del corpus.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4. Pedir a un especialista distinto de quien generó las preguntas que identifique pasajes correctos, página, fuente y razón de la etiqueta.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5. Separar intenciones cercanas entre desarrollo, validación y prueba sin fugas.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6. Ejecutar BM25 y E5 con el mismo corpus, preguntas y top k. Guardar resultados por tema, conteos e intervalos apropiados.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7. Revisar entre 20 y 30 respuestas, abstenciones y tiempos manuales frente a asistidos, incluyendo verificación de citas.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8. Actualizar informes y README con resultados reales, sin sustituir los antecedentes históricos.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Los formatos JSONL y CSV preparados son propios de este paquete. No se presentan como las dos plantillas Excel mencionadas por la profesora, que no estaban entre los materiales recibidos.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Guion del video pitch de cinco minutos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El video debe mostrar el sistema real, resolución mínima de 720p, voz comprensible y un máximo de 8 a 10 diapositivas. El siguiente guion usa ocho y totaliza 300 segundos. La grabación debe corresponder a una versión comprobada del código.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92"/>
        <w:gridCol w:w="3744"/>
        <w:gridCol w:w="3744"/>
      </w:tblGrid>
      <w:tr>
        <w:trPr>
          <w:cantSplit/>
          <w:tblHeader w:val="true"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Tiempo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Diapositiva y objetivo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Contenido o demostración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00 a 30 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1 Problema y autores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Grupo 10, dispersión normativa y decisión humana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30 a 90 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2 Datos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Corpus y versiones separados, fuentes y privacidad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90 a 135 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3 Método y optimización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E5 y ruta BM25 Qwen, resultados históricos con alcance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135 a 155 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4 Demostración primera consulta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Pregunta concreta, progreso y respuesta con fuentes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155 a 175 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5 Demostración y error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Segunda consulta y caso insuficiente o entrada inválida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175 a 195 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6 Fuentes y trazabilidad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Abrir una página y contrastar la cita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195 a 240 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7 Resultados y límites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Pruebas reales, métricas históricas y evaluación independiente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240 a 285 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8 Ética y continuidad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Privacidad, sesgo, responsabilidad y medición siguiente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285 a 300 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Cierre en diapositiva 8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Repositorio y portal visibles, conclusión proporcionada</w:t>
            </w:r>
          </w:p>
        </w:tc>
      </w:tr>
    </w:tbl>
    <w:p>
      <w:pPr>
        <w:spacing w:after="20"/>
      </w:pP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Texto de apertura sugerido: Somos Schubert Lombeida Manjarrez y Niko Dimitri Jiménez Bruno, Grupo 10. Desarrollamos un asistente documental para apoyar la revisión de salvaguardas del GLF. Nuestro objetivo es localizar evidencia con fuentes comprobables, manteniendo la interpretación y la decisión en el especialista.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Texto de método sugerido: El portal dispone de una ruta semántica con E5 y otra de respuesta con BM25 y Qwen. Cada una utiliza una preparación documental que debemos declarar. Por eso separamos las pruebas funcionales de la comparación de calidad y no trasladamos métricas entre corpus o modelos distintos.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Texto de cierre sugerido: Entregamos código, documentación y una aplicación operativa con evidencia consultable. Conservamos los resultados históricos con sus límites y un protocolo reproducible para la evaluación independiente. La IA apoya la búsqueda; las decisiones siguen siendo humanas.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Al incorporar resultados nuevos, reemplazar las referencias a evaluación pendiente por los resultados realmente medidos, con sus denominadores y límites. No leer como cumplido algo que no se ejecutó.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Video de preguntas de la profesora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No se recibió aún el listado oficial. Cuando esté disponible, conservar su orden y numeración, responder cada pregunta y mostrar una evidencia del repositorio, experimento o interfaz. Confirmar duración y fecha con esas instrucciones. No inventar las preguntas ni reemplazar el video requerido por el pitch.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Acceso de evaluación y publicación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El repositorio es https:/​/​github.com/​schubertlombeida/​RAG.SALVAGUARDAS.GLF.UEES y el portal es https://glf-postulaciones.vercel.app/. El acceso de la profesora se comparte por un canal separado con permisos limitados y datos de demostración. No publicar usuario y contraseña, claves de Supabase ni tokens de Hugging Face.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Antes del envío comprobar que el repositorio sea visible sin sesión, los enlaces de ambos videos abran, los documentos se descarguen, los cinco cuadernos correspondan a la versión publicada y el acceso permita entrar al módulo RAG. La publicación del código académico no autoriza cambios de permisos ni de producción del portal.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Decisiones que se conservan para continuidad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El portal GLF sigue siendo el sistema de aplicación y el RAG una parte acotada de él. No se altera aquí la estructura de formularios, sus validaciones, anexos ni flujos. Las semanas 1 a 5 permanecen intactas. Se mantiene la autoría del Grupo 10, se separan hechos de propuestas y se documentan corpus, modelos y métricas con versiones. El archivo FAQ esperado el 26 de octubre se integrará sin convertir respuestas no revisadas en un gold válido.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cs="Arial" w:eastAsia="Arial"/>
        <w:b w:val="0"/>
        <w:i w:val="0"/>
        <w:color w:val="000000"/>
        <w:sz w:val="22"/>
      </w:rPr>
      <w:t xml:space="preserve">Página </w:t>
    </w:r>
    <w:r>
      <w:rPr>
        <w:rFonts w:ascii="Arial" w:hAnsi="Arial" w:cs="Arial" w:eastAsia="Arial"/>
        <w:b w:val="0"/>
        <w:i w:val="0"/>
        <w:color w:val="000000"/>
        <w:sz w:val="22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cs="Arial" w:eastAsia="Arial"/>
        <w:b w:val="0"/>
        <w:i w:val="0"/>
        <w:color w:val="000000"/>
        <w:sz w:val="22"/>
      </w:rPr>
      <w:t xml:space="preserve"> de </w:t>
    </w:r>
    <w:r>
      <w:rPr>
        <w:rFonts w:ascii="Arial" w:hAnsi="Arial" w:cs="Arial" w:eastAsia="Arial"/>
        <w:b w:val="0"/>
        <w:i w:val="0"/>
        <w:color w:val="000000"/>
        <w:sz w:val="22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45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b w:val="0"/>
      <w:color w:val="000000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  <w:b w:val="0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b w:val="0"/>
      <w:color w:val="000000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  <w:b w:val="0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 w:val="0"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/>
      <w:b w:val="0"/>
      <w:color w:val="000000"/>
      <w:sz w:val="22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/>
      <w:b w:val="0"/>
      <w:color w:val="000000"/>
      <w:sz w:val="22"/>
    </w:rPr>
  </w:style>
  <w:style w:type="table" w:default="1" w:styleId="TableNormal">
    <w:name w:val="Normal Table"/>
    <w:uiPriority w:val="99"/>
    <w:semiHidden/>
    <w:unhideWhenUsed/>
    <w:rPr>
      <w:rFonts w:ascii="Arial" w:hAnsi="Arial"/>
      <w:b w:val="0"/>
      <w:color w:val="000000"/>
      <w:sz w:val="22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b w:val="0"/>
      <w:color w:val="000000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" w:hAnsi="Arial"/>
      <w:b w:val="0"/>
      <w:bCs/>
      <w:color w:val="000000"/>
      <w:sz w:val="2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" w:hAnsi="Arial"/>
      <w:b w:val="0"/>
      <w:bCs/>
      <w:color w:val="000000"/>
      <w:sz w:val="2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" w:hAnsi="Arial"/>
      <w:b w:val="0"/>
      <w:bCs/>
      <w:color w:val="000000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" w:hAnsi="Arial"/>
      <w:b w:val="0"/>
      <w:color w:val="000000"/>
      <w:spacing w:val="5"/>
      <w:kern w:val="28"/>
      <w:sz w:val="2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  <w:b w:val="0"/>
      <w:color w:val="000000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b w:val="0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  <w:b w:val="0"/>
      <w:color w:val="000000"/>
      <w:sz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  <w:b w:val="0"/>
      <w:color w:val="000000"/>
      <w:sz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  <w:b w:val="0"/>
      <w:color w:val="000000"/>
      <w:sz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b w:val="0"/>
      <w:color w:val="000000"/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b w:val="0"/>
      <w:color w:val="000000"/>
      <w:sz w:val="22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  <w:b w:val="0"/>
      <w:color w:val="000000"/>
      <w:sz w:val="22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  <w:b w:val="0"/>
      <w:color w:val="000000"/>
      <w:sz w:val="22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  <w:b w:val="0"/>
      <w:color w:val="000000"/>
      <w:sz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b w:val="0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b w:val="0"/>
      <w:color w:val="000000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b w:val="0"/>
      <w:color w:val="000000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b w:val="0"/>
      <w:color w:val="000000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  <w:b w:val="0"/>
      <w:color w:val="000000"/>
      <w:sz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  <w:b w:val="0"/>
      <w:color w:val="000000"/>
      <w:sz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  <w:b w:val="0"/>
      <w:color w:val="000000"/>
      <w:sz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b w:val="0"/>
      <w:color w:val="000000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b w:val="0"/>
      <w:color w:val="000000"/>
      <w:sz w:val="22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b w:val="0"/>
      <w:i/>
      <w:iCs/>
      <w:color w:val="000000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b w:val="0"/>
      <w:i/>
      <w:iCs/>
      <w:color w:val="000000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bCs/>
      <w:i/>
      <w:iCs/>
      <w:color w:val="000000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color w:val="000000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color w:val="000000"/>
      <w:sz w:val="22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 w:val="0"/>
      <w:bCs/>
      <w:color w:val="00000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 w:val="0"/>
      <w:bCs/>
      <w:color w:val="000000"/>
      <w:sz w:val="22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b w:val="0"/>
      <w:i/>
      <w:iCs/>
      <w:color w:val="000000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/>
      <w:b w:val="0"/>
      <w:bCs/>
      <w:i/>
      <w:iCs/>
      <w:color w:val="000000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 w:val="0"/>
      <w:bCs/>
      <w:i/>
      <w:iCs/>
      <w:color w:val="000000"/>
      <w:sz w:val="22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b w:val="0"/>
      <w:i/>
      <w:iCs/>
      <w:color w:val="000000"/>
      <w:sz w:val="22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 w:val="0"/>
      <w:bCs/>
      <w:i/>
      <w:iCs/>
      <w:color w:val="000000"/>
      <w:sz w:val="22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b w:val="0"/>
      <w:smallCaps/>
      <w:color w:val="000000"/>
      <w:sz w:val="2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 w:val="0"/>
      <w:bCs/>
      <w:smallCaps/>
      <w:color w:val="000000"/>
      <w:spacing w:val="5"/>
      <w:sz w:val="22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 w:val="0"/>
      <w:bCs/>
      <w:smallCaps/>
      <w:color w:val="000000"/>
      <w:spacing w:val="5"/>
      <w:sz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b w:val="0"/>
      <w:color w:val="000000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entrega y presentación final del proyecto RAG</dc:title>
  <dc:subject>Proyecto final RAG de salvaguardas GLF — Grupo 10</dc:subject>
  <dc:creator>Schubert Lombeida Manjarrez y Niko Dimitri Jiménez Bruno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