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Selección y diseño del proyecto de salvaguardas GLF</w:t>
      </w:r>
    </w:p>
    <w:p>
      <w:r>
        <w:t>Workshop SMART | Schubert Lombeida Manjarrez y Niko Dimitri Jiménez Bruno</w:t>
        <w:br/>
        <w:t>17 de septiembre de 2026</w:t>
      </w:r>
    </w:p>
    <w:p>
      <w:r>
        <w:t>Recomendamos desarrollar el asistente de riesgos y salvaguardas para la nueva matriz de GLF. Obtiene 4,40/5 frente a 4,00 de PreClass AI y 3,40 de PoliScope AI, aplicando los pesos del workshop. La elección combina un problema institucional documentado, acceso declarado a hasta 30 expedientes y un alcance viable con modelos preentrenados. El checklist resulta amarillo: faltan la línea base, la verificación del corpus y la confirmación de dedicación y capacidad de cómputo.</w:t>
      </w:r>
    </w:p>
    <w:p>
      <w:pPr>
        <w:pStyle w:val="Heading1"/>
      </w:pPr>
      <w:r>
        <w:t>Qué exige la actividad</w:t>
      </w:r>
    </w:p>
    <w:p>
      <w:r>
        <w:t>La matriz incluye los cinco criterios, sus pesos oficiales, 15 justificaciones de 50–80 palabras y referencias a 3 PROPUESTAS.docx. El Canvas desarrolla el proyecto seleccionado y el checklist identifica condiciones pendientes antes de declararlo definitivo. El guion sigue la estructura del pitch y se mantiene por debajo del límite de tres minutos del PDF, dentro del máximo de cuatro minutos solicitado por el equipo.</w:t>
      </w:r>
    </w:p>
    <w:tbl>
      <w:tblPr>
        <w:tblW w:type="auto" w:w="0"/>
        <w:tblLayout w:type="fixed"/>
        <w:tblLook w:firstColumn="1" w:firstRow="1" w:lastColumn="0" w:lastRow="0" w:noHBand="0" w:noVBand="1" w:val="04A0"/>
      </w:tblPr>
      <w:tblGrid>
        <w:gridCol w:w="1372"/>
        <w:gridCol w:w="1372"/>
        <w:gridCol w:w="1372"/>
        <w:gridCol w:w="1372"/>
        <w:gridCol w:w="1372"/>
        <w:gridCol w:w="1372"/>
        <w:gridCol w:w="1372"/>
      </w:tblGrid>
      <w:tr>
        <w:trPr>
          <w:cantSplit/>
          <w:tblHeader/>
        </w:trPr>
        <w:tc>
          <w:tcPr>
            <w:tcW w:type="dxa" w:w="1872"/>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Propuesta</w:t>
            </w:r>
          </w:p>
        </w:tc>
        <w:tc>
          <w:tcPr>
            <w:tcW w:type="dxa" w:w="1224"/>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Específico</w:t>
            </w:r>
          </w:p>
        </w:tc>
        <w:tc>
          <w:tcPr>
            <w:tcW w:type="dxa" w:w="1224"/>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Medible</w:t>
            </w:r>
          </w:p>
        </w:tc>
        <w:tc>
          <w:tcPr>
            <w:tcW w:type="dxa" w:w="1296"/>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Alcanzable</w:t>
            </w:r>
          </w:p>
        </w:tc>
        <w:tc>
          <w:tcPr>
            <w:tcW w:type="dxa" w:w="1296"/>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Relevante</w:t>
            </w:r>
          </w:p>
        </w:tc>
        <w:tc>
          <w:tcPr>
            <w:tcW w:type="dxa" w:w="1224"/>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Temporal</w:t>
            </w:r>
          </w:p>
        </w:tc>
        <w:tc>
          <w:tcPr>
            <w:tcW w:type="dxa" w:w="864"/>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Total</w:t>
            </w:r>
          </w:p>
        </w:tc>
      </w:tr>
      <w:tr>
        <w:trPr>
          <w:cantSplit/>
        </w:trPr>
        <w:tc>
          <w:tcPr>
            <w:tcW w:type="dxa" w:w="18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GLF</w:t>
            </w:r>
          </w:p>
        </w:tc>
        <w:tc>
          <w:tcPr>
            <w:tcW w:type="dxa" w:w="12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5</w:t>
            </w:r>
          </w:p>
        </w:tc>
        <w:tc>
          <w:tcPr>
            <w:tcW w:type="dxa" w:w="12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4</w:t>
            </w:r>
          </w:p>
        </w:tc>
        <w:tc>
          <w:tcPr>
            <w:tcW w:type="dxa" w:w="129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4</w:t>
            </w:r>
          </w:p>
        </w:tc>
        <w:tc>
          <w:tcPr>
            <w:tcW w:type="dxa" w:w="129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5</w:t>
            </w:r>
          </w:p>
        </w:tc>
        <w:tc>
          <w:tcPr>
            <w:tcW w:type="dxa" w:w="12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4</w:t>
            </w:r>
          </w:p>
        </w:tc>
        <w:tc>
          <w:tcPr>
            <w:tcW w:type="dxa" w:w="86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4,40</w:t>
            </w:r>
          </w:p>
        </w:tc>
      </w:tr>
      <w:tr>
        <w:trPr>
          <w:cantSplit/>
        </w:trPr>
        <w:tc>
          <w:tcPr>
            <w:tcW w:type="dxa" w:w="1872"/>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PreClass AI</w:t>
            </w:r>
          </w:p>
        </w:tc>
        <w:tc>
          <w:tcPr>
            <w:tcW w:type="dxa" w:w="1224"/>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4</w:t>
            </w:r>
          </w:p>
        </w:tc>
        <w:tc>
          <w:tcPr>
            <w:tcW w:type="dxa" w:w="1224"/>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4</w:t>
            </w:r>
          </w:p>
        </w:tc>
        <w:tc>
          <w:tcPr>
            <w:tcW w:type="dxa" w:w="1296"/>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4</w:t>
            </w:r>
          </w:p>
        </w:tc>
        <w:tc>
          <w:tcPr>
            <w:tcW w:type="dxa" w:w="1296"/>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4</w:t>
            </w:r>
          </w:p>
        </w:tc>
        <w:tc>
          <w:tcPr>
            <w:tcW w:type="dxa" w:w="1224"/>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4</w:t>
            </w:r>
          </w:p>
        </w:tc>
        <w:tc>
          <w:tcPr>
            <w:tcW w:type="dxa" w:w="864"/>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4,00</w:t>
            </w:r>
          </w:p>
        </w:tc>
      </w:tr>
      <w:tr>
        <w:trPr>
          <w:cantSplit/>
        </w:trPr>
        <w:tc>
          <w:tcPr>
            <w:tcW w:type="dxa" w:w="18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PoliScope AI</w:t>
            </w:r>
          </w:p>
        </w:tc>
        <w:tc>
          <w:tcPr>
            <w:tcW w:type="dxa" w:w="12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4</w:t>
            </w:r>
          </w:p>
        </w:tc>
        <w:tc>
          <w:tcPr>
            <w:tcW w:type="dxa" w:w="12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3</w:t>
            </w:r>
          </w:p>
        </w:tc>
        <w:tc>
          <w:tcPr>
            <w:tcW w:type="dxa" w:w="129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3</w:t>
            </w:r>
          </w:p>
        </w:tc>
        <w:tc>
          <w:tcPr>
            <w:tcW w:type="dxa" w:w="129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4</w:t>
            </w:r>
          </w:p>
        </w:tc>
        <w:tc>
          <w:tcPr>
            <w:tcW w:type="dxa" w:w="12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3</w:t>
            </w:r>
          </w:p>
        </w:tc>
        <w:tc>
          <w:tcPr>
            <w:tcW w:type="dxa" w:w="86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3,40</w:t>
            </w:r>
          </w:p>
        </w:tc>
      </w:tr>
    </w:tbl>
    <w:p>
      <w:r>
        <w:t>Cálculo: 0,20×Específico + 0,20×Medible + 0,25×Alcanzable + 0,20×Relevante + 0,15×Temporal. Los puntajes son juicios argumentados, no resultados experimentales. Si la viabilidad GLF cae de 4 a 2 por falta de datos utilizables o validación, baja a 3,90 y PreClass pasa a ser la alternativa preferida.</w:t>
      </w:r>
    </w:p>
    <w:p>
      <w:pPr>
        <w:pStyle w:val="Heading1"/>
      </w:pPr>
      <w:r>
        <w:t>Qué sabemos y qué falta comprobar</w:t>
      </w:r>
    </w:p>
    <w:p>
      <w:r>
        <w:t>Inspeccionado: propuesta académica, tres alternativas del foro, instrucciones, formatos, acta de Sostenibilidad, diagnóstico, análisis VEAS, herramienta Excel diligenciada, dos versiones del PGAS, borrador de nuevo procedimiento, Anexo C e IFC. Los documentos VEAS y PGAS visibles pertenecen al mismo contexto de control y vigilancia; no equivalen a una muestra de proyectos independientes.</w:t>
      </w:r>
    </w:p>
    <w:p>
      <w:r>
        <w:t>Confirmado por el usuario: hasta 30 expedientes por anonimizar y normativa relacionada; Ulf como especialista; dos ingenieros informáticos con poca experiencia práctica y presupuesto estimado de USD 100; seis semanas totales con cinco restantes; entrega del workshop el domingo a las 21:00. Pendiente: inventario efectivo, versiones autorizadas, agenda de Ulf, horas de trabajo, equipo de cómputo y distribución del presupuesto. Calendario operativo propuesto: 19/09–23/10/2026. Entrega inmediata: domingo 20/09/2026 a las 21:00, zona horaria de la plataforma por comprobar.</w:t>
      </w:r>
    </w:p>
    <w:p>
      <w:r>
        <w:br w:type="page"/>
      </w:r>
    </w:p>
    <w:p>
      <w:pPr>
        <w:pStyle w:val="Heading1"/>
      </w:pPr>
      <w:r>
        <w:t>Hallazgos que cambian el diseño</w:t>
      </w:r>
    </w:p>
    <w:p>
      <w:pPr>
        <w:pStyle w:val="Heading1"/>
      </w:pPr>
      <w:r>
        <w:t>Distinguir documentos oficiales de propuestas</w:t>
      </w:r>
    </w:p>
    <w:p>
      <w:r>
        <w:t>El diagnóstico local afirma ausencia de procedimientos escritos y propone una transformación en seis módulos. La publicación oficial de GLF contiene instrucciones de screening, manual de subvenciones y un procedimiento de salud y seguridad aprobado en diciembre de 2024. Esto no prueba que todos los procedimientos operativos estén completos, pero impide mantener una afirmación general de ausencia documental. El problema académico se formula como dificultad de revisión y trazabilidad, dejando la identificación de brechas concretas al especialista. [L3, W4, W5]</w:t>
      </w:r>
    </w:p>
    <w:p>
      <w:r>
        <w:t>La categoría institucional A/B/C no debe confundirse con la puntuación de una matriz de riesgo individual. El borrador Concept E&amp;S usa bandas Bajo 1–4, Medio 5–9, Alto 10–15 y Muy Alto 16–25; el diagnóstico describe otras bandas. Su tabla de ejemplo presenta una media global cuya operación requiere revisión. No se trasladará ninguna regla de categorización al asistente sin una fuente vigente confirmada. [L4]</w:t>
      </w:r>
    </w:p>
    <w:p>
      <w:r>
        <w:t>Las dos copias del PGAS son versiones relacionadas del mismo caso, no expedientes independientes. El PGAS inspeccionado se refiere a los años 2 y 3 del proyecto; sirve para conocer campos, medidas y estructura, pero no sustituye una propuesta inicial ni prueba por sí solo la capacidad de preevaluar nuevas postulaciones. Se pedirán documentos originales de la etapa que se desea evaluar. [L5]</w:t>
      </w:r>
    </w:p>
    <w:p>
      <w:r>
        <w:t>La reducción del 75% de tiempos, la ausencia total de divergencias y el blindaje institucional mencionados en el diagnóstico son beneficios proyectados sin evaluación adjunta. Se reemplazan por metas experimentales y un protocolo de medición. Tampoco se usará una firma o la etiqueta “aprobado” dentro de un documento como confirmación independiente de cada afirmación técnica. [L3]</w:t>
      </w:r>
    </w:p>
    <w:p>
      <w:pPr>
        <w:pStyle w:val="Heading1"/>
      </w:pPr>
      <w:r>
        <w:t>Comparación de soluciones para GLF</w:t>
      </w:r>
    </w:p>
    <w:tbl>
      <w:tblPr>
        <w:tblW w:type="auto" w:w="0"/>
        <w:tblLayout w:type="fixed"/>
        <w:tblLook w:firstColumn="1" w:firstRow="1" w:lastColumn="0" w:lastRow="0" w:noHBand="0" w:noVBand="1" w:val="04A0"/>
      </w:tblPr>
      <w:tblGrid>
        <w:gridCol w:w="3202"/>
        <w:gridCol w:w="3202"/>
        <w:gridCol w:w="3202"/>
      </w:tblGrid>
      <w:tr>
        <w:trPr>
          <w:cantSplit/>
          <w:tblHeader/>
        </w:trPr>
        <w:tc>
          <w:tcPr>
            <w:tcW w:type="dxa" w:w="1944"/>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Alternativa</w:t>
            </w:r>
          </w:p>
        </w:tc>
        <w:tc>
          <w:tcPr>
            <w:tcW w:type="dxa" w:w="3024"/>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Ventaja</w:t>
            </w:r>
          </w:p>
        </w:tc>
        <w:tc>
          <w:tcPr>
            <w:tcW w:type="dxa" w:w="4320"/>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Limitación y decisión</w:t>
            </w:r>
          </w:p>
        </w:tc>
      </w:tr>
      <w:tr>
        <w:trPr>
          <w:cantSplit/>
        </w:trPr>
        <w:tc>
          <w:tcPr>
            <w:tcW w:type="dxa" w:w="19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Formulario y reglas</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Valida campos estructurados con poco costo.</w:t>
            </w:r>
          </w:p>
        </w:tc>
        <w:tc>
          <w:tcPr>
            <w:tcW w:type="dxa" w:w="43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Necesario como control; no resuelve por sí solo búsqueda de evidencia en redacciones diversas.</w:t>
            </w:r>
          </w:p>
        </w:tc>
      </w:tr>
      <w:tr>
        <w:trPr>
          <w:cantSplit/>
        </w:trPr>
        <w:tc>
          <w:tcPr>
            <w:tcW w:type="dxa" w:w="1944"/>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BM25 y reglas</w:t>
            </w:r>
          </w:p>
        </w:tc>
        <w:tc>
          <w:tcPr>
            <w:tcW w:type="dxa" w:w="3024"/>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Línea base simple, trazable y reproducible.</w:t>
            </w:r>
          </w:p>
        </w:tc>
        <w:tc>
          <w:tcPr>
            <w:tcW w:type="dxa" w:w="4320"/>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Puede perder coincidencias por paráfrasis. Se implementará para comparación.</w:t>
            </w:r>
          </w:p>
        </w:tc>
      </w:tr>
      <w:tr>
        <w:trPr>
          <w:cantSplit/>
        </w:trPr>
        <w:tc>
          <w:tcPr>
            <w:tcW w:type="dxa" w:w="19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Embeddings y reglas</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Relaciona requisitos con pasajes semánticamente afines.</w:t>
            </w:r>
          </w:p>
        </w:tc>
        <w:tc>
          <w:tcPr>
            <w:tcW w:type="dxa" w:w="43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Requiere evaluación local y abstención. Es la solución principal recomendada.</w:t>
            </w:r>
          </w:p>
        </w:tc>
      </w:tr>
      <w:tr>
        <w:trPr>
          <w:cantSplit/>
        </w:trPr>
        <w:tc>
          <w:tcPr>
            <w:tcW w:type="dxa" w:w="1944"/>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RAG generativo</w:t>
            </w:r>
          </w:p>
        </w:tc>
        <w:tc>
          <w:tcPr>
            <w:tcW w:type="dxa" w:w="3024"/>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Puede redactar explicaciones a partir de fuentes.</w:t>
            </w:r>
          </w:p>
        </w:tc>
        <w:tc>
          <w:tcPr>
            <w:tcW w:type="dxa" w:w="4320"/>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Añade costo, revisión de afirmaciones y riesgo de respuestas infundadas. Fuera del núcleo del MVP.</w:t>
            </w:r>
          </w:p>
        </w:tc>
      </w:tr>
      <w:tr>
        <w:trPr>
          <w:cantSplit/>
        </w:trPr>
        <w:tc>
          <w:tcPr>
            <w:tcW w:type="dxa" w:w="19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Fine tuning o plataforma integral</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Mayor alcance potencial.</w:t>
            </w:r>
          </w:p>
        </w:tc>
        <w:tc>
          <w:tcPr>
            <w:tcW w:type="dxa" w:w="43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30 expedientes no justifican entrenar un modelo complejo; integraciones y visión exceden cinco semanas.</w:t>
            </w:r>
          </w:p>
        </w:tc>
      </w:tr>
    </w:tbl>
    <w:p>
      <w:r>
        <w:br w:type="page"/>
      </w:r>
    </w:p>
    <w:p>
      <w:pPr>
        <w:pStyle w:val="Heading1"/>
      </w:pPr>
      <w:r>
        <w:t>Solución y objetivo SMART</w:t>
      </w:r>
    </w:p>
    <w:p>
      <w:r>
        <w:t>Desarrollar y evaluar, hasta el 23 de octubre de 2026, un prototipo de PLN para Sostenibilidad de GLF que recupere fichas pertinentes de riesgos y salvaguardas con evidencia y señale campos de la nueva matriz pendientes de revisión, sobre hasta 30 expedientes por anonimizar y normativa versionada. Comparar BM25 con multilingual-e5-base en una prueba separada por proyecto, con metas de Recall@5 ≥ 0,85, F1 macro ≥ 0,80 y trazabilidad documental del 100%; evaluar una reducción del tiempo de revisión del 20%, manteniendo la decisión del especialista.</w:t>
      </w:r>
    </w:p>
    <w:p>
      <w:r>
        <w:t>El objeto recuperado para Recall@5 será una ficha riesgo–salvaguarda del catálogo validado. Todos los umbrales son metas propuestas para aprobación del especialista. La fecha final deriva del calendario relativo indicado por el usuario; debe contrastarse con el calendario del curso.</w:t>
      </w:r>
    </w:p>
    <w:p>
      <w:pPr>
        <w:pStyle w:val="Heading1"/>
      </w:pPr>
      <w:r>
        <w:t>Funcionamiento previsto</w:t>
      </w:r>
    </w:p>
    <w:p>
      <w:r>
        <w:t>1. El usuario selecciona una actividad y aporta contexto del proyecto. 2. El sistema compara la consulta con fichas riesgo–salvaguarda del catálogo revisado por Ulf. 3. Muestra las cinco candidatas principales, sus fuentes y localizadores. 4. El especialista confirma cuáles son pertinentes. 5. Reglas independientes revisan campos y cálculos de la nueva matriz. 6. Se exporta una ficha de revisión con estado y decisión humana. No se exige extracción automática de actividades en el MVP.</w:t>
      </w:r>
    </w:p>
    <w:p>
      <w:r>
        <w:t>La completitud formal se verifica sobre los 17 campos estructurados de la nueva matriz, según su aplicabilidad. La similitud semántica propone fichas de riesgos y salvaguardas con evidencia; no demuestra cumplimiento ni permite inferir que una medida es suficiente. Para texto libre, el estado inicial será candidato por revisar o evidencia no localizada. Una alerta de ausencia deberá confirmarse tras revisar el documento completo.</w:t>
      </w:r>
    </w:p>
    <w:p>
      <w:pPr>
        <w:pStyle w:val="Heading1"/>
      </w:pPr>
      <w:r>
        <w:t>Componentes mínimos</w:t>
      </w:r>
    </w:p>
    <w:p>
      <w:r>
        <w:t>Python, extracción DOCX/PDF/XLSX, BM25, Sentence Transformers con multilingual-e5-base y una interfaz local simple. Los fragmentos respetarán secciones y encabezados de tablas. E5 requiere prefijos query: y passage: y limita entradas a 512 tokens; se propone segmentar por debajo de ese límite con conservación de encabezados y control de duplicados. No es necesario incorporar una base vectorial externa para este volumen. [W1, W2]</w:t>
      </w:r>
    </w:p>
    <w:p>
      <w:r>
        <w:t>Comparación principal: BM25 frente a E5 con el mismo corpus, consultas, segmentación y prueba. Una combinación híbrida solo se probará después de completar ambos enfoques y con parámetros elegidos en desarrollo. Si E5 no mejora la recuperación o introduce errores relevantes, se conserva BM25 y se documenta el resultado; no se forzará una conclusión favorable a la IA.</w:t>
      </w:r>
    </w:p>
    <w:p>
      <w:pPr>
        <w:pStyle w:val="Heading1"/>
      </w:pPr>
      <w:r>
        <w:t>Límites del prototipo</w:t>
      </w:r>
    </w:p>
    <w:p>
      <w:r>
        <w:t>Incluye seis consultas y comprobaciones priorizadas por expediente, relacionadas con actividad, riesgo, medida, ubicación, costo, responsable y plazo. Excluye dictamen de elegibilidad, aprobación de proyectos, cálculo vinculante de riesgo, desembolsos, autenticidad de fotos, WhatsApp, integración productiva con Drive, uso institucional multiusuario y generación automática del PGAS contractual. El OCR masivo se pospone: documentos ilegibles se registran como incidencia de extracción.</w:t>
      </w:r>
    </w:p>
    <w:p>
      <w:pPr>
        <w:pStyle w:val="Heading1"/>
      </w:pPr>
      <w:r>
        <w:t>Gobernanza práctica</w:t>
      </w:r>
    </w:p>
    <w:p>
      <w:r>
        <w:t>Separar normas confirmadas, documentos de proyecto y borradores. Identificar versiones y fecha de vigencia, filtrar por etapa y proyecto, y no mezclar evidencias entre expedientes. Trabajar localmente con datos restringidos; usar servicios externos únicamente con datos y condiciones autorizados. Cada hallazgo conservará su fundamento, cita literal corta, localizador y estado de revisión.</w:t>
      </w:r>
    </w:p>
    <w:p>
      <w:r>
        <w:br w:type="page"/>
      </w:r>
    </w:p>
    <w:p>
      <w:pPr>
        <w:pStyle w:val="Heading1"/>
      </w:pPr>
      <w:r>
        <w:t>Evaluación y criterios de aceptación</w:t>
      </w:r>
    </w:p>
    <w:p>
      <w:r>
        <w:t>Plan sujeto al inventario: hasta 30 proyectos independientes, distribuidos en 18 para desarrollo, 6 para validación y 6 para prueba final. No se trata de entrenamiento del modelo. Todas las versiones y duplicados de un proyecto permanecerán en el mismo grupo. Definir la partición antes de ajustar umbrales y registrar una semilla reproducible. Si quedan menos casos utilizables, recalcular el diseño y declarar el alcance exploratorio.</w:t>
      </w:r>
    </w:p>
    <w:p>
      <w:r>
        <w:t>Se proponen seis unidades actividad–riesgo–salvaguarda por caso: 180 unidades en total y 36 en prueba. Cada unidad tendrá requisito aplicable, norma y versión, fichas relevantes y sus pasajes de respaldo, campos presentes, omisiones y juicio experto. Los casos sin evidencia relevante se evaluarán como negativos de detección, separados del denominador de Recall. El catálogo se construirá con normas y ejemplos autorizados de desarrollo; se revisará la procedencia de la lista revUH para evitar incorporar ejemplos reservados de prueba. La prueba final tendrá etiquetas revisadas por un especialista antes de consultar resultados de los modelos.</w:t>
      </w:r>
    </w:p>
    <w:tbl>
      <w:tblPr>
        <w:tblW w:type="auto" w:w="0"/>
        <w:tblLayout w:type="fixed"/>
        <w:tblLook w:firstColumn="1" w:firstRow="1" w:lastColumn="0" w:lastRow="0" w:noHBand="0" w:noVBand="1" w:val="04A0"/>
      </w:tblPr>
      <w:tblGrid>
        <w:gridCol w:w="3202"/>
        <w:gridCol w:w="3202"/>
        <w:gridCol w:w="3202"/>
      </w:tblGrid>
      <w:tr>
        <w:trPr>
          <w:cantSplit/>
          <w:tblHeader/>
        </w:trPr>
        <w:tc>
          <w:tcPr>
            <w:tcW w:type="dxa" w:w="1800"/>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Medida</w:t>
            </w:r>
          </w:p>
        </w:tc>
        <w:tc>
          <w:tcPr>
            <w:tcW w:type="dxa" w:w="1800"/>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Meta propuesta</w:t>
            </w:r>
          </w:p>
        </w:tc>
        <w:tc>
          <w:tcPr>
            <w:tcW w:type="dxa" w:w="5688"/>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Método</w:t>
            </w:r>
          </w:p>
        </w:tc>
      </w:tr>
      <w:tr>
        <w:trPr>
          <w:cantSplit/>
        </w:trPr>
        <w:tc>
          <w:tcPr>
            <w:tcW w:type="dxa" w:w="18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Recall@5</w:t>
            </w:r>
          </w:p>
        </w:tc>
        <w:tc>
          <w:tcPr>
            <w:tcW w:type="dxa" w:w="18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 0,85</w:t>
            </w:r>
          </w:p>
        </w:tc>
        <w:tc>
          <w:tcPr>
            <w:tcW w:type="dxa" w:w="56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Media por consulta con evidencia relevante: fichas relevantes recuperadas en top 5 / total de fichas relevantes anotadas. Cada ficha vincula riesgo, salvaguarda y fuente; deduplicar.</w:t>
            </w:r>
          </w:p>
        </w:tc>
      </w:tr>
      <w:tr>
        <w:trPr>
          <w:cantSplit/>
        </w:trPr>
        <w:tc>
          <w:tcPr>
            <w:tcW w:type="dxa" w:w="1800"/>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F1 macro de alertas</w:t>
            </w:r>
          </w:p>
        </w:tc>
        <w:tc>
          <w:tcPr>
            <w:tcW w:type="dxa" w:w="1800"/>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 0,80</w:t>
            </w:r>
          </w:p>
        </w:tc>
        <w:tc>
          <w:tcPr>
            <w:tcW w:type="dxa" w:w="5688"/>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Promedio de F1 de las clases requiere revisión por omisión / sin omisión anotada. Reportar precisión, recall y matriz de confusión.</w:t>
            </w:r>
          </w:p>
        </w:tc>
      </w:tr>
      <w:tr>
        <w:trPr>
          <w:cantSplit/>
        </w:trPr>
        <w:tc>
          <w:tcPr>
            <w:tcW w:type="dxa" w:w="18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Trazabilidad</w:t>
            </w:r>
          </w:p>
        </w:tc>
        <w:tc>
          <w:tcPr>
            <w:tcW w:type="dxa" w:w="18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100%</w:t>
            </w:r>
          </w:p>
        </w:tc>
        <w:tc>
          <w:tcPr>
            <w:tcW w:type="dxa" w:w="56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Salidas con fuente, versión y localizador verificables / total de salidas. Verificar además pertinencia de la cita.</w:t>
            </w:r>
          </w:p>
        </w:tc>
      </w:tr>
      <w:tr>
        <w:trPr>
          <w:cantSplit/>
        </w:trPr>
        <w:tc>
          <w:tcPr>
            <w:tcW w:type="dxa" w:w="1800"/>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Tiempo de revisión</w:t>
            </w:r>
          </w:p>
        </w:tc>
        <w:tc>
          <w:tcPr>
            <w:tcW w:type="dxa" w:w="1800"/>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Reducción ≥ 20%</w:t>
            </w:r>
          </w:p>
        </w:tc>
        <w:tc>
          <w:tcPr>
            <w:tcW w:type="dxa" w:w="5688"/>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Incluir lectura, verificación y corrección humana. Comparar tareas equivalentes y alternar orden manual/asistido.</w:t>
            </w:r>
          </w:p>
        </w:tc>
      </w:tr>
      <w:tr>
        <w:trPr>
          <w:cantSplit/>
        </w:trPr>
        <w:tc>
          <w:tcPr>
            <w:tcW w:type="dxa" w:w="18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Latencia de consulta</w:t>
            </w:r>
          </w:p>
        </w:tc>
        <w:tc>
          <w:tcPr>
            <w:tcW w:type="dxa" w:w="18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p95 ≤ 5 segundos</w:t>
            </w:r>
          </w:p>
        </w:tc>
        <w:tc>
          <w:tcPr>
            <w:tcW w:type="dxa" w:w="56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30 consultas después de cargar el índice; registrar hardware. Excluye carga y extracción inicial.</w:t>
            </w:r>
          </w:p>
        </w:tc>
      </w:tr>
    </w:tbl>
    <w:p>
      <w:r>
        <w:t>La exactitud global no será la métrica principal. También se reportarán nDCG@5, recall de alertas de omisión y resultados por proyecto. Un error de omisión que el experto considere crítico exige corrección y una nueva prueba, aunque las medias alcancen las metas. Registrar expresamente las salidas sin evidencia y los errores de extracción.</w:t>
      </w:r>
    </w:p>
    <w:p>
      <w:r>
        <w:t>Para tiempo, obtener primero una línea base manual en seis tareas comparables de validación. En la evaluación final utilizar tareas equivalentes con orden contrabalanceado, conservando tiempos individuales, errores y retrabajo. Con pocos expertos y seis proyectos de prueba, los resultados son exploratorios y no demuestran un ahorro institucional general. Los casos sintéticos sirven para probar fallos, pero se reportan por separado de la evidencia real.</w:t>
      </w:r>
    </w:p>
    <w:p>
      <w:r>
        <w:t>La referencia se preparará mediante el formulario del especialista. El equipo realizará una primera anotación; el especialista resolverá ambigüedades, revisará todas las etiquetas de prueba y validará los errores críticos. El número final de comprobaciones se ajustará a su disponibilidad. Ningún conjunto sin revisión se presentará como verdad de referencia validada.</w:t>
      </w:r>
    </w:p>
    <w:p>
      <w:r>
        <w:br w:type="page"/>
      </w:r>
    </w:p>
    <w:p>
      <w:pPr>
        <w:pStyle w:val="Heading1"/>
      </w:pPr>
      <w:r>
        <w:t>Plan de las cinco semanas restantes</w:t>
      </w:r>
    </w:p>
    <w:tbl>
      <w:tblPr>
        <w:tblW w:type="auto" w:w="0"/>
        <w:tblLayout w:type="fixed"/>
        <w:tblLook w:firstColumn="1" w:firstRow="1" w:lastColumn="0" w:lastRow="0" w:noHBand="0" w:noVBand="1" w:val="04A0"/>
      </w:tblPr>
      <w:tblGrid>
        <w:gridCol w:w="3202"/>
        <w:gridCol w:w="3202"/>
        <w:gridCol w:w="3202"/>
      </w:tblGrid>
      <w:tr>
        <w:trPr>
          <w:cantSplit/>
          <w:tblHeader/>
        </w:trPr>
        <w:tc>
          <w:tcPr>
            <w:tcW w:type="dxa" w:w="1656"/>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Semana del curso</w:t>
            </w:r>
          </w:p>
        </w:tc>
        <w:tc>
          <w:tcPr>
            <w:tcW w:type="dxa" w:w="2304"/>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Fechas propuestas</w:t>
            </w:r>
          </w:p>
        </w:tc>
        <w:tc>
          <w:tcPr>
            <w:tcW w:type="dxa" w:w="5328"/>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Resultado verificable</w:t>
            </w:r>
          </w:p>
        </w:tc>
      </w:tr>
      <w:tr>
        <w:trPr>
          <w:cantSplit/>
        </w:trPr>
        <w:tc>
          <w:tcPr>
            <w:tcW w:type="dxa" w:w="16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2</w:t>
            </w:r>
          </w:p>
        </w:tc>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19–25 septiembre</w:t>
            </w:r>
          </w:p>
        </w:tc>
        <w:tc>
          <w:tcPr>
            <w:tcW w:type="dxa" w:w="532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Entrevista, corpus inventariado, normas vigentes, seis consultas y comprobaciones, partición y línea base manual. Workshop: domingo 20 a las 21:00.</w:t>
            </w:r>
          </w:p>
        </w:tc>
      </w:tr>
      <w:tr>
        <w:trPr>
          <w:cantSplit/>
        </w:trPr>
        <w:tc>
          <w:tcPr>
            <w:tcW w:type="dxa" w:w="1656"/>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3</w:t>
            </w:r>
          </w:p>
        </w:tc>
        <w:tc>
          <w:tcPr>
            <w:tcW w:type="dxa" w:w="2304"/>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26 septiembre–2 octubre</w:t>
            </w:r>
          </w:p>
        </w:tc>
        <w:tc>
          <w:tcPr>
            <w:tcW w:type="dxa" w:w="5328"/>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Extracción con localizadores, BM25 y primera anotación. Revisar calidad del texto antes de modelar.</w:t>
            </w:r>
          </w:p>
        </w:tc>
      </w:tr>
      <w:tr>
        <w:trPr>
          <w:cantSplit/>
        </w:trPr>
        <w:tc>
          <w:tcPr>
            <w:tcW w:type="dxa" w:w="16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4</w:t>
            </w:r>
          </w:p>
        </w:tc>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3–9 octubre</w:t>
            </w:r>
          </w:p>
        </w:tc>
        <w:tc>
          <w:tcPr>
            <w:tcW w:type="dxa" w:w="532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E5, comparación en validación, reglas de campos y ficha de evidencia. Congelar diseño antes de la prueba.</w:t>
            </w:r>
          </w:p>
        </w:tc>
      </w:tr>
      <w:tr>
        <w:trPr>
          <w:cantSplit/>
        </w:trPr>
        <w:tc>
          <w:tcPr>
            <w:tcW w:type="dxa" w:w="1656"/>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5</w:t>
            </w:r>
          </w:p>
        </w:tc>
        <w:tc>
          <w:tcPr>
            <w:tcW w:type="dxa" w:w="2304"/>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10–16 octubre</w:t>
            </w:r>
          </w:p>
        </w:tc>
        <w:tc>
          <w:tcPr>
            <w:tcW w:type="dxa" w:w="5328"/>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Prueba ciega, métricas por caso y piloto con especialista; registrar tiempos y errores.</w:t>
            </w:r>
          </w:p>
        </w:tc>
      </w:tr>
      <w:tr>
        <w:trPr>
          <w:cantSplit/>
        </w:trPr>
        <w:tc>
          <w:tcPr>
            <w:tcW w:type="dxa" w:w="16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6</w:t>
            </w:r>
          </w:p>
        </w:tc>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17–23 octubre</w:t>
            </w:r>
          </w:p>
        </w:tc>
        <w:tc>
          <w:tcPr>
            <w:tcW w:type="dxa" w:w="532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Correcciones, repetición solo de pruebas afectadas, manual, demostración e informe. Reservar 22–23 como margen de cierre.</w:t>
            </w:r>
          </w:p>
        </w:tc>
      </w:tr>
    </w:tbl>
    <w:p>
      <w:r>
        <w:t>Asignación propuesta, pendiente de confirmación: Schubert coordina el caso institucional, los requisitos y la relación con el especialista; Niko coordina extracción, recuperación y registro experimental; ambos revisan etiquetas, pruebas y documentación. Esta distribución no presume habilidades que aún no se hayan confirmado.</w:t>
      </w:r>
    </w:p>
    <w:p>
      <w:r>
        <w:t>Hipótesis de capacidad para discutir: 10 horas por persona y semana durante cinco semanas, equivalentes a 100 horas del equipo. La revisión experta debe presupuestarse por separado según las 180 unidades y los casos de prueba. Ambos son ingenieros informáticos con poca experiencia práctica en este desarrollo; reservar aprendizaje guiado y comenzar con BM25. No se considera aprobado ese tiempo. Si la capacidad es menor, reducir comprobaciones y demostración visual antes de reducir la calidad de la referencia.</w:t>
      </w:r>
    </w:p>
    <w:p>
      <w:r>
        <w:t>No se requiere una API generativa pagada en el núcleo. Las bibliotecas propuestas permiten empezar con herramientas abiertas y equipo existente, pero eso no significa costo total cero. Deben registrarse horas del equipo, revisión experta, cómputo y eventual alojamiento. El usuario estima USD 100 para gastos directos. Se propone un límite de USD 40 para cómputo opcional, USD 10 para respaldo y USD 50 de contingencia. Son topes de gasto, no cotizaciones ni compras necesarias. El equipo y Ulf aportan tiempo cuyo valor no está incluido; la capacidad del computador debe comprobarse antes de comprometer la latencia.</w:t>
      </w:r>
    </w:p>
    <w:p>
      <w:pPr>
        <w:pStyle w:val="Heading1"/>
      </w:pPr>
      <w:r>
        <w:t>Decisiones de control</w:t>
      </w:r>
    </w:p>
    <w:p>
      <w:r>
        <w:t>Al 25 de septiembre: confirmar corpus, permisos, experto y capacidad; si fallan, revisar puntuación Alcanzable y considerar PreClass. Al 9 de octubre: elegir método según validación y congelar umbrales. Al 16 de octubre: decidir si las metas y la calidad permiten una demostración asistida. La extensión a uso real requerirá evaluación y responsables de soporte adicionales.</w:t>
      </w:r>
    </w:p>
    <w:p>
      <w:pPr>
        <w:pStyle w:val="Heading1"/>
      </w:pPr>
      <w:r>
        <w:t>Mantenimiento e integración posteriores</w:t>
      </w:r>
    </w:p>
    <w:p>
      <w:r>
        <w:t>Proponer a Sostenibilidad como custodio del catálogo normativo y registrar quién actualiza versiones y etiquetas. Entregar código, entorno reproducible, diccionario de datos, informe de errores y manual. El intercambio inicial será por archivos autorizados y exportación de fichas; las integraciones multiusuario y la operación institucional se evaluarán en una fase posterior.</w:t>
      </w:r>
    </w:p>
    <w:p>
      <w:r>
        <w:br w:type="page"/>
      </w:r>
    </w:p>
    <w:p>
      <w:pPr>
        <w:pStyle w:val="Heading1"/>
      </w:pPr>
      <w:r>
        <w:t>Adaptación al procedimiento actualizado de Ulf</w:t>
      </w:r>
    </w:p>
    <w:p>
      <w:r>
        <w:t>La carpeta actualizada contiene cuatro archivos: especificación funcional, lista de riesgos y salvaguardas revisada, matriz Excel y presentación. Se adopta como método objetivo el flujo actividad → riesgo → valoración inicial → salvaguarda → valoración residual → planificación. La nueva matriz es de formulación y planificación; el propio documento excluye seguimiento de avances y reportes trimestrales. [L6]</w:t>
      </w:r>
    </w:p>
    <w:p>
      <w:r>
        <w:t>La IA recuperará hasta cinco fichas pertinentes de riesgos y medidas a partir de una actividad y su contexto. Cada ficha tendrá códigos, fuente, versión y pasaje de respaldo. La lista revUH será un insumo inicial que Ulf debe depurar y convertir en catálogo, no una regla universal: medidas históricas como cuotas, plazos o protocolos de un proyecto no deben generalizarse automáticamente.</w:t>
      </w:r>
    </w:p>
    <w:tbl>
      <w:tblPr>
        <w:tblW w:type="auto" w:w="0"/>
        <w:tblLayout w:type="fixed"/>
        <w:tblLook w:firstColumn="1" w:firstRow="1" w:lastColumn="0" w:lastRow="0" w:noHBand="0" w:noVBand="1" w:val="04A0"/>
      </w:tblPr>
      <w:tblGrid>
        <w:gridCol w:w="4802"/>
        <w:gridCol w:w="4802"/>
      </w:tblGrid>
      <w:tr>
        <w:trPr>
          <w:cantSplit/>
          <w:tblHeader/>
        </w:trPr>
        <w:tc>
          <w:tcPr>
            <w:tcW w:type="dxa" w:w="3816"/>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Campos del método</w:t>
            </w:r>
          </w:p>
        </w:tc>
        <w:tc>
          <w:tcPr>
            <w:tcW w:type="dxa" w:w="5472"/>
            <w:tcBorders>
              <w:top w:val="single" w:sz="4" w:color="D9D9D9"/>
              <w:left w:val="single" w:sz="4" w:color="D9D9D9"/>
              <w:bottom w:val="single" w:sz="4" w:color="D9D9D9"/>
              <w:right w:val="single" w:sz="4" w:color="D9D9D9"/>
            </w:tcBorders>
            <w:shd w:fill="243746"/>
            <w:tcMar>
              <w:top w:w="90" w:type="dxa"/>
              <w:left w:w="90" w:type="dxa"/>
              <w:bottom w:w="90" w:type="dxa"/>
              <w:right w:w="90" w:type="dxa"/>
            </w:tcMar>
          </w:tcPr>
          <w:p>
            <w:pPr>
              <w:spacing w:after="80" w:before="60"/>
            </w:pPr>
            <w:r>
              <w:rPr>
                <w:b/>
                <w:color w:val="FFFFFF"/>
                <w:sz w:val="19"/>
              </w:rPr>
              <w:t>Responsabilidad del prototipo</w:t>
            </w:r>
          </w:p>
        </w:tc>
      </w:tr>
      <w:tr>
        <w:trPr>
          <w:cantSplit/>
        </w:trPr>
        <w:tc>
          <w:tcPr>
            <w:tcW w:type="dxa" w:w="38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1–3 Actividad, riesgo y descripción</w:t>
            </w:r>
          </w:p>
        </w:tc>
        <w:tc>
          <w:tcPr>
            <w:tcW w:type="dxa" w:w="54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Entrada humana; IA recupera riesgos comparables y evidencia. No inventa una actividad.</w:t>
            </w:r>
          </w:p>
        </w:tc>
      </w:tr>
      <w:tr>
        <w:trPr>
          <w:cantSplit/>
        </w:trPr>
        <w:tc>
          <w:tcPr>
            <w:tcW w:type="dxa" w:w="3816"/>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4–7 Probabilidad, gravedad, producto y nivel</w:t>
            </w:r>
          </w:p>
        </w:tc>
        <w:tc>
          <w:tcPr>
            <w:tcW w:type="dxa" w:w="5472"/>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Valores 1–5 definidos por personas. Producto y bandas mediante reglas, no IA.</w:t>
            </w:r>
          </w:p>
        </w:tc>
      </w:tr>
      <w:tr>
        <w:trPr>
          <w:cantSplit/>
        </w:trPr>
        <w:tc>
          <w:tcPr>
            <w:tcW w:type="dxa" w:w="38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8 Salvaguardas o medidas</w:t>
            </w:r>
          </w:p>
        </w:tc>
        <w:tc>
          <w:tcPr>
            <w:tcW w:type="dxa" w:w="54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IA recupera fichas del catálogo revisado; Ulf o el aplicante confirma pertinencia.</w:t>
            </w:r>
          </w:p>
        </w:tc>
      </w:tr>
      <w:tr>
        <w:trPr>
          <w:cantSplit/>
        </w:trPr>
        <w:tc>
          <w:tcPr>
            <w:tcW w:type="dxa" w:w="3816"/>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9–11 Probabilidad y gravedad residuales y producto</w:t>
            </w:r>
          </w:p>
        </w:tc>
        <w:tc>
          <w:tcPr>
            <w:tcW w:type="dxa" w:w="5472"/>
            <w:tcBorders>
              <w:top w:val="single" w:sz="4" w:color="D9D9D9"/>
              <w:left w:val="single" w:sz="4" w:color="D9D9D9"/>
              <w:bottom w:val="single" w:sz="4" w:color="D9D9D9"/>
              <w:right w:val="single" w:sz="4" w:color="D9D9D9"/>
            </w:tcBorders>
            <w:shd w:fill="F1F4F6"/>
            <w:tcMar>
              <w:top w:w="90" w:type="dxa"/>
              <w:left w:w="90" w:type="dxa"/>
              <w:bottom w:w="90" w:type="dxa"/>
              <w:right w:w="90" w:type="dxa"/>
            </w:tcMar>
          </w:tcPr>
          <w:p>
            <w:pPr>
              <w:spacing w:after="80" w:before="60"/>
            </w:pPr>
            <w:r>
              <w:rPr>
                <w:sz w:val="19"/>
              </w:rPr>
              <w:t>Estimaciones humanas justificadas. El software comprueba el producto, sin asumir que la medida reduce ambos valores.</w:t>
            </w:r>
          </w:p>
        </w:tc>
      </w:tr>
      <w:tr>
        <w:trPr>
          <w:cantSplit/>
        </w:trPr>
        <w:tc>
          <w:tcPr>
            <w:tcW w:type="dxa" w:w="38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12–17 Ubicación, costo, responsable, trimestres y duración</w:t>
            </w:r>
          </w:p>
        </w:tc>
        <w:tc>
          <w:tcPr>
            <w:tcW w:type="dxa" w:w="54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80" w:before="60"/>
            </w:pPr>
            <w:r>
              <w:rPr>
                <w:sz w:val="19"/>
              </w:rPr>
              <w:t>Entradas humanas y validaciones deterministas. Duración = orden final − orden inicial + 1.</w:t>
            </w:r>
          </w:p>
        </w:tc>
      </w:tr>
    </w:tbl>
    <w:p>
      <w:r>
        <w:t>Indicadores y medios de verificación, presentes en el planteamiento original y en el PGAS, no son columnas explícitas de esta matriz de 17 campos. Se conservarán como evidencia auxiliar en la ficha de revisión, sin marcarlos automáticamente como campos obligatorios faltantes de la nueva matriz. La categoría A/B/C se mantendrá separada de las bandas del riesgo individual.</w:t>
      </w:r>
    </w:p>
    <w:p>
      <w:r>
        <w:t>Hallazgos del archivo recibido: el catálogo definitivo está pendiente; la protección de las cinco hojas no está activada; Q4 usa los trimestres válidos, pero Q5 y las filas posteriores alteran los textos a T5, T6 y superiores. Por ejemplo, para Año 1-T3 a Año 2-T2, Q4 calcula la secuencia esperada, mientras que las filas desplazadas dejan de reconocer valores válidos. Corregir y probar el Excel es una tarea de preparación previa a su integración; el original no se modifica en este workshop.</w:t>
      </w:r>
    </w:p>
    <w:p>
      <w:r>
        <w:t>La especificación describe probabilidad 4 como un evento que ocurrirá “sin duda” y 5 como “casi con toda seguridad”. Ulf debe revisar esa diferencia de orden. La selección múltiple de salvaguardas necesita una representación explícita; en el MVP se proponen códigos múltiples en una ficha, sin depender de macros.</w:t>
      </w:r>
    </w:p>
    <w:p>
      <w:r>
        <w:br w:type="page"/>
      </w:r>
    </w:p>
    <w:p>
      <w:pPr>
        <w:pStyle w:val="Heading1"/>
      </w:pPr>
      <w:r>
        <w:t>Fuentes y trazabilidad del análisis</w:t>
      </w:r>
    </w:p>
    <w:p>
      <w:r>
        <w:t>L1  3 PROPUESTAS.docx, secciones 1–3 e introducción. Fuente de las alternativas y los enfoques de IA.</w:t>
      </w:r>
    </w:p>
    <w:p>
      <w:r>
        <w:t>L2  Instrucciones.txt; WORKSHOP METODOLOGÍA SMART - semana 1.pdf, pp. 1–4; Canvas SMART y Checklist de Validación. La instrucción del usuario actualiza la duración a seis semanas.</w:t>
      </w:r>
    </w:p>
    <w:p>
      <w:r>
        <w:t>L3  Acta Entrevista Sostenibilidad 2026-08-21-signed-signed.pdf; DIAGNOSTICO_PROCESO_SALVAGUARDAS_SOSTENIBILIDAD_GLF.docx, secciones 3–5 y tabla de beneficios. Separar hallazgos referidos, propuestas y resultados no medidos.</w:t>
      </w:r>
    </w:p>
    <w:p>
      <w:r>
        <w:t>L4  HERRAMIENTA VEAS_Proyecto_de_C&amp;V_UH updated Esp.xlsx; Concept E&amp;S Risk Screening and Assessment Draft.docx, sección Screening y tablas de riesgo. Las reglas del borrador requieren confirmación.</w:t>
      </w:r>
    </w:p>
    <w:p>
      <w:r>
        <w:t>L6  Procedimiento actualizado: Especificacion_Matriz_Riesgos_y_Salvaguardas.docx; Lista de Riesgos y Salvaguardas revUH.docx; Matriz_Riesgos_Salvaguardas_Final.xlsx; Presentacion_Matriz_Riesgos_GLF.pptx. Base del método objetivo.</w:t>
      </w:r>
    </w:p>
    <w:p>
      <w:r>
        <w:t>L5  05072026 PGAS C&amp;S Grant Espanol.docx y ESMP PGAS C&amp;S Grant Espanol.docx; introducción, propósito y tablas. Versiones relacionadas, no dos proyectos.</w:t>
      </w:r>
    </w:p>
    <w:p>
      <w:r>
        <w:t>U1  Confirmaciones del usuario del 17/09/2026: hasta 30 expedientes por anonimizar y normas, Ulf como especialista, cinco semanas restantes, workshop el domingo a las 21:00 y guion corto.</w:t>
      </w:r>
    </w:p>
    <w:p>
      <w:r>
        <w:t>W1  Wang y colaboradores. Multilingual E5 Text Embeddings, 2024. Ficha técnica: https://huggingface.co/intfloat/multilingual-e5-base</w:t>
      </w:r>
    </w:p>
    <w:p>
      <w:r>
        <w:t>W2  Sentence Transformers. Evaluación de recuperación: https://www.sbert.net/docs/package_reference/sentence_transformer/evaluation.html</w:t>
      </w:r>
    </w:p>
    <w:p>
      <w:r>
        <w:t>W3  Google. YouTube Data API, commentThreads.list: https://developers.google.com/youtube/v3/docs/commentThreads/list</w:t>
      </w:r>
    </w:p>
    <w:p>
      <w:r>
        <w:t>W4  GLF. Instructions for Environmental and Social Screening, diciembre 2024: https://galapagoslifefund.org.ec/wp-content/uploads/2024/12/Instructions_ES_Screening_CN-Dec2024.pdf</w:t>
      </w:r>
    </w:p>
    <w:p>
      <w:r>
        <w:t>W5  GLF. Políticas y procedimientos oficiales: https://galapagoslifefund.org.ec/data_resources/glf-operations-and-policies/</w:t>
      </w:r>
    </w:p>
    <w:p>
      <w:r>
        <w:t>W6  IFC. Normas de desempeño de 2012 y proceso de actualización: https://www.ifc.org/en/insights-reports/2012/ifc-performance-standards</w:t>
      </w:r>
    </w:p>
    <w:p>
      <w:r>
        <w:t>Consulta web: 17 de septiembre de 2026. Los documentos técnicos justifican la elección del enfoque; su desempeño en GLF deberá medirse. La normativa publicada no sustituye la confirmación institucional de versiones aplicables a cada expediente.</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Schubert Lombeida Manjarrez y Niko Dimitri Jiménez Bruno</dc:creator>
  <cp:keywords/>
  <dc:description>generated by python-docx</dc:description>
  <cp:lastModifiedBy/>
  <cp:revision>1</cp:revision>
  <dcterms:created xsi:type="dcterms:W3CDTF">2013-12-23T23:15:00Z</dcterms:created>
  <dcterms:modified xsi:type="dcterms:W3CDTF">2013-12-23T23:15:00Z</dcterms:modified>
  <cp:category/>
</cp:coreProperties>
</file>