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Анализ ключевых стандартов и нормативных актов, регулирующих составление технического задания на закупку компьютерного и сетевого оборудования для структурного подразделения ОУ СПО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Федеральный закон №44-ФЗ от 05.04.2013 «О контрактной системе в сфере закупок товаров, работ, услуг для обеспечения государственных и муниципальных нужд»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Федеральный закон регулирует порядок осуществления закупок государственными и муниципальными учреждениями.</w:t>
        <w:br w:type="textWrapping"/>
        <w:br w:type="textWrapping"/>
        <w:t xml:space="preserve">При подготовке технического задания учитываются следующие положения:</w:t>
        <w:br w:type="textWrapping"/>
        <w:t xml:space="preserve">- описание объекта закупки должно быть объективным и содержать характеристики товара, позволяющие определить соответствие оборудования требованиям заказчика;</w:t>
        <w:br w:type="textWrapping"/>
        <w:t xml:space="preserve">- требования к товару должны быть связаны с потребностями учреждения;</w:t>
        <w:br w:type="textWrapping"/>
        <w:t xml:space="preserve">- описание объекта закупки не должно приводить к необоснованному ограничению конкуренции;</w:t>
        <w:br w:type="textWrapping"/>
        <w:t xml:space="preserve">- техническое задание должно содержать сведения о количестве оборудования, технических характеристиках, комплектации, требованиях к поставке и документации.</w:t>
      </w:r>
    </w:p>
    <w:p w:rsidR="00000000" w:rsidDel="00000000" w:rsidP="00000000" w:rsidRDefault="00000000" w:rsidRPr="00000000" w14:paraId="0000000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Федеральный закон №162-ФЗ «О стандартизации в Российской Федерации»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Закон определяет правовые основы применения документов по стандартизации.</w:t>
        <w:br w:type="textWrapping"/>
        <w:br w:type="textWrapping"/>
        <w:t xml:space="preserve">При подготовке ТЗ могут использоваться:</w:t>
        <w:br w:type="textWrapping"/>
        <w:t xml:space="preserve">- национальные стандарты (ГОСТ);</w:t>
        <w:br w:type="textWrapping"/>
        <w:t xml:space="preserve">- технические регламенты;</w:t>
        <w:br w:type="textWrapping"/>
        <w:t xml:space="preserve">- стандарты организаций;</w:t>
        <w:br w:type="textWrapping"/>
        <w:t xml:space="preserve">- иные документы, устанавливающие требования к качеству и безопасности продукции.</w:t>
      </w:r>
    </w:p>
    <w:p w:rsidR="00000000" w:rsidDel="00000000" w:rsidP="00000000" w:rsidRDefault="00000000" w:rsidRPr="00000000" w14:paraId="0000000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Технические регламенты Таможенного союза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ТР ТС 004/2011 «О безопасности низковольтного оборудования» устанавливает требования безопасности для электрического оборудования, включая компьютерную технику, серверное и сетевое оборудование.</w:t>
        <w:br w:type="textWrapping"/>
        <w:br w:type="textWrapping"/>
        <w:t xml:space="preserve">ТР ТС 020/2011 «Электромагнитная совместимость технических средств» устанавливает требования к устойчивости оборудования и уровню создаваемых электромагнитных помех.</w:t>
      </w:r>
    </w:p>
    <w:p w:rsidR="00000000" w:rsidDel="00000000" w:rsidP="00000000" w:rsidRDefault="00000000" w:rsidRPr="00000000" w14:paraId="0000000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Стандарты оформления технической документации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ГОСТ 2.102-2013 (ЕСКД) устанавливает виды и комплектность конструкторских документов.</w:t>
        <w:br w:type="textWrapping"/>
        <w:br w:type="textWrapping"/>
        <w:t xml:space="preserve">ГОСТ Р 2.106-2019 определяет требования к оформлению текстовых технических документов.</w:t>
        <w:br w:type="textWrapping"/>
        <w:br w:type="textWrapping"/>
        <w:t xml:space="preserve">При составлении ТЗ рекомендуется предусматривать требования к предоставлению:</w:t>
        <w:br w:type="textWrapping"/>
        <w:t xml:space="preserve">- технического паспорта оборудования;</w:t>
        <w:br w:type="textWrapping"/>
        <w:t xml:space="preserve">- руководства по эксплуатации;</w:t>
        <w:br w:type="textWrapping"/>
        <w:t xml:space="preserve">- технического описания;</w:t>
        <w:br w:type="textWrapping"/>
        <w:t xml:space="preserve">- гарантийной документации.</w:t>
      </w:r>
    </w:p>
    <w:p w:rsidR="00000000" w:rsidDel="00000000" w:rsidP="00000000" w:rsidRDefault="00000000" w:rsidRPr="00000000" w14:paraId="0000000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Стандарты в области информационных технологий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ГОСТ Р ИСО/МЭК 11801 устанавливает требования к структурированным кабельным системам и параметрам передачи данных.</w:t>
        <w:br w:type="textWrapping"/>
        <w:br w:type="textWrapping"/>
        <w:t xml:space="preserve">ГОСТ Р ИСО/МЭК 27001 определяет требования к системам менеджмента информационной безопасности и может учитываться при закупке оборудования, используемого для обработки образовательной и персональной информации.</w:t>
      </w:r>
    </w:p>
    <w:p w:rsidR="00000000" w:rsidDel="00000000" w:rsidP="00000000" w:rsidRDefault="00000000" w:rsidRPr="00000000" w14:paraId="0000000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Нормативные документы в сфере образования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Федеральный закон №273-ФЗ «Об образовании в Российской Федерации» определяет необходимость создания условий для образовательной деятельности и применения информационных технологий.</w:t>
        <w:br w:type="textWrapping"/>
        <w:br w:type="textWrapping"/>
        <w:t xml:space="preserve">Федеральные государственные образовательные стандарты СПО устанавливают требования к материально-техническому обеспечению образовательных программ. При подготовке ТЗ учитываются направление подготовки, количество рабочих мест, используемое программное обеспечение и требования практической подготовки студентов.</w:t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Требования информационной безопасности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Федеральный закон №149-ФЗ «Об информации, информационных технологиях и о защите информации» регулирует использование информационных систем и защиту информации.</w:t>
        <w:br w:type="textWrapping"/>
        <w:br w:type="textWrapping"/>
        <w:t xml:space="preserve">Федеральный закон №152-ФЗ «О персональных данных» устанавливает требования к защите информации, содержащей персональные данные обучающихся и сотрудников.</w:t>
        <w:br w:type="textWrapping"/>
        <w:br w:type="textWrapping"/>
        <w:t xml:space="preserve">При закупке оборудования могут учитываться возможности разграничения доступа, установки средств защиты информации и обеспечения безопасной эксплуатации.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Особенности ТЗ для образовательного учреждения СПО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При разработке технического задания необходимо учитывать назначение оборудования:</w:t>
        <w:br w:type="textWrapping"/>
        <w:br w:type="textWrapping"/>
        <w:t xml:space="preserve">- учебные компьютерные классы: производительность, совместимость с учебным программным обеспечением, надежность;</w:t>
        <w:br w:type="textWrapping"/>
        <w:t xml:space="preserve">- серверная инфраструктура: отказоустойчивость, возможность резервирования;</w:t>
        <w:br w:type="textWrapping"/>
        <w:t xml:space="preserve">- рабочие места сотрудников: безопасность и удобство эксплуатации;</w:t>
        <w:br w:type="textWrapping"/>
        <w:t xml:space="preserve">- сетевое оборудование: скорость передачи данных, управляемость, совместимость с существующей сетью.</w:t>
      </w:r>
    </w:p>
    <w:p w:rsidR="00000000" w:rsidDel="00000000" w:rsidP="00000000" w:rsidRDefault="00000000" w:rsidRPr="00000000" w14:paraId="0000001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Рекомендуемая структура технического задания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Общие сведения о закупке и заказчике.</w:t>
        <w:br w:type="textWrapping"/>
        <w:t xml:space="preserve">2. Назначение оборудования.</w:t>
        <w:br w:type="textWrapping"/>
        <w:t xml:space="preserve">3. Требования к техническим характеристикам.</w:t>
        <w:br w:type="textWrapping"/>
        <w:t xml:space="preserve">4. Требования к комплектации.</w:t>
        <w:br w:type="textWrapping"/>
        <w:t xml:space="preserve">5. Требования к поставке, установке и настройке.</w:t>
        <w:br w:type="textWrapping"/>
        <w:t xml:space="preserve">6. Требования к эксплуатационной документации.</w:t>
        <w:br w:type="textWrapping"/>
        <w:t xml:space="preserve">7. Требования к гарантийному обслуживанию.</w:t>
      </w:r>
    </w:p>
    <w:p w:rsidR="00000000" w:rsidDel="00000000" w:rsidP="00000000" w:rsidRDefault="00000000" w:rsidRPr="00000000" w14:paraId="00000015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Техническое задание на закупку компьютерного и сетевого оборудования для подразделения СПО должно обеспечивать соответствие требованиям законодательства о закупках, образовательным стандартам, требованиям безопасности и условиям эксплуатации информационной инфраструктуры.</w:t>
        <w:br w:type="textWrapping"/>
        <w:br w:type="textWrapping"/>
        <w:t xml:space="preserve">Основными документами, которые необходимо учитывать, являются:</w:t>
        <w:br w:type="textWrapping"/>
        <w:t xml:space="preserve">- Федеральный закон №44-ФЗ;</w:t>
        <w:br w:type="textWrapping"/>
        <w:t xml:space="preserve">- Федеральный закон №162-ФЗ;</w:t>
        <w:br w:type="textWrapping"/>
        <w:t xml:space="preserve">- Федеральный закон №273-ФЗ;</w:t>
        <w:br w:type="textWrapping"/>
        <w:t xml:space="preserve">- Федеральный закон №149-ФЗ;</w:t>
        <w:br w:type="textWrapping"/>
        <w:t xml:space="preserve">- Федеральный закон №152-ФЗ;</w:t>
        <w:br w:type="textWrapping"/>
        <w:t xml:space="preserve">- ТР ТС 004/2011;</w:t>
        <w:br w:type="textWrapping"/>
        <w:t xml:space="preserve">- ТР ТС 020/2011;</w:t>
        <w:br w:type="textWrapping"/>
        <w:t xml:space="preserve">- ГОСТ Р ИСО/МЭК 11801;</w:t>
        <w:br w:type="textWrapping"/>
        <w:t xml:space="preserve">- ГОСТ Р ИСО/МЭК 27001.</w:t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Чудная Софья, 3об_ПОО/24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