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093E8" w14:textId="2F25AA8D" w:rsidR="009E5CA7" w:rsidRDefault="009E5CA7">
      <w:pPr>
        <w:rPr>
          <w:b/>
          <w:bCs/>
          <w:sz w:val="20"/>
          <w:szCs w:val="20"/>
          <w:u w:val="single"/>
        </w:rPr>
      </w:pPr>
      <w:r>
        <w:rPr>
          <w:b/>
          <w:bCs/>
          <w:sz w:val="20"/>
          <w:szCs w:val="20"/>
          <w:u w:val="single"/>
        </w:rPr>
        <w:t>Methodology</w:t>
      </w:r>
    </w:p>
    <w:p w14:paraId="4551B5AD" w14:textId="77777777" w:rsidR="006948FE" w:rsidRPr="006948FE" w:rsidRDefault="006948FE" w:rsidP="006948FE">
      <w:pPr>
        <w:rPr>
          <w:sz w:val="20"/>
          <w:szCs w:val="20"/>
        </w:rPr>
      </w:pPr>
      <w:r w:rsidRPr="006948FE">
        <w:rPr>
          <w:sz w:val="20"/>
          <w:szCs w:val="20"/>
        </w:rPr>
        <w:t>The additional energy demand of conventional SMR relative to eSMR was decomposed into (i) feed preheating and reaction enthalpy, and (ii) irrecoverable thermal losses in the firebox and radiant section — comprising flue gas losses (6–10%) and insulation losses (1–5% of fired energy) [Ullmann's]. Under ideal heat integration, contribution (i) is fully recovered as steam export, rendering it economically equivalent to dedicated NG-fired steam generation at sites operating under a net steam deficit. The net differentiator therefore reduces to the irrecoverable thermal losses of conventional SMR.</w:t>
      </w:r>
    </w:p>
    <w:p w14:paraId="6AB390C0" w14:textId="77777777" w:rsidR="006948FE" w:rsidRPr="006948FE" w:rsidRDefault="006948FE" w:rsidP="006948FE">
      <w:pPr>
        <w:rPr>
          <w:sz w:val="20"/>
          <w:szCs w:val="20"/>
        </w:rPr>
      </w:pPr>
      <w:r w:rsidRPr="006948FE">
        <w:rPr>
          <w:sz w:val="20"/>
          <w:szCs w:val="20"/>
        </w:rPr>
        <w:t xml:space="preserve">The electricity-to-natural gas price ratio was evaluated for Germany, the United States, and China using 2019 industrial energy prices as a pre-crisis baseline [5,6], accounting for the fact that the reaction enthalpy — near-identical in both processes — is supplied by different energy carriers: natural gas in conventional SMR and electricity in eSMR. The CO₂ certificate price required to close the residual economic gap was then derived analytically using the natural gas emission factor </w:t>
      </w:r>
      <m:oMath>
        <m:sSub>
          <m:sSubPr>
            <m:ctrlPr>
              <w:rPr>
                <w:rFonts w:ascii="Cambria Math" w:hAnsi="Cambria Math"/>
                <w:sz w:val="20"/>
                <w:szCs w:val="20"/>
              </w:rPr>
            </m:ctrlPr>
          </m:sSubPr>
          <m:e>
            <m:r>
              <w:rPr>
                <w:rFonts w:ascii="Cambria Math" w:hAnsi="Cambria Math"/>
                <w:sz w:val="20"/>
                <w:szCs w:val="20"/>
              </w:rPr>
              <m:t>EF</m:t>
            </m:r>
          </m:e>
          <m:sub>
            <m:r>
              <m:rPr>
                <m:nor/>
              </m:rPr>
              <w:rPr>
                <w:sz w:val="20"/>
                <w:szCs w:val="20"/>
              </w:rPr>
              <m:t>NG</m:t>
            </m:r>
          </m:sub>
        </m:sSub>
      </m:oMath>
      <w:r w:rsidRPr="006948FE">
        <w:rPr>
          <w:sz w:val="20"/>
          <w:szCs w:val="20"/>
        </w:rPr>
        <w:t xml:space="preserve"> = 0.205 t CO₂/</w:t>
      </w:r>
      <m:oMath>
        <m:sSub>
          <m:sSubPr>
            <m:ctrlPr>
              <w:rPr>
                <w:rFonts w:ascii="Cambria Math" w:hAnsi="Cambria Math"/>
                <w:sz w:val="20"/>
                <w:szCs w:val="20"/>
              </w:rPr>
            </m:ctrlPr>
          </m:sSubPr>
          <m:e>
            <m:r>
              <m:rPr>
                <m:sty m:val="p"/>
              </m:rPr>
              <w:rPr>
                <w:rFonts w:ascii="Cambria Math" w:hAnsi="Cambria Math"/>
                <w:sz w:val="20"/>
                <w:szCs w:val="20"/>
              </w:rPr>
              <m:t>MWh</m:t>
            </m:r>
          </m:e>
          <m:sub>
            <m:r>
              <m:rPr>
                <m:nor/>
              </m:rPr>
              <w:rPr>
                <w:sz w:val="20"/>
                <w:szCs w:val="20"/>
              </w:rPr>
              <m:t>NG</m:t>
            </m:r>
          </m:sub>
        </m:sSub>
      </m:oMath>
      <w:r w:rsidRPr="006948FE">
        <w:rPr>
          <w:sz w:val="20"/>
          <w:szCs w:val="20"/>
        </w:rPr>
        <w:t xml:space="preserve"> [Umweltbundesamt, 2022]:</w:t>
      </w:r>
    </w:p>
    <w:p w14:paraId="05C50CF7" w14:textId="77777777" w:rsidR="006948FE" w:rsidRPr="006948FE" w:rsidRDefault="006948FE" w:rsidP="006948FE">
      <w:pPr>
        <w:rPr>
          <w:sz w:val="20"/>
          <w:szCs w:val="20"/>
        </w:rPr>
      </w:pPr>
      <w:r w:rsidRPr="006948FE">
        <w:rPr>
          <w:sz w:val="20"/>
          <w:szCs w:val="20"/>
        </w:rPr>
        <w:t>This threshold was compared against current EU ETS carbon price levels to assess whether CO₂ pricing materially alters the conclusions.</w:t>
      </w:r>
    </w:p>
    <w:p w14:paraId="738F12D4" w14:textId="77777777" w:rsidR="006948FE" w:rsidRDefault="006948FE" w:rsidP="006948FE">
      <w:pPr>
        <w:rPr>
          <w:sz w:val="20"/>
          <w:szCs w:val="20"/>
        </w:rPr>
      </w:pPr>
    </w:p>
    <w:p w14:paraId="52D24A92" w14:textId="77777777" w:rsidR="006948FE" w:rsidRDefault="006948FE" w:rsidP="006948FE">
      <w:pPr>
        <w:rPr>
          <w:sz w:val="20"/>
          <w:szCs w:val="20"/>
        </w:rPr>
      </w:pPr>
      <w:r w:rsidRPr="00F87519">
        <w:rPr>
          <w:sz w:val="20"/>
          <w:szCs w:val="20"/>
        </w:rPr>
        <w:t>The additional energy demand of post-combustion CO₂ capture relative to pre-combustion capture was derived from the techno-economic simulation results reported by IEAGHG (2017) for an SMR-based merchant hydrogen plant. Two energy components were quantified separately: the thermal energy required for solvent regeneration in the stripper reboiler, and the electrical energy consumed by the capture and compression units, including auxiliary loads. The reboiler duty was calculated directly from the reported LP steam consumption of the CO₂ capture plant (64.4 t/h for pre-combustion MDEA, 96.4 t/h for post-combustion MEA) multiplied by the specific enthalpy difference between LP steam (0.44 MPa, 177 °C; h ≈ 2810 kJ/kg) and saturated condensate return (0.44 MPa, 147 °C; h ≈ 620 kJ/kg) from NIST steam tables</w:t>
      </w:r>
      <w:r>
        <w:rPr>
          <w:sz w:val="20"/>
          <w:szCs w:val="20"/>
        </w:rPr>
        <w:t xml:space="preserve">. </w:t>
      </w:r>
      <w:r w:rsidRPr="00F87519">
        <w:rPr>
          <w:sz w:val="20"/>
          <w:szCs w:val="20"/>
        </w:rPr>
        <w:t>The electrical penalty was determined as the sum of differential power consumption of the hydrogen plant, COGEN auxiliaries/BoP, CO₂ capture plant, and CO₂ compression and drying unit, taken directly from the simulation results. Both energy components were normalized to the natural gas feedstock energy input (LHV basis) to enable transferability to other applications. To express both energy forms on a common primary-energy basis, the reboiler heat was divided by a boiler efficiency of 0.95 to account for the additional fuel required in a standalone installation, while the electrical demand was converted to primary energy using a factor of 2.5, corresponding to an average grid generation efficiency of approximately 40%. The incremental energy penalty of post-combustion over pre-combustion capture is reported as the sum of both contributions, expressed as a fraction of the natural gas feedstock energy</w:t>
      </w:r>
      <w:r w:rsidRPr="009E5CA7">
        <w:rPr>
          <w:sz w:val="20"/>
          <w:szCs w:val="20"/>
        </w:rPr>
        <w:t xml:space="preserve"> input on an LHV basis to allow comparison across applications</w:t>
      </w:r>
      <w:r>
        <w:rPr>
          <w:sz w:val="20"/>
          <w:szCs w:val="20"/>
        </w:rPr>
        <w:t>.</w:t>
      </w:r>
    </w:p>
    <w:p w14:paraId="6883B11B" w14:textId="77777777" w:rsidR="006948FE" w:rsidRDefault="006948FE" w:rsidP="006948FE">
      <w:pPr>
        <w:rPr>
          <w:sz w:val="20"/>
          <w:szCs w:val="20"/>
        </w:rPr>
      </w:pPr>
    </w:p>
    <w:p w14:paraId="7129DA09" w14:textId="115DFC21" w:rsidR="009E5CA7" w:rsidRDefault="006948FE">
      <w:pPr>
        <w:rPr>
          <w:sz w:val="20"/>
          <w:szCs w:val="20"/>
        </w:rPr>
      </w:pPr>
      <w:r w:rsidRPr="009E5CA7">
        <w:rPr>
          <w:sz w:val="20"/>
          <w:szCs w:val="20"/>
        </w:rPr>
        <w:t>The energetic effect of high-pressure operation was assessed by comparing the pressure work associated with conventional pressure reduction of the natural</w:t>
      </w:r>
      <w:r>
        <w:rPr>
          <w:sz w:val="20"/>
          <w:szCs w:val="20"/>
        </w:rPr>
        <w:t xml:space="preserve"> </w:t>
      </w:r>
      <w:r w:rsidRPr="009E5CA7">
        <w:rPr>
          <w:sz w:val="20"/>
          <w:szCs w:val="20"/>
        </w:rPr>
        <w:t>gas feed and subsequent recompression of the hydrogen product. Both steps were treated as ideal-gas, isentropic processes corrected by representative isentropic machine efficiencies. The isentropic exponents were calculated from temperature-dependent heat capacities according to </w:t>
      </w:r>
      <m:oMath>
        <m:r>
          <w:rPr>
            <w:rFonts w:ascii="Cambria Math" w:hAnsi="Cambria Math"/>
            <w:sz w:val="20"/>
            <w:szCs w:val="20"/>
          </w:rPr>
          <m:t>γ</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m:t>
        </m:r>
        <m:r>
          <w:rPr>
            <w:rFonts w:ascii="Cambria Math" w:hAnsi="Cambria Math"/>
            <w:sz w:val="20"/>
            <w:szCs w:val="20"/>
          </w:rPr>
          <m:t>R</m:t>
        </m:r>
        <m:r>
          <m:rPr>
            <m:sty m:val="p"/>
          </m:rPr>
          <w:rPr>
            <w:rFonts w:ascii="Cambria Math" w:hAnsi="Cambria Math"/>
            <w:sz w:val="20"/>
            <w:szCs w:val="20"/>
          </w:rPr>
          <m:t>)</m:t>
        </m:r>
      </m:oMath>
      <w:r w:rsidRPr="009E5CA7">
        <w:rPr>
          <w:sz w:val="20"/>
          <w:szCs w:val="20"/>
        </w:rPr>
        <w:t>, using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oMath>
      <w:r w:rsidRPr="009E5CA7">
        <w:rPr>
          <w:sz w:val="20"/>
          <w:szCs w:val="20"/>
        </w:rPr>
        <w:t> values for methane and hydrogen at the selected reference temperature, resulting in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CH</m:t>
            </m:r>
            <m:r>
              <m:rPr>
                <m:sty m:val="p"/>
              </m:rPr>
              <w:rPr>
                <w:rFonts w:ascii="Cambria Math" w:hAnsi="Cambria Math"/>
                <w:sz w:val="20"/>
                <w:szCs w:val="20"/>
              </w:rPr>
              <m:t>4</m:t>
            </m:r>
          </m:sub>
        </m:sSub>
        <m:r>
          <m:rPr>
            <m:sty m:val="p"/>
          </m:rPr>
          <w:rPr>
            <w:rFonts w:ascii="Cambria Math" w:hAnsi="Cambria Math"/>
            <w:sz w:val="20"/>
            <w:szCs w:val="20"/>
          </w:rPr>
          <m:t>≈1.30</m:t>
        </m:r>
      </m:oMath>
      <w:r w:rsidRPr="009E5CA7">
        <w:rPr>
          <w:sz w:val="20"/>
          <w:szCs w:val="20"/>
        </w:rPr>
        <w:t> and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H</m:t>
            </m:r>
            <m:r>
              <m:rPr>
                <m:sty m:val="p"/>
              </m:rPr>
              <w:rPr>
                <w:rFonts w:ascii="Cambria Math" w:hAnsi="Cambria Math"/>
                <w:sz w:val="20"/>
                <w:szCs w:val="20"/>
              </w:rPr>
              <m:t>2</m:t>
            </m:r>
          </m:sub>
        </m:sSub>
        <m:r>
          <m:rPr>
            <m:sty m:val="p"/>
          </m:rPr>
          <w:rPr>
            <w:rFonts w:ascii="Cambria Math" w:hAnsi="Cambria Math"/>
            <w:sz w:val="20"/>
            <w:szCs w:val="20"/>
          </w:rPr>
          <m:t>≈1.41</m:t>
        </m:r>
      </m:oMath>
      <w:r w:rsidRPr="009E5CA7">
        <w:rPr>
          <w:sz w:val="20"/>
          <w:szCs w:val="20"/>
        </w:rPr>
        <w:t>. The recoverable expansion work of the natural</w:t>
      </w:r>
      <w:r>
        <w:rPr>
          <w:sz w:val="20"/>
          <w:szCs w:val="20"/>
        </w:rPr>
        <w:t xml:space="preserve"> </w:t>
      </w:r>
      <w:r w:rsidRPr="009E5CA7">
        <w:rPr>
          <w:sz w:val="20"/>
          <w:szCs w:val="20"/>
        </w:rPr>
        <w:t>gas stream and the required hydrogen compression work were calculated from the molar-flow-based isentropic work expressions, with real-machine corrections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real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E</m:t>
            </m:r>
          </m:sub>
        </m:sSub>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is</m:t>
            </m:r>
          </m:sub>
        </m:sSub>
      </m:oMath>
      <w:r w:rsidRPr="009E5CA7">
        <w:rPr>
          <w:sz w:val="20"/>
          <w:szCs w:val="20"/>
        </w:rPr>
        <w:t> and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real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m:t>
            </m:r>
            <m:r>
              <m:rPr>
                <m:sty m:val="p"/>
              </m:rPr>
              <w:rPr>
                <w:rFonts w:ascii="Cambria Math" w:hAnsi="Cambria Math"/>
                <w:sz w:val="20"/>
                <w:szCs w:val="20"/>
              </w:rPr>
              <m:t>,</m:t>
            </m:r>
            <m:r>
              <w:rPr>
                <w:rFonts w:ascii="Cambria Math" w:hAnsi="Cambria Math"/>
                <w:sz w:val="20"/>
                <w:szCs w:val="20"/>
              </w:rPr>
              <m:t>is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C</m:t>
            </m:r>
          </m:sub>
        </m:sSub>
      </m:oMath>
      <w:r w:rsidRPr="009E5CA7">
        <w:rPr>
          <w:sz w:val="20"/>
          <w:szCs w:val="20"/>
        </w:rPr>
        <w:t>. A simplified value of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C</m:t>
            </m:r>
          </m:sub>
        </m:sSub>
        <m:r>
          <m:rPr>
            <m:sty m:val="p"/>
          </m:rPr>
          <w:rPr>
            <w:rFonts w:ascii="Cambria Math" w:hAnsi="Cambria Math"/>
            <w:sz w:val="20"/>
            <w:szCs w:val="20"/>
          </w:rPr>
          <m:t>=0.85</m:t>
        </m:r>
      </m:oMath>
      <w:r w:rsidRPr="009E5CA7">
        <w:rPr>
          <w:sz w:val="20"/>
          <w:szCs w:val="20"/>
        </w:rPr>
        <w:t> was assumed for both expansion and compression. The resulting net pressure-work balance was defined as </w:t>
      </w:r>
      <m:oMath>
        <m:r>
          <m:rPr>
            <m:sty m:val="p"/>
          </m:rP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C</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C</m:t>
            </m:r>
          </m:sub>
        </m:sSub>
      </m:oMath>
      <w:r w:rsidRPr="009E5CA7">
        <w:rPr>
          <w:sz w:val="20"/>
          <w:szCs w:val="20"/>
        </w:rPr>
        <w:t>, where negative values indicate that the avoided downstream hydrogen recompression demand exceeds the recoverable expansion work from natural</w:t>
      </w:r>
      <w:r>
        <w:rPr>
          <w:sz w:val="20"/>
          <w:szCs w:val="20"/>
        </w:rPr>
        <w:t xml:space="preserve"> </w:t>
      </w:r>
      <w:r w:rsidRPr="009E5CA7">
        <w:rPr>
          <w:sz w:val="20"/>
          <w:szCs w:val="20"/>
        </w:rPr>
        <w:t xml:space="preserve">gas pressure reduction. All energy terms were finally </w:t>
      </w:r>
      <w:r>
        <w:rPr>
          <w:sz w:val="20"/>
          <w:szCs w:val="20"/>
        </w:rPr>
        <w:t xml:space="preserve">converted to primary energy and </w:t>
      </w:r>
      <w:r w:rsidRPr="009E5CA7">
        <w:rPr>
          <w:sz w:val="20"/>
          <w:szCs w:val="20"/>
        </w:rPr>
        <w:t>normalized to the natural</w:t>
      </w:r>
      <w:r>
        <w:rPr>
          <w:sz w:val="20"/>
          <w:szCs w:val="20"/>
        </w:rPr>
        <w:t xml:space="preserve"> </w:t>
      </w:r>
      <w:r w:rsidRPr="009E5CA7">
        <w:rPr>
          <w:sz w:val="20"/>
          <w:szCs w:val="20"/>
        </w:rPr>
        <w:t>gas feedstock energy</w:t>
      </w:r>
      <w:r>
        <w:rPr>
          <w:sz w:val="20"/>
          <w:szCs w:val="20"/>
        </w:rPr>
        <w:t xml:space="preserve"> analog to above</w:t>
      </w:r>
      <w:r w:rsidRPr="009E5CA7">
        <w:rPr>
          <w:sz w:val="20"/>
          <w:szCs w:val="20"/>
        </w:rPr>
        <w:t>.</w:t>
      </w:r>
    </w:p>
    <w:p w14:paraId="5B0A1C7D" w14:textId="77777777" w:rsidR="00F14B5E" w:rsidRDefault="00F14B5E">
      <w:pPr>
        <w:rPr>
          <w:sz w:val="20"/>
          <w:szCs w:val="20"/>
        </w:rPr>
      </w:pPr>
    </w:p>
    <w:p w14:paraId="7FE410E5" w14:textId="1F1D5221" w:rsidR="00F14B5E" w:rsidRPr="009E5CA7" w:rsidRDefault="00F14B5E">
      <w:pPr>
        <w:rPr>
          <w:sz w:val="20"/>
          <w:szCs w:val="20"/>
        </w:rPr>
      </w:pPr>
      <w:r w:rsidRPr="00F14B5E">
        <w:rPr>
          <w:sz w:val="20"/>
          <w:szCs w:val="20"/>
        </w:rPr>
        <w:t xml:space="preserve">To assess the decarbonization potential of the eSMR concept independently of regional energy price distortions, the abatement effectiveness </w:t>
      </w:r>
      <w:r>
        <w:rPr>
          <w:sz w:val="20"/>
          <w:szCs w:val="20"/>
        </w:rPr>
        <w:t>–</w:t>
      </w:r>
      <w:r w:rsidRPr="00F14B5E">
        <w:rPr>
          <w:sz w:val="20"/>
          <w:szCs w:val="20"/>
        </w:rPr>
        <w:t xml:space="preserve"> defined as t CO₂ avoided per MWh of renewable electricity input </w:t>
      </w:r>
      <w:r>
        <w:rPr>
          <w:sz w:val="20"/>
          <w:szCs w:val="20"/>
        </w:rPr>
        <w:t>–</w:t>
      </w:r>
      <w:r w:rsidRPr="00F14B5E">
        <w:rPr>
          <w:sz w:val="20"/>
          <w:szCs w:val="20"/>
        </w:rPr>
        <w:t xml:space="preserve"> was evaluated under theoretical upper-bound conditions. The metric was derived from the ratio of avoided NG-fired heating emissions to the electrical energy required to drive the reforming reaction</w:t>
      </w:r>
      <w:r>
        <w:rPr>
          <w:sz w:val="20"/>
          <w:szCs w:val="20"/>
        </w:rPr>
        <w:t xml:space="preserve">. </w:t>
      </w:r>
      <w:r w:rsidRPr="00F14B5E">
        <w:rPr>
          <w:sz w:val="20"/>
          <w:szCs w:val="20"/>
        </w:rPr>
        <w:t>Since the eSMR concept eliminates the steam co-product through internal heat integration, the equivalent steam demand at integrated chemical sites must alternatively be supplied via electrified heat generation, contributing an additional abatement effectiveness</w:t>
      </w:r>
    </w:p>
    <w:p w14:paraId="7681B0E4" w14:textId="10E6EEC5" w:rsidR="006948FE" w:rsidRDefault="006948FE">
      <w:pPr>
        <w:rPr>
          <w:sz w:val="20"/>
          <w:szCs w:val="20"/>
        </w:rPr>
      </w:pPr>
      <w:r>
        <w:rPr>
          <w:sz w:val="20"/>
          <w:szCs w:val="20"/>
        </w:rPr>
        <w:br w:type="page"/>
      </w:r>
    </w:p>
    <w:p w14:paraId="184D5B5F" w14:textId="6D9E8C85" w:rsidR="00DD7131" w:rsidRDefault="00702DDA">
      <w:pPr>
        <w:rPr>
          <w:b/>
          <w:bCs/>
          <w:sz w:val="20"/>
          <w:szCs w:val="20"/>
          <w:u w:val="single"/>
        </w:rPr>
      </w:pPr>
      <w:r w:rsidRPr="00702DDA">
        <w:rPr>
          <w:b/>
          <w:bCs/>
          <w:sz w:val="20"/>
          <w:szCs w:val="20"/>
          <w:u w:val="single"/>
        </w:rPr>
        <w:lastRenderedPageBreak/>
        <w:t>Comparison to Conventional SMR Process</w:t>
      </w:r>
    </w:p>
    <w:p w14:paraId="69DFADFF" w14:textId="77777777" w:rsidR="00764BCF" w:rsidRPr="00702DDA" w:rsidRDefault="00764BCF">
      <w:pPr>
        <w:rPr>
          <w:b/>
          <w:bCs/>
          <w:sz w:val="20"/>
          <w:szCs w:val="20"/>
          <w:u w:val="single"/>
        </w:rPr>
      </w:pPr>
    </w:p>
    <w:p w14:paraId="4A36DE77" w14:textId="55A54163" w:rsidR="006D6E21" w:rsidRDefault="002962F1" w:rsidP="00DD7131">
      <w:pPr>
        <w:rPr>
          <w:sz w:val="20"/>
          <w:szCs w:val="20"/>
        </w:rPr>
      </w:pPr>
      <w:r w:rsidRPr="002962F1">
        <w:rPr>
          <w:sz w:val="20"/>
          <w:szCs w:val="20"/>
        </w:rPr>
        <w:t>For SMR-based hydrogen production</w:t>
      </w:r>
      <w:r w:rsidR="00620547">
        <w:rPr>
          <w:sz w:val="20"/>
          <w:szCs w:val="20"/>
        </w:rPr>
        <w:t xml:space="preserve"> from natural gas</w:t>
      </w:r>
      <w:r w:rsidR="00352759">
        <w:rPr>
          <w:sz w:val="20"/>
          <w:szCs w:val="20"/>
        </w:rPr>
        <w:t xml:space="preserve"> (NG)</w:t>
      </w:r>
      <w:r w:rsidRPr="002962F1">
        <w:rPr>
          <w:sz w:val="20"/>
          <w:szCs w:val="20"/>
        </w:rPr>
        <w:t xml:space="preserve">, </w:t>
      </w:r>
      <w:r w:rsidR="0027389B" w:rsidRPr="00B5363C">
        <w:rPr>
          <w:b/>
          <w:bCs/>
          <w:sz w:val="20"/>
          <w:szCs w:val="20"/>
        </w:rPr>
        <w:t>capital expenditures</w:t>
      </w:r>
      <w:r w:rsidR="0027389B">
        <w:rPr>
          <w:sz w:val="20"/>
          <w:szCs w:val="20"/>
        </w:rPr>
        <w:t xml:space="preserve"> (</w:t>
      </w:r>
      <w:r w:rsidRPr="002962F1">
        <w:rPr>
          <w:sz w:val="20"/>
          <w:szCs w:val="20"/>
        </w:rPr>
        <w:t>CAPEX</w:t>
      </w:r>
      <w:r w:rsidR="0027389B">
        <w:rPr>
          <w:sz w:val="20"/>
          <w:szCs w:val="20"/>
        </w:rPr>
        <w:t>)</w:t>
      </w:r>
      <w:r w:rsidRPr="002962F1">
        <w:rPr>
          <w:sz w:val="20"/>
          <w:szCs w:val="20"/>
        </w:rPr>
        <w:t xml:space="preserve"> is of </w:t>
      </w:r>
      <w:r w:rsidRPr="00B5363C">
        <w:rPr>
          <w:b/>
          <w:bCs/>
          <w:sz w:val="20"/>
          <w:szCs w:val="20"/>
        </w:rPr>
        <w:t>secondary</w:t>
      </w:r>
      <w:r w:rsidRPr="002962F1">
        <w:rPr>
          <w:sz w:val="20"/>
          <w:szCs w:val="20"/>
        </w:rPr>
        <w:t xml:space="preserve"> </w:t>
      </w:r>
      <w:r w:rsidRPr="00B5363C">
        <w:rPr>
          <w:b/>
          <w:bCs/>
          <w:sz w:val="20"/>
          <w:szCs w:val="20"/>
        </w:rPr>
        <w:t>importance</w:t>
      </w:r>
      <w:r w:rsidRPr="002962F1">
        <w:rPr>
          <w:sz w:val="20"/>
          <w:szCs w:val="20"/>
        </w:rPr>
        <w:t xml:space="preserve"> to economic viability, as </w:t>
      </w:r>
      <w:r w:rsidR="0027389B">
        <w:rPr>
          <w:sz w:val="20"/>
          <w:szCs w:val="20"/>
        </w:rPr>
        <w:t>operating expenditures (</w:t>
      </w:r>
      <w:r w:rsidRPr="002962F1">
        <w:rPr>
          <w:sz w:val="20"/>
          <w:szCs w:val="20"/>
        </w:rPr>
        <w:t>OPEX</w:t>
      </w:r>
      <w:r w:rsidR="0027389B">
        <w:rPr>
          <w:sz w:val="20"/>
          <w:szCs w:val="20"/>
        </w:rPr>
        <w:t>)</w:t>
      </w:r>
      <w:r w:rsidRPr="002962F1">
        <w:rPr>
          <w:sz w:val="20"/>
          <w:szCs w:val="20"/>
        </w:rPr>
        <w:t xml:space="preserve"> </w:t>
      </w:r>
      <w:r w:rsidR="0027389B">
        <w:rPr>
          <w:sz w:val="20"/>
          <w:szCs w:val="20"/>
        </w:rPr>
        <w:t>–</w:t>
      </w:r>
      <w:r w:rsidRPr="002962F1">
        <w:rPr>
          <w:sz w:val="20"/>
          <w:szCs w:val="20"/>
        </w:rPr>
        <w:t xml:space="preserve"> dominated by </w:t>
      </w:r>
      <w:r w:rsidR="00352759">
        <w:rPr>
          <w:b/>
          <w:bCs/>
          <w:sz w:val="20"/>
          <w:szCs w:val="20"/>
        </w:rPr>
        <w:t>NG</w:t>
      </w:r>
      <w:r w:rsidRPr="00B5363C">
        <w:rPr>
          <w:b/>
          <w:bCs/>
          <w:sz w:val="20"/>
          <w:szCs w:val="20"/>
        </w:rPr>
        <w:t xml:space="preserve"> feedstock costs</w:t>
      </w:r>
      <w:r w:rsidRPr="002962F1">
        <w:rPr>
          <w:sz w:val="20"/>
          <w:szCs w:val="20"/>
        </w:rPr>
        <w:t xml:space="preserve"> (45</w:t>
      </w:r>
      <w:r w:rsidR="00352759">
        <w:rPr>
          <w:sz w:val="20"/>
          <w:szCs w:val="20"/>
        </w:rPr>
        <w:t>-</w:t>
      </w:r>
      <w:r w:rsidRPr="002962F1">
        <w:rPr>
          <w:sz w:val="20"/>
          <w:szCs w:val="20"/>
        </w:rPr>
        <w:t>75% of total production costs</w:t>
      </w:r>
      <w:r w:rsidR="004A3FD9">
        <w:rPr>
          <w:sz w:val="20"/>
          <w:szCs w:val="20"/>
        </w:rPr>
        <w:t xml:space="preserve"> [1]</w:t>
      </w:r>
      <w:r w:rsidRPr="002962F1">
        <w:rPr>
          <w:sz w:val="20"/>
          <w:szCs w:val="20"/>
        </w:rPr>
        <w:t xml:space="preserve">) </w:t>
      </w:r>
      <w:r w:rsidR="0027389B">
        <w:rPr>
          <w:sz w:val="20"/>
          <w:szCs w:val="20"/>
        </w:rPr>
        <w:t>–</w:t>
      </w:r>
      <w:r w:rsidRPr="002962F1">
        <w:rPr>
          <w:sz w:val="20"/>
          <w:szCs w:val="20"/>
        </w:rPr>
        <w:t xml:space="preserve"> constitutes the </w:t>
      </w:r>
      <w:r w:rsidRPr="00B5363C">
        <w:rPr>
          <w:b/>
          <w:bCs/>
          <w:sz w:val="20"/>
          <w:szCs w:val="20"/>
        </w:rPr>
        <w:t>primary cost driver</w:t>
      </w:r>
      <w:r w:rsidR="004A3FD9">
        <w:rPr>
          <w:sz w:val="20"/>
          <w:szCs w:val="20"/>
        </w:rPr>
        <w:t xml:space="preserve">. Including CCUS, </w:t>
      </w:r>
      <w:r w:rsidR="00620547">
        <w:rPr>
          <w:sz w:val="20"/>
          <w:szCs w:val="20"/>
        </w:rPr>
        <w:t>CAPEX</w:t>
      </w:r>
      <w:r w:rsidR="004A3FD9">
        <w:rPr>
          <w:sz w:val="20"/>
          <w:szCs w:val="20"/>
        </w:rPr>
        <w:t xml:space="preserve"> </w:t>
      </w:r>
      <w:r w:rsidR="00620547">
        <w:rPr>
          <w:sz w:val="20"/>
          <w:szCs w:val="20"/>
        </w:rPr>
        <w:t xml:space="preserve">is between 25% in high-fuel-cost-regions like Europe or China and 40% in low-fuel-cost regions like </w:t>
      </w:r>
      <w:r w:rsidR="004A3FD9">
        <w:rPr>
          <w:sz w:val="20"/>
          <w:szCs w:val="20"/>
        </w:rPr>
        <w:t xml:space="preserve">Middle East or US [1]. Especially in Europe it can be as low as 7% according </w:t>
      </w:r>
      <w:r w:rsidR="00ED5564">
        <w:rPr>
          <w:sz w:val="20"/>
          <w:szCs w:val="20"/>
        </w:rPr>
        <w:t xml:space="preserve">to </w:t>
      </w:r>
      <w:r w:rsidR="004A3FD9">
        <w:rPr>
          <w:sz w:val="20"/>
          <w:szCs w:val="20"/>
        </w:rPr>
        <w:t xml:space="preserve">other studies [2]. This highlights that </w:t>
      </w:r>
      <w:r w:rsidR="00ED5564">
        <w:rPr>
          <w:sz w:val="20"/>
          <w:szCs w:val="20"/>
        </w:rPr>
        <w:t xml:space="preserve">the </w:t>
      </w:r>
      <w:r w:rsidR="004A3FD9">
        <w:rPr>
          <w:sz w:val="20"/>
          <w:szCs w:val="20"/>
        </w:rPr>
        <w:t xml:space="preserve">CAPEX share </w:t>
      </w:r>
      <w:r w:rsidR="00ED5564">
        <w:rPr>
          <w:sz w:val="20"/>
          <w:szCs w:val="20"/>
        </w:rPr>
        <w:t>depends heavily on the</w:t>
      </w:r>
      <w:r w:rsidR="004A3FD9">
        <w:rPr>
          <w:sz w:val="20"/>
          <w:szCs w:val="20"/>
        </w:rPr>
        <w:t xml:space="preserve"> assumptions</w:t>
      </w:r>
      <w:r w:rsidR="00ED5564">
        <w:rPr>
          <w:sz w:val="20"/>
          <w:szCs w:val="20"/>
        </w:rPr>
        <w:t xml:space="preserve"> made</w:t>
      </w:r>
      <w:r w:rsidR="004A3FD9">
        <w:rPr>
          <w:sz w:val="20"/>
          <w:szCs w:val="20"/>
        </w:rPr>
        <w:t>.</w:t>
      </w:r>
    </w:p>
    <w:p w14:paraId="3C58DAEA" w14:textId="556238E2" w:rsidR="002962F1" w:rsidRDefault="002962F1" w:rsidP="00DD7131">
      <w:pPr>
        <w:rPr>
          <w:sz w:val="20"/>
          <w:szCs w:val="20"/>
        </w:rPr>
      </w:pPr>
      <w:r w:rsidRPr="002962F1">
        <w:rPr>
          <w:sz w:val="20"/>
          <w:szCs w:val="20"/>
        </w:rPr>
        <w:t xml:space="preserve">Consequently, for process configurations of similar plant topology, a block flow diagram </w:t>
      </w:r>
      <w:r w:rsidR="00ED5564">
        <w:rPr>
          <w:sz w:val="20"/>
          <w:szCs w:val="20"/>
        </w:rPr>
        <w:t>l</w:t>
      </w:r>
      <w:r w:rsidRPr="002962F1">
        <w:rPr>
          <w:sz w:val="20"/>
          <w:szCs w:val="20"/>
        </w:rPr>
        <w:t>evel assessment is sufficient to draw first-order conclusions on economic competitiveness</w:t>
      </w:r>
      <w:r w:rsidR="0027389B">
        <w:rPr>
          <w:sz w:val="20"/>
          <w:szCs w:val="20"/>
        </w:rPr>
        <w:t xml:space="preserve">, </w:t>
      </w:r>
      <w:r w:rsidR="0027389B" w:rsidRPr="0027389B">
        <w:rPr>
          <w:sz w:val="20"/>
          <w:szCs w:val="20"/>
        </w:rPr>
        <w:t>since variations in equipment layout and capital intensity are unlikely to alter the fundamental dominance of OPEX.</w:t>
      </w:r>
    </w:p>
    <w:p w14:paraId="3AB5AF1B" w14:textId="77777777" w:rsidR="002962F1" w:rsidRDefault="002962F1" w:rsidP="00DD7131">
      <w:pPr>
        <w:rPr>
          <w:sz w:val="20"/>
          <w:szCs w:val="20"/>
        </w:rPr>
      </w:pPr>
    </w:p>
    <w:p w14:paraId="2DD38855" w14:textId="28B89A8B" w:rsidR="00DD7131" w:rsidRDefault="00DD7131" w:rsidP="00DD7131">
      <w:pPr>
        <w:rPr>
          <w:sz w:val="20"/>
          <w:szCs w:val="20"/>
        </w:rPr>
      </w:pPr>
      <w:r w:rsidRPr="00DD7131">
        <w:rPr>
          <w:sz w:val="20"/>
          <w:szCs w:val="20"/>
        </w:rPr>
        <w:t>Compari</w:t>
      </w:r>
      <w:r w:rsidR="00B5363C">
        <w:rPr>
          <w:sz w:val="20"/>
          <w:szCs w:val="20"/>
        </w:rPr>
        <w:t>son of</w:t>
      </w:r>
      <w:r w:rsidRPr="00DD7131">
        <w:rPr>
          <w:sz w:val="20"/>
          <w:szCs w:val="20"/>
        </w:rPr>
        <w:t xml:space="preserve"> the electrified SMR (eSMR) process with the conventional process at the block flow diagram level reveals that </w:t>
      </w:r>
      <w:r w:rsidR="00352759">
        <w:rPr>
          <w:sz w:val="20"/>
          <w:szCs w:val="20"/>
        </w:rPr>
        <w:t>NG</w:t>
      </w:r>
      <w:r w:rsidRPr="00DD7131">
        <w:rPr>
          <w:sz w:val="20"/>
          <w:szCs w:val="20"/>
        </w:rPr>
        <w:t xml:space="preserve"> energy is substituted by electrical energy, </w:t>
      </w:r>
      <w:r w:rsidRPr="00352759">
        <w:rPr>
          <w:b/>
          <w:bCs/>
          <w:sz w:val="20"/>
          <w:szCs w:val="20"/>
        </w:rPr>
        <w:t xml:space="preserve">without </w:t>
      </w:r>
      <w:r w:rsidRPr="00352759">
        <w:rPr>
          <w:sz w:val="20"/>
          <w:szCs w:val="20"/>
        </w:rPr>
        <w:t xml:space="preserve">a significant </w:t>
      </w:r>
      <w:r w:rsidRPr="00352759">
        <w:rPr>
          <w:b/>
          <w:bCs/>
          <w:sz w:val="20"/>
          <w:szCs w:val="20"/>
        </w:rPr>
        <w:t>reduction in overall energy consumption</w:t>
      </w:r>
      <w:r w:rsidRPr="00DD7131">
        <w:rPr>
          <w:sz w:val="20"/>
          <w:szCs w:val="20"/>
        </w:rPr>
        <w:t>. Given that electricity prices are substantially higher than NG</w:t>
      </w:r>
      <w:r w:rsidR="00352759">
        <w:rPr>
          <w:sz w:val="20"/>
          <w:szCs w:val="20"/>
        </w:rPr>
        <w:t xml:space="preserve"> </w:t>
      </w:r>
      <w:r w:rsidRPr="00DD7131">
        <w:rPr>
          <w:sz w:val="20"/>
          <w:szCs w:val="20"/>
        </w:rPr>
        <w:t xml:space="preserve">prices, this substitution </w:t>
      </w:r>
      <w:r w:rsidRPr="00352759">
        <w:rPr>
          <w:sz w:val="20"/>
          <w:szCs w:val="20"/>
        </w:rPr>
        <w:t>does</w:t>
      </w:r>
      <w:r w:rsidRPr="00352759">
        <w:rPr>
          <w:b/>
          <w:bCs/>
          <w:sz w:val="20"/>
          <w:szCs w:val="20"/>
        </w:rPr>
        <w:t xml:space="preserve"> not yield an economically viable alternative</w:t>
      </w:r>
      <w:r w:rsidRPr="00DD7131">
        <w:rPr>
          <w:sz w:val="20"/>
          <w:szCs w:val="20"/>
        </w:rPr>
        <w:t xml:space="preserve"> to the incumbent process.</w:t>
      </w:r>
    </w:p>
    <w:p w14:paraId="6331E4A4" w14:textId="77777777" w:rsidR="00DD7131" w:rsidRPr="00DD7131" w:rsidRDefault="00DD7131" w:rsidP="00DD7131">
      <w:pPr>
        <w:rPr>
          <w:sz w:val="20"/>
          <w:szCs w:val="20"/>
        </w:rPr>
      </w:pPr>
    </w:p>
    <w:p w14:paraId="2721F9C6" w14:textId="523A05FA" w:rsidR="00DD7131" w:rsidRPr="00DD7131" w:rsidRDefault="00DD7131" w:rsidP="00DD7131">
      <w:pPr>
        <w:rPr>
          <w:sz w:val="20"/>
          <w:szCs w:val="20"/>
        </w:rPr>
      </w:pPr>
      <w:r w:rsidRPr="00DD7131">
        <w:rPr>
          <w:sz w:val="20"/>
          <w:szCs w:val="20"/>
        </w:rPr>
        <w:t>To elaborate, the individual process concepts are examined step by step, beginning with the pressure swing adsorption (PSA) unit and its off-gas integration, before tracing the full process sequence</w:t>
      </w:r>
      <w:r>
        <w:rPr>
          <w:sz w:val="20"/>
          <w:szCs w:val="20"/>
        </w:rPr>
        <w:t xml:space="preserve"> chronologically</w:t>
      </w:r>
      <w:r w:rsidRPr="00DD7131">
        <w:rPr>
          <w:sz w:val="20"/>
          <w:szCs w:val="20"/>
        </w:rPr>
        <w:t>.</w:t>
      </w:r>
    </w:p>
    <w:p w14:paraId="5D77F30D" w14:textId="01895F4C" w:rsidR="00DD7131" w:rsidRPr="00DD7131" w:rsidRDefault="00DD7131" w:rsidP="00DD7131">
      <w:pPr>
        <w:pStyle w:val="ListParagraph"/>
        <w:numPr>
          <w:ilvl w:val="0"/>
          <w:numId w:val="2"/>
        </w:numPr>
        <w:rPr>
          <w:sz w:val="20"/>
          <w:szCs w:val="20"/>
        </w:rPr>
      </w:pPr>
      <w:r w:rsidRPr="00DD7131">
        <w:rPr>
          <w:sz w:val="20"/>
          <w:szCs w:val="20"/>
        </w:rPr>
        <w:t xml:space="preserve">Both concepts employ a PSA for final product purification, yielding pure hydrogen as the product and directing all remaining components to the off-gas. In the conventional process, this H₂-rich off-gas is combusted in the reformer furnace. In the eSMR concept, a purge stream is required to remove nitrogen introduced with the feed. The </w:t>
      </w:r>
      <w:r w:rsidR="005446A0">
        <w:rPr>
          <w:sz w:val="20"/>
          <w:szCs w:val="20"/>
        </w:rPr>
        <w:t>purge</w:t>
      </w:r>
      <w:r w:rsidRPr="00DD7131">
        <w:rPr>
          <w:sz w:val="20"/>
          <w:szCs w:val="20"/>
        </w:rPr>
        <w:t xml:space="preserve"> fraction is sized to satisfy the process steam demand internally, with the remainder recycled to the reactor to maximize </w:t>
      </w:r>
      <w:r w:rsidR="00A501D1">
        <w:rPr>
          <w:sz w:val="20"/>
          <w:szCs w:val="20"/>
        </w:rPr>
        <w:t>H2-</w:t>
      </w:r>
      <w:r w:rsidRPr="00DD7131">
        <w:rPr>
          <w:sz w:val="20"/>
          <w:szCs w:val="20"/>
        </w:rPr>
        <w:t>yield.</w:t>
      </w:r>
    </w:p>
    <w:p w14:paraId="5DB4168F" w14:textId="152F8FA4" w:rsidR="00DD7131" w:rsidRPr="00DD7131" w:rsidRDefault="00DD7131" w:rsidP="00DD7131">
      <w:pPr>
        <w:pStyle w:val="ListParagraph"/>
        <w:numPr>
          <w:ilvl w:val="0"/>
          <w:numId w:val="2"/>
        </w:numPr>
        <w:rPr>
          <w:sz w:val="20"/>
          <w:szCs w:val="20"/>
        </w:rPr>
      </w:pPr>
      <w:r w:rsidRPr="00DD7131">
        <w:rPr>
          <w:sz w:val="20"/>
          <w:szCs w:val="20"/>
        </w:rPr>
        <w:t xml:space="preserve">Both processes perform the same reaction set to produce the target product. Consequently, both use </w:t>
      </w:r>
      <w:r>
        <w:rPr>
          <w:sz w:val="20"/>
          <w:szCs w:val="20"/>
        </w:rPr>
        <w:t>NG</w:t>
      </w:r>
      <w:r w:rsidRPr="00DD7131">
        <w:rPr>
          <w:sz w:val="20"/>
          <w:szCs w:val="20"/>
        </w:rPr>
        <w:t xml:space="preserve"> and steam as feed, with the eSMR additionally incorporating the aforementioned recycle stream.</w:t>
      </w:r>
    </w:p>
    <w:p w14:paraId="60D247CF" w14:textId="44A3F199" w:rsidR="00DD7131" w:rsidRPr="00DD7131" w:rsidRDefault="00DD7131" w:rsidP="00DD7131">
      <w:pPr>
        <w:pStyle w:val="ListParagraph"/>
        <w:numPr>
          <w:ilvl w:val="0"/>
          <w:numId w:val="2"/>
        </w:numPr>
        <w:rPr>
          <w:sz w:val="20"/>
          <w:szCs w:val="20"/>
        </w:rPr>
      </w:pPr>
      <w:r w:rsidRPr="00DD7131">
        <w:rPr>
          <w:sz w:val="20"/>
          <w:szCs w:val="20"/>
        </w:rPr>
        <w:t xml:space="preserve">The reformer outlet temperature is 850 °C and 1100 °C, respectively. Both exceed the material </w:t>
      </w:r>
      <w:r w:rsidR="00352759">
        <w:rPr>
          <w:sz w:val="20"/>
          <w:szCs w:val="20"/>
        </w:rPr>
        <w:t>limitations</w:t>
      </w:r>
      <w:r w:rsidRPr="00DD7131">
        <w:rPr>
          <w:sz w:val="20"/>
          <w:szCs w:val="20"/>
        </w:rPr>
        <w:t xml:space="preserve"> of standard heat exchangers (500</w:t>
      </w:r>
      <w:r>
        <w:rPr>
          <w:sz w:val="20"/>
          <w:szCs w:val="20"/>
        </w:rPr>
        <w:t>-</w:t>
      </w:r>
      <w:r w:rsidRPr="00DD7131">
        <w:rPr>
          <w:sz w:val="20"/>
          <w:szCs w:val="20"/>
        </w:rPr>
        <w:t>600 °C</w:t>
      </w:r>
      <w:r w:rsidR="005446A0">
        <w:rPr>
          <w:sz w:val="20"/>
          <w:szCs w:val="20"/>
        </w:rPr>
        <w:t xml:space="preserve"> </w:t>
      </w:r>
      <w:r w:rsidR="005446A0" w:rsidRPr="00A01C16">
        <w:rPr>
          <w:color w:val="00B0F0"/>
          <w:sz w:val="20"/>
          <w:szCs w:val="20"/>
        </w:rPr>
        <w:t>[</w:t>
      </w:r>
      <w:r w:rsidR="00643E1C" w:rsidRPr="00A01C16">
        <w:rPr>
          <w:color w:val="00B0F0"/>
          <w:sz w:val="20"/>
          <w:szCs w:val="20"/>
        </w:rPr>
        <w:t>https://doi.org/10.1016/j.rser.2023.113467</w:t>
      </w:r>
      <w:r w:rsidR="005446A0" w:rsidRPr="00A01C16">
        <w:rPr>
          <w:color w:val="00B0F0"/>
          <w:sz w:val="20"/>
          <w:szCs w:val="20"/>
        </w:rPr>
        <w:t>]</w:t>
      </w:r>
      <w:r w:rsidRPr="00DD7131">
        <w:rPr>
          <w:sz w:val="20"/>
          <w:szCs w:val="20"/>
        </w:rPr>
        <w:t>), precluding direct feed preheating via the product stream. In the conventional process, the final 200</w:t>
      </w:r>
      <w:r>
        <w:rPr>
          <w:sz w:val="20"/>
          <w:szCs w:val="20"/>
        </w:rPr>
        <w:t>-</w:t>
      </w:r>
      <w:r w:rsidRPr="00DD7131">
        <w:rPr>
          <w:sz w:val="20"/>
          <w:szCs w:val="20"/>
        </w:rPr>
        <w:t xml:space="preserve">300 °C of temperature rise is therefore achieved by NG firing, and the product stream is instead used for steam generation </w:t>
      </w:r>
      <w:r>
        <w:rPr>
          <w:sz w:val="20"/>
          <w:szCs w:val="20"/>
        </w:rPr>
        <w:t>–</w:t>
      </w:r>
      <w:r w:rsidRPr="00DD7131">
        <w:rPr>
          <w:sz w:val="20"/>
          <w:szCs w:val="20"/>
        </w:rPr>
        <w:t xml:space="preserve"> both for internal process use and export. The eSMR reactor concept, by contrast, enables internal heat integration, allowing heat exchange between product and feed streams even at these elevated temperatures.</w:t>
      </w:r>
    </w:p>
    <w:p w14:paraId="7E19C48F" w14:textId="77777777" w:rsidR="00DD7131" w:rsidRPr="00DD7131" w:rsidRDefault="00DD7131" w:rsidP="00DD7131">
      <w:pPr>
        <w:pStyle w:val="ListParagraph"/>
        <w:numPr>
          <w:ilvl w:val="0"/>
          <w:numId w:val="2"/>
        </w:numPr>
        <w:rPr>
          <w:sz w:val="20"/>
          <w:szCs w:val="20"/>
        </w:rPr>
      </w:pPr>
      <w:r w:rsidRPr="00DD7131">
        <w:rPr>
          <w:sz w:val="20"/>
          <w:szCs w:val="20"/>
        </w:rPr>
        <w:t>Both concepts include a water-gas shift (WGS) reaction step to maximize hydrogen yield.</w:t>
      </w:r>
    </w:p>
    <w:p w14:paraId="3D96A586" w14:textId="466CAD10" w:rsidR="00DD7131" w:rsidRPr="00DD7131" w:rsidRDefault="00DD7131" w:rsidP="00DD7131">
      <w:pPr>
        <w:pStyle w:val="ListParagraph"/>
        <w:numPr>
          <w:ilvl w:val="0"/>
          <w:numId w:val="2"/>
        </w:numPr>
        <w:rPr>
          <w:sz w:val="20"/>
          <w:szCs w:val="20"/>
        </w:rPr>
      </w:pPr>
      <w:r w:rsidRPr="00DD7131">
        <w:rPr>
          <w:sz w:val="20"/>
          <w:szCs w:val="20"/>
        </w:rPr>
        <w:t xml:space="preserve">In the electrified process, carbon is removed from the cycle via the purge stream; </w:t>
      </w:r>
      <w:r w:rsidR="001936CB">
        <w:rPr>
          <w:sz w:val="20"/>
          <w:szCs w:val="20"/>
        </w:rPr>
        <w:t>as</w:t>
      </w:r>
      <w:r w:rsidRPr="00DD7131">
        <w:rPr>
          <w:sz w:val="20"/>
          <w:szCs w:val="20"/>
        </w:rPr>
        <w:t xml:space="preserve"> carbon enrichment is excessive, an additional carbon capture unit is required.</w:t>
      </w:r>
    </w:p>
    <w:p w14:paraId="0BEB5015" w14:textId="77777777" w:rsidR="00B5363C" w:rsidRDefault="00B5363C" w:rsidP="00DD7131">
      <w:pPr>
        <w:rPr>
          <w:sz w:val="20"/>
          <w:szCs w:val="20"/>
        </w:rPr>
      </w:pPr>
    </w:p>
    <w:p w14:paraId="7CF089B9" w14:textId="77777777" w:rsidR="00764BCF" w:rsidRDefault="00764BCF" w:rsidP="00DD7131">
      <w:pPr>
        <w:rPr>
          <w:sz w:val="20"/>
          <w:szCs w:val="20"/>
        </w:rPr>
      </w:pPr>
    </w:p>
    <w:p w14:paraId="3A8138FF" w14:textId="77777777" w:rsidR="00A61F65" w:rsidRPr="00A61F65" w:rsidRDefault="00A61F65" w:rsidP="00DD7131">
      <w:pPr>
        <w:rPr>
          <w:b/>
          <w:bCs/>
          <w:i/>
          <w:iCs/>
          <w:sz w:val="20"/>
          <w:szCs w:val="20"/>
        </w:rPr>
      </w:pPr>
      <w:r w:rsidRPr="00A61F65">
        <w:rPr>
          <w:b/>
          <w:bCs/>
          <w:i/>
          <w:iCs/>
          <w:sz w:val="20"/>
          <w:szCs w:val="20"/>
        </w:rPr>
        <w:t>Heating Energy Dynamics and Economic Implications of eSMR vs. Conventional SMR</w:t>
      </w:r>
    </w:p>
    <w:p w14:paraId="5F7DBF3E" w14:textId="0371A986" w:rsidR="00B5363C" w:rsidRDefault="00DD7131" w:rsidP="00DD7131">
      <w:pPr>
        <w:rPr>
          <w:sz w:val="20"/>
          <w:szCs w:val="20"/>
        </w:rPr>
      </w:pPr>
      <w:r w:rsidRPr="00DD7131">
        <w:rPr>
          <w:sz w:val="20"/>
          <w:szCs w:val="20"/>
        </w:rPr>
        <w:t xml:space="preserve">The key distinction reduces to </w:t>
      </w:r>
      <w:r w:rsidR="00776E20">
        <w:rPr>
          <w:sz w:val="20"/>
          <w:szCs w:val="20"/>
        </w:rPr>
        <w:t>fuel (NG)</w:t>
      </w:r>
      <w:r w:rsidRPr="00DD7131">
        <w:rPr>
          <w:sz w:val="20"/>
          <w:szCs w:val="20"/>
        </w:rPr>
        <w:t xml:space="preserve"> demand of the conventional process, attributable to preheating and reaction enthalpy supply</w:t>
      </w:r>
      <w:r>
        <w:rPr>
          <w:sz w:val="20"/>
          <w:szCs w:val="20"/>
        </w:rPr>
        <w:t xml:space="preserve">, </w:t>
      </w:r>
      <w:r w:rsidRPr="00DD7131">
        <w:rPr>
          <w:sz w:val="20"/>
          <w:szCs w:val="20"/>
        </w:rPr>
        <w:t>whereas this is provided by electricity</w:t>
      </w:r>
      <w:r>
        <w:rPr>
          <w:sz w:val="20"/>
          <w:szCs w:val="20"/>
        </w:rPr>
        <w:t xml:space="preserve"> </w:t>
      </w:r>
      <w:r w:rsidRPr="00DD7131">
        <w:rPr>
          <w:sz w:val="20"/>
          <w:szCs w:val="20"/>
        </w:rPr>
        <w:t xml:space="preserve">in the </w:t>
      </w:r>
      <w:r>
        <w:rPr>
          <w:sz w:val="20"/>
          <w:szCs w:val="20"/>
        </w:rPr>
        <w:t>novel</w:t>
      </w:r>
      <w:r w:rsidRPr="00DD7131">
        <w:rPr>
          <w:sz w:val="20"/>
          <w:szCs w:val="20"/>
        </w:rPr>
        <w:t xml:space="preserve"> technology</w:t>
      </w:r>
      <w:r>
        <w:rPr>
          <w:sz w:val="20"/>
          <w:szCs w:val="20"/>
        </w:rPr>
        <w:t>.</w:t>
      </w:r>
      <w:r>
        <w:rPr>
          <w:sz w:val="20"/>
          <w:szCs w:val="20"/>
        </w:rPr>
        <w:br/>
      </w:r>
      <w:r w:rsidRPr="00DD7131">
        <w:rPr>
          <w:sz w:val="20"/>
          <w:szCs w:val="20"/>
        </w:rPr>
        <w:t xml:space="preserve">Since the </w:t>
      </w:r>
      <w:r w:rsidRPr="00DD7131">
        <w:rPr>
          <w:b/>
          <w:bCs/>
          <w:sz w:val="20"/>
          <w:szCs w:val="20"/>
        </w:rPr>
        <w:t>reaction enthalpy</w:t>
      </w:r>
      <w:r w:rsidRPr="00DD7131">
        <w:rPr>
          <w:sz w:val="20"/>
          <w:szCs w:val="20"/>
        </w:rPr>
        <w:t xml:space="preserve"> for the target product is </w:t>
      </w:r>
      <w:r w:rsidR="00A501D1">
        <w:rPr>
          <w:sz w:val="20"/>
          <w:szCs w:val="20"/>
        </w:rPr>
        <w:t xml:space="preserve">almost </w:t>
      </w:r>
      <w:r w:rsidRPr="00DD7131">
        <w:rPr>
          <w:sz w:val="20"/>
          <w:szCs w:val="20"/>
        </w:rPr>
        <w:t xml:space="preserve">identical in both processes, the additional </w:t>
      </w:r>
      <w:r>
        <w:rPr>
          <w:sz w:val="20"/>
          <w:szCs w:val="20"/>
        </w:rPr>
        <w:t>energy</w:t>
      </w:r>
      <w:r w:rsidRPr="00DD7131">
        <w:rPr>
          <w:sz w:val="20"/>
          <w:szCs w:val="20"/>
        </w:rPr>
        <w:t xml:space="preserve"> demand of the conventional process is due solely to </w:t>
      </w:r>
      <w:r w:rsidRPr="00DD7131">
        <w:rPr>
          <w:b/>
          <w:bCs/>
          <w:sz w:val="20"/>
          <w:szCs w:val="20"/>
        </w:rPr>
        <w:t>preheating</w:t>
      </w:r>
      <w:r w:rsidRPr="00DD7131">
        <w:rPr>
          <w:sz w:val="20"/>
          <w:szCs w:val="20"/>
        </w:rPr>
        <w:t xml:space="preserve">, plus </w:t>
      </w:r>
      <w:r w:rsidRPr="00DD7131">
        <w:rPr>
          <w:b/>
          <w:bCs/>
          <w:sz w:val="20"/>
          <w:szCs w:val="20"/>
        </w:rPr>
        <w:t>losses</w:t>
      </w:r>
      <w:r w:rsidRPr="00DD7131">
        <w:rPr>
          <w:sz w:val="20"/>
          <w:szCs w:val="20"/>
        </w:rPr>
        <w:t xml:space="preserve"> </w:t>
      </w:r>
      <w:r>
        <w:rPr>
          <w:sz w:val="20"/>
          <w:szCs w:val="20"/>
        </w:rPr>
        <w:t>(</w:t>
      </w:r>
      <w:r w:rsidRPr="00DD7131">
        <w:rPr>
          <w:sz w:val="20"/>
          <w:szCs w:val="20"/>
        </w:rPr>
        <w:t>flue gas losses and insulation losses in the firebox and radiant section, 6</w:t>
      </w:r>
      <w:r>
        <w:rPr>
          <w:sz w:val="20"/>
          <w:szCs w:val="20"/>
        </w:rPr>
        <w:t>-</w:t>
      </w:r>
      <w:r w:rsidRPr="00DD7131">
        <w:rPr>
          <w:sz w:val="20"/>
          <w:szCs w:val="20"/>
        </w:rPr>
        <w:t>10% and 1</w:t>
      </w:r>
      <w:r>
        <w:rPr>
          <w:sz w:val="20"/>
          <w:szCs w:val="20"/>
        </w:rPr>
        <w:t>-</w:t>
      </w:r>
      <w:r w:rsidRPr="00DD7131">
        <w:rPr>
          <w:sz w:val="20"/>
          <w:szCs w:val="20"/>
        </w:rPr>
        <w:t>5% of fired energy, respectively</w:t>
      </w:r>
      <w:r w:rsidR="005446A0">
        <w:rPr>
          <w:sz w:val="20"/>
          <w:szCs w:val="20"/>
        </w:rPr>
        <w:t xml:space="preserve"> </w:t>
      </w:r>
      <w:r w:rsidR="005446A0" w:rsidRPr="005446A0">
        <w:rPr>
          <w:color w:val="EE0000"/>
          <w:sz w:val="20"/>
          <w:szCs w:val="20"/>
        </w:rPr>
        <w:t xml:space="preserve">[Ullmann’s </w:t>
      </w:r>
      <w:r w:rsidR="005446A0">
        <w:rPr>
          <w:color w:val="EE0000"/>
          <w:sz w:val="20"/>
          <w:szCs w:val="20"/>
        </w:rPr>
        <w:t xml:space="preserve">chapter </w:t>
      </w:r>
      <w:r w:rsidR="005446A0" w:rsidRPr="005446A0">
        <w:rPr>
          <w:color w:val="EE0000"/>
          <w:sz w:val="20"/>
          <w:szCs w:val="20"/>
        </w:rPr>
        <w:t xml:space="preserve">as </w:t>
      </w:r>
      <w:r w:rsidR="005446A0">
        <w:rPr>
          <w:color w:val="EE0000"/>
          <w:sz w:val="20"/>
          <w:szCs w:val="20"/>
        </w:rPr>
        <w:t>s</w:t>
      </w:r>
      <w:r w:rsidR="005446A0" w:rsidRPr="005446A0">
        <w:rPr>
          <w:color w:val="EE0000"/>
          <w:sz w:val="20"/>
          <w:szCs w:val="20"/>
        </w:rPr>
        <w:t>ource]</w:t>
      </w:r>
      <w:r>
        <w:rPr>
          <w:sz w:val="20"/>
          <w:szCs w:val="20"/>
        </w:rPr>
        <w:t>)</w:t>
      </w:r>
      <w:r w:rsidRPr="00DD7131">
        <w:rPr>
          <w:sz w:val="20"/>
          <w:szCs w:val="20"/>
        </w:rPr>
        <w:t>.</w:t>
      </w:r>
      <w:r>
        <w:rPr>
          <w:sz w:val="20"/>
          <w:szCs w:val="20"/>
        </w:rPr>
        <w:t xml:space="preserve"> </w:t>
      </w:r>
      <w:r>
        <w:rPr>
          <w:sz w:val="20"/>
          <w:szCs w:val="20"/>
        </w:rPr>
        <w:br/>
      </w:r>
      <w:r w:rsidRPr="00DD7131">
        <w:rPr>
          <w:sz w:val="20"/>
          <w:szCs w:val="20"/>
        </w:rPr>
        <w:t xml:space="preserve">Under ideal heat integration, </w:t>
      </w:r>
      <w:r>
        <w:rPr>
          <w:sz w:val="20"/>
          <w:szCs w:val="20"/>
        </w:rPr>
        <w:t>the</w:t>
      </w:r>
      <w:r w:rsidRPr="00DD7131">
        <w:rPr>
          <w:sz w:val="20"/>
          <w:szCs w:val="20"/>
        </w:rPr>
        <w:t xml:space="preserve"> additional </w:t>
      </w:r>
      <w:r>
        <w:rPr>
          <w:sz w:val="20"/>
          <w:szCs w:val="20"/>
        </w:rPr>
        <w:t xml:space="preserve">preheating </w:t>
      </w:r>
      <w:r w:rsidRPr="00DD7131">
        <w:rPr>
          <w:sz w:val="20"/>
          <w:szCs w:val="20"/>
        </w:rPr>
        <w:t xml:space="preserve">energy input is fully </w:t>
      </w:r>
      <w:r w:rsidR="00776E20">
        <w:rPr>
          <w:sz w:val="20"/>
          <w:szCs w:val="20"/>
        </w:rPr>
        <w:t>(</w:t>
      </w:r>
      <w:r w:rsidR="00A501D1">
        <w:rPr>
          <w:sz w:val="20"/>
          <w:szCs w:val="20"/>
        </w:rPr>
        <w:t>plus</w:t>
      </w:r>
      <w:r w:rsidR="004222A4">
        <w:rPr>
          <w:sz w:val="20"/>
          <w:szCs w:val="20"/>
        </w:rPr>
        <w:t>/minus minor</w:t>
      </w:r>
      <w:r w:rsidR="00A501D1">
        <w:rPr>
          <w:sz w:val="20"/>
          <w:szCs w:val="20"/>
        </w:rPr>
        <w:t xml:space="preserve"> </w:t>
      </w:r>
      <m:oMath>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c</m:t>
            </m:r>
          </m:e>
          <m:sub>
            <m:r>
              <w:rPr>
                <w:rFonts w:ascii="Cambria Math" w:hAnsi="Cambria Math"/>
                <w:sz w:val="20"/>
                <w:szCs w:val="20"/>
              </w:rPr>
              <m:t>p</m:t>
            </m:r>
          </m:sub>
        </m:sSub>
      </m:oMath>
      <w:r w:rsidR="00776E20">
        <w:rPr>
          <w:rFonts w:eastAsiaTheme="minorEastAsia"/>
          <w:sz w:val="20"/>
          <w:szCs w:val="20"/>
        </w:rPr>
        <w:t xml:space="preserve">change) </w:t>
      </w:r>
      <w:r w:rsidRPr="00DD7131">
        <w:rPr>
          <w:sz w:val="20"/>
          <w:szCs w:val="20"/>
        </w:rPr>
        <w:t xml:space="preserve">recovered as steam, generating a steam export. It is worth noting that typical integrated </w:t>
      </w:r>
      <w:r w:rsidR="00ED5564">
        <w:rPr>
          <w:sz w:val="20"/>
          <w:szCs w:val="20"/>
        </w:rPr>
        <w:t>chemical sites</w:t>
      </w:r>
      <w:r w:rsidRPr="00DD7131">
        <w:rPr>
          <w:sz w:val="20"/>
          <w:szCs w:val="20"/>
        </w:rPr>
        <w:t xml:space="preserve"> generally operate with a net steam deficit</w:t>
      </w:r>
      <w:r w:rsidR="00ED5564">
        <w:rPr>
          <w:sz w:val="20"/>
          <w:szCs w:val="20"/>
        </w:rPr>
        <w:t xml:space="preserve"> [3]</w:t>
      </w:r>
      <w:r w:rsidRPr="00DD7131">
        <w:rPr>
          <w:sz w:val="20"/>
          <w:szCs w:val="20"/>
        </w:rPr>
        <w:t xml:space="preserve">, which is conventionally offset by NG-fired steam generation. From this perspective, whether steam is produced from NG directly or as a byproduct of the SMR process is equivalent, neglecting minor differences in conversion efficiency. The </w:t>
      </w:r>
      <w:r w:rsidRPr="00501A50">
        <w:rPr>
          <w:b/>
          <w:bCs/>
          <w:sz w:val="20"/>
          <w:szCs w:val="20"/>
        </w:rPr>
        <w:t>only true differentiator</w:t>
      </w:r>
      <w:r w:rsidRPr="00DD7131">
        <w:rPr>
          <w:sz w:val="20"/>
          <w:szCs w:val="20"/>
        </w:rPr>
        <w:t xml:space="preserve"> is therefore the </w:t>
      </w:r>
      <w:r w:rsidRPr="00501A50">
        <w:rPr>
          <w:b/>
          <w:bCs/>
          <w:sz w:val="20"/>
          <w:szCs w:val="20"/>
        </w:rPr>
        <w:t>additional losses</w:t>
      </w:r>
      <w:r w:rsidRPr="00DD7131">
        <w:rPr>
          <w:sz w:val="20"/>
          <w:szCs w:val="20"/>
        </w:rPr>
        <w:t xml:space="preserve"> from flue gas and, potentially, insulation (due to the smaller reactor design in the eSMR concept). Even assuming an ideal, lossless eSMR process, </w:t>
      </w:r>
      <w:r w:rsidRPr="00501A50">
        <w:rPr>
          <w:b/>
          <w:bCs/>
          <w:sz w:val="20"/>
          <w:szCs w:val="20"/>
        </w:rPr>
        <w:t>no economic advantage is achieved</w:t>
      </w:r>
      <w:r w:rsidRPr="00DD7131">
        <w:rPr>
          <w:sz w:val="20"/>
          <w:szCs w:val="20"/>
        </w:rPr>
        <w:t>, given electricity prices</w:t>
      </w:r>
      <w:r w:rsidR="00B5363C">
        <w:rPr>
          <w:sz w:val="20"/>
          <w:szCs w:val="20"/>
        </w:rPr>
        <w:t xml:space="preserve"> are</w:t>
      </w:r>
      <w:r w:rsidRPr="00DD7131">
        <w:rPr>
          <w:sz w:val="20"/>
          <w:szCs w:val="20"/>
        </w:rPr>
        <w:t xml:space="preserve"> approximately </w:t>
      </w:r>
      <w:r w:rsidR="00794D2A">
        <w:rPr>
          <w:sz w:val="20"/>
          <w:szCs w:val="20"/>
        </w:rPr>
        <w:t>~</w:t>
      </w:r>
      <w:r w:rsidR="00794D2A" w:rsidRPr="00794D2A">
        <w:rPr>
          <w:sz w:val="20"/>
          <w:szCs w:val="20"/>
        </w:rPr>
        <w:t xml:space="preserve">250% </w:t>
      </w:r>
      <w:r w:rsidRPr="00794D2A">
        <w:rPr>
          <w:sz w:val="20"/>
          <w:szCs w:val="20"/>
        </w:rPr>
        <w:t xml:space="preserve">higher </w:t>
      </w:r>
      <w:r w:rsidRPr="00DD7131">
        <w:rPr>
          <w:sz w:val="20"/>
          <w:szCs w:val="20"/>
        </w:rPr>
        <w:t>than NG prices</w:t>
      </w:r>
      <w:r w:rsidR="00794D2A">
        <w:rPr>
          <w:sz w:val="20"/>
          <w:szCs w:val="20"/>
        </w:rPr>
        <w:t xml:space="preserve"> corresponding to Germany in</w:t>
      </w:r>
      <w:r w:rsidR="00790D87">
        <w:rPr>
          <w:sz w:val="20"/>
          <w:szCs w:val="20"/>
        </w:rPr>
        <w:t xml:space="preserve"> pre-crisis times</w:t>
      </w:r>
      <w:r w:rsidR="00794D2A">
        <w:rPr>
          <w:sz w:val="20"/>
          <w:szCs w:val="20"/>
        </w:rPr>
        <w:t xml:space="preserve"> </w:t>
      </w:r>
      <w:r w:rsidR="00790D87">
        <w:rPr>
          <w:sz w:val="20"/>
          <w:szCs w:val="20"/>
        </w:rPr>
        <w:t>(</w:t>
      </w:r>
      <w:r w:rsidR="00794D2A">
        <w:rPr>
          <w:sz w:val="20"/>
          <w:szCs w:val="20"/>
        </w:rPr>
        <w:t>2019</w:t>
      </w:r>
      <w:r w:rsidR="00790D87">
        <w:rPr>
          <w:sz w:val="20"/>
          <w:szCs w:val="20"/>
        </w:rPr>
        <w:t>)</w:t>
      </w:r>
      <w:r w:rsidR="00794D2A">
        <w:rPr>
          <w:sz w:val="20"/>
          <w:szCs w:val="20"/>
        </w:rPr>
        <w:t xml:space="preserve"> [3]</w:t>
      </w:r>
      <w:r w:rsidRPr="00DD7131">
        <w:rPr>
          <w:sz w:val="20"/>
          <w:szCs w:val="20"/>
        </w:rPr>
        <w:t>.</w:t>
      </w:r>
      <w:r w:rsidR="00857E2A">
        <w:rPr>
          <w:sz w:val="20"/>
          <w:szCs w:val="20"/>
        </w:rPr>
        <w:t xml:space="preserve"> In other European countries this correlation is less pronounced, but still significant</w:t>
      </w:r>
      <w:r w:rsidR="004222A4">
        <w:rPr>
          <w:sz w:val="20"/>
          <w:szCs w:val="20"/>
        </w:rPr>
        <w:t>.</w:t>
      </w:r>
      <w:r w:rsidR="00AD319E">
        <w:rPr>
          <w:sz w:val="20"/>
          <w:szCs w:val="20"/>
        </w:rPr>
        <w:t xml:space="preserve"> </w:t>
      </w:r>
      <w:r w:rsidR="004222A4">
        <w:rPr>
          <w:sz w:val="20"/>
          <w:szCs w:val="20"/>
        </w:rPr>
        <w:t>T</w:t>
      </w:r>
      <w:r w:rsidR="00AD319E" w:rsidRPr="00AD319E">
        <w:rPr>
          <w:sz w:val="20"/>
          <w:szCs w:val="20"/>
        </w:rPr>
        <w:t xml:space="preserve">his ratio is subject to significant fluctuations and </w:t>
      </w:r>
      <w:r w:rsidR="00790D87" w:rsidRPr="00790D87">
        <w:rPr>
          <w:sz w:val="20"/>
          <w:szCs w:val="20"/>
        </w:rPr>
        <w:t>is being exacerbated</w:t>
      </w:r>
      <w:r w:rsidR="00790D87">
        <w:rPr>
          <w:sz w:val="20"/>
          <w:szCs w:val="20"/>
        </w:rPr>
        <w:t xml:space="preserve"> </w:t>
      </w:r>
      <w:r w:rsidR="00AD319E" w:rsidRPr="00AD319E">
        <w:rPr>
          <w:sz w:val="20"/>
          <w:szCs w:val="20"/>
        </w:rPr>
        <w:t xml:space="preserve">by geopolitical </w:t>
      </w:r>
      <w:r w:rsidR="00790D87">
        <w:rPr>
          <w:sz w:val="20"/>
          <w:szCs w:val="20"/>
        </w:rPr>
        <w:t>crises</w:t>
      </w:r>
      <w:r w:rsidR="00AD319E">
        <w:rPr>
          <w:sz w:val="20"/>
          <w:szCs w:val="20"/>
        </w:rPr>
        <w:t xml:space="preserve"> [4]</w:t>
      </w:r>
      <w:r w:rsidR="00AD319E" w:rsidRPr="00AD319E">
        <w:rPr>
          <w:sz w:val="20"/>
          <w:szCs w:val="20"/>
        </w:rPr>
        <w:t>.</w:t>
      </w:r>
      <w:r w:rsidR="00AD319E">
        <w:rPr>
          <w:sz w:val="20"/>
          <w:szCs w:val="20"/>
        </w:rPr>
        <w:t xml:space="preserve"> </w:t>
      </w:r>
      <w:r w:rsidR="00501A50" w:rsidRPr="00501A50">
        <w:rPr>
          <w:sz w:val="20"/>
          <w:szCs w:val="20"/>
        </w:rPr>
        <w:t xml:space="preserve">In other regions the economics differ, yet the price differential remains </w:t>
      </w:r>
      <w:r w:rsidR="00501A50">
        <w:rPr>
          <w:sz w:val="20"/>
          <w:szCs w:val="20"/>
        </w:rPr>
        <w:t>more</w:t>
      </w:r>
      <w:r w:rsidR="00501A50" w:rsidRPr="00501A50">
        <w:rPr>
          <w:sz w:val="20"/>
          <w:szCs w:val="20"/>
        </w:rPr>
        <w:t xml:space="preserve"> dominant </w:t>
      </w:r>
      <w:r w:rsidR="00501A50">
        <w:rPr>
          <w:sz w:val="20"/>
          <w:szCs w:val="20"/>
        </w:rPr>
        <w:t>than</w:t>
      </w:r>
      <w:r w:rsidR="00501A50" w:rsidRPr="00501A50">
        <w:rPr>
          <w:sz w:val="20"/>
          <w:szCs w:val="20"/>
        </w:rPr>
        <w:t xml:space="preserve"> additional losses.</w:t>
      </w:r>
    </w:p>
    <w:tbl>
      <w:tblPr>
        <w:tblStyle w:val="TableGrid"/>
        <w:tblW w:w="0" w:type="auto"/>
        <w:tblLook w:val="04A0" w:firstRow="1" w:lastRow="0" w:firstColumn="1" w:lastColumn="0" w:noHBand="0" w:noVBand="1"/>
      </w:tblPr>
      <w:tblGrid>
        <w:gridCol w:w="2254"/>
        <w:gridCol w:w="2254"/>
        <w:gridCol w:w="2254"/>
        <w:gridCol w:w="2254"/>
      </w:tblGrid>
      <w:tr w:rsidR="00B16DBC" w14:paraId="7084132E" w14:textId="77777777" w:rsidTr="00B16DBC">
        <w:tc>
          <w:tcPr>
            <w:tcW w:w="2254" w:type="dxa"/>
          </w:tcPr>
          <w:p w14:paraId="4D95AD4F" w14:textId="5FF4F6D5" w:rsidR="00B16DBC" w:rsidRDefault="00B16DBC" w:rsidP="00DD7131">
            <w:pPr>
              <w:rPr>
                <w:sz w:val="20"/>
                <w:szCs w:val="20"/>
              </w:rPr>
            </w:pPr>
            <w:r>
              <w:rPr>
                <w:sz w:val="20"/>
                <w:szCs w:val="20"/>
              </w:rPr>
              <w:t>Region</w:t>
            </w:r>
          </w:p>
        </w:tc>
        <w:tc>
          <w:tcPr>
            <w:tcW w:w="2254" w:type="dxa"/>
          </w:tcPr>
          <w:p w14:paraId="0226A185" w14:textId="686D7A02" w:rsidR="00B16DBC" w:rsidRDefault="00AF6E1A" w:rsidP="00DD7131">
            <w:pPr>
              <w:rPr>
                <w:sz w:val="20"/>
                <w:szCs w:val="20"/>
              </w:rPr>
            </w:pPr>
            <w:r>
              <w:rPr>
                <w:sz w:val="20"/>
                <w:szCs w:val="20"/>
              </w:rPr>
              <w:t>Final lectricity prices in energy-intensive industries</w:t>
            </w:r>
            <w:r w:rsidR="00B16DBC">
              <w:rPr>
                <w:sz w:val="20"/>
                <w:szCs w:val="20"/>
              </w:rPr>
              <w:t xml:space="preserve"> (2019), USD/MWh [5]</w:t>
            </w:r>
          </w:p>
        </w:tc>
        <w:tc>
          <w:tcPr>
            <w:tcW w:w="2254" w:type="dxa"/>
          </w:tcPr>
          <w:p w14:paraId="1F0F1B6C" w14:textId="594C9D4A" w:rsidR="00B16DBC" w:rsidRDefault="00AF6E1A" w:rsidP="00DD7131">
            <w:pPr>
              <w:rPr>
                <w:sz w:val="20"/>
                <w:szCs w:val="20"/>
              </w:rPr>
            </w:pPr>
            <w:r>
              <w:rPr>
                <w:sz w:val="20"/>
                <w:szCs w:val="20"/>
              </w:rPr>
              <w:t>Natural gas prices for i</w:t>
            </w:r>
            <w:r w:rsidR="00B16DBC">
              <w:rPr>
                <w:sz w:val="20"/>
                <w:szCs w:val="20"/>
              </w:rPr>
              <w:t>ndustry end-user</w:t>
            </w:r>
            <w:r>
              <w:rPr>
                <w:sz w:val="20"/>
                <w:szCs w:val="20"/>
              </w:rPr>
              <w:t xml:space="preserve"> </w:t>
            </w:r>
            <w:r w:rsidR="00B16DBC">
              <w:rPr>
                <w:sz w:val="20"/>
                <w:szCs w:val="20"/>
              </w:rPr>
              <w:t>(2019), USD/MWh [6]</w:t>
            </w:r>
          </w:p>
        </w:tc>
        <w:tc>
          <w:tcPr>
            <w:tcW w:w="2254" w:type="dxa"/>
          </w:tcPr>
          <w:p w14:paraId="219BC93E" w14:textId="214EB33F" w:rsidR="00B16DBC" w:rsidRDefault="00B16DBC" w:rsidP="00DD7131">
            <w:pPr>
              <w:rPr>
                <w:sz w:val="20"/>
                <w:szCs w:val="20"/>
              </w:rPr>
            </w:pPr>
            <w:r>
              <w:rPr>
                <w:sz w:val="20"/>
                <w:szCs w:val="20"/>
              </w:rPr>
              <w:t>Ratio</w:t>
            </w:r>
          </w:p>
        </w:tc>
      </w:tr>
      <w:tr w:rsidR="00B16DBC" w14:paraId="1A0F2FE0" w14:textId="77777777" w:rsidTr="00B16DBC">
        <w:tc>
          <w:tcPr>
            <w:tcW w:w="2254" w:type="dxa"/>
          </w:tcPr>
          <w:p w14:paraId="15E0CCBE" w14:textId="7197E77A" w:rsidR="00B16DBC" w:rsidRDefault="00B16DBC" w:rsidP="00DD7131">
            <w:pPr>
              <w:rPr>
                <w:sz w:val="20"/>
                <w:szCs w:val="20"/>
              </w:rPr>
            </w:pPr>
            <w:r>
              <w:rPr>
                <w:sz w:val="20"/>
                <w:szCs w:val="20"/>
              </w:rPr>
              <w:lastRenderedPageBreak/>
              <w:t>Germany</w:t>
            </w:r>
          </w:p>
        </w:tc>
        <w:tc>
          <w:tcPr>
            <w:tcW w:w="2254" w:type="dxa"/>
          </w:tcPr>
          <w:p w14:paraId="6C1B4041" w14:textId="6845D5F4" w:rsidR="00B16DBC" w:rsidRDefault="00B16DBC" w:rsidP="00DD7131">
            <w:pPr>
              <w:rPr>
                <w:sz w:val="20"/>
                <w:szCs w:val="20"/>
              </w:rPr>
            </w:pPr>
            <w:r>
              <w:rPr>
                <w:sz w:val="20"/>
                <w:szCs w:val="20"/>
              </w:rPr>
              <w:t>~70</w:t>
            </w:r>
          </w:p>
        </w:tc>
        <w:tc>
          <w:tcPr>
            <w:tcW w:w="2254" w:type="dxa"/>
          </w:tcPr>
          <w:p w14:paraId="6C7CF665" w14:textId="2C983B75" w:rsidR="00B16DBC" w:rsidRDefault="00AF6E1A" w:rsidP="00DD7131">
            <w:pPr>
              <w:rPr>
                <w:sz w:val="20"/>
                <w:szCs w:val="20"/>
              </w:rPr>
            </w:pPr>
            <w:r>
              <w:rPr>
                <w:sz w:val="20"/>
                <w:szCs w:val="20"/>
              </w:rPr>
              <w:t>28-30</w:t>
            </w:r>
          </w:p>
        </w:tc>
        <w:tc>
          <w:tcPr>
            <w:tcW w:w="2254" w:type="dxa"/>
          </w:tcPr>
          <w:p w14:paraId="11057967" w14:textId="2F77B74F" w:rsidR="00B16DBC" w:rsidRDefault="00AF6E1A" w:rsidP="00DD7131">
            <w:pPr>
              <w:rPr>
                <w:sz w:val="20"/>
                <w:szCs w:val="20"/>
              </w:rPr>
            </w:pPr>
            <w:r>
              <w:rPr>
                <w:sz w:val="20"/>
                <w:szCs w:val="20"/>
              </w:rPr>
              <w:t>~2.5x</w:t>
            </w:r>
          </w:p>
        </w:tc>
      </w:tr>
      <w:tr w:rsidR="00B16DBC" w14:paraId="755AE211" w14:textId="77777777" w:rsidTr="00B16DBC">
        <w:tc>
          <w:tcPr>
            <w:tcW w:w="2254" w:type="dxa"/>
          </w:tcPr>
          <w:p w14:paraId="53AC547A" w14:textId="3958C737" w:rsidR="00B16DBC" w:rsidRDefault="00B16DBC" w:rsidP="00DD7131">
            <w:pPr>
              <w:rPr>
                <w:sz w:val="20"/>
                <w:szCs w:val="20"/>
              </w:rPr>
            </w:pPr>
            <w:r>
              <w:rPr>
                <w:sz w:val="20"/>
                <w:szCs w:val="20"/>
              </w:rPr>
              <w:t>United States</w:t>
            </w:r>
          </w:p>
        </w:tc>
        <w:tc>
          <w:tcPr>
            <w:tcW w:w="2254" w:type="dxa"/>
          </w:tcPr>
          <w:p w14:paraId="1531BDB1" w14:textId="7902A26A" w:rsidR="00B16DBC" w:rsidRDefault="00B16DBC" w:rsidP="00DD7131">
            <w:pPr>
              <w:rPr>
                <w:sz w:val="20"/>
                <w:szCs w:val="20"/>
              </w:rPr>
            </w:pPr>
            <w:r>
              <w:rPr>
                <w:sz w:val="20"/>
                <w:szCs w:val="20"/>
              </w:rPr>
              <w:t>~45</w:t>
            </w:r>
            <w:r w:rsidR="00AF6E1A">
              <w:rPr>
                <w:rStyle w:val="FootnoteReference"/>
                <w:sz w:val="20"/>
                <w:szCs w:val="20"/>
              </w:rPr>
              <w:footnoteReference w:id="1"/>
            </w:r>
          </w:p>
        </w:tc>
        <w:tc>
          <w:tcPr>
            <w:tcW w:w="2254" w:type="dxa"/>
          </w:tcPr>
          <w:p w14:paraId="3046DBF6" w14:textId="7956B94C" w:rsidR="00B16DBC" w:rsidRDefault="00AF6E1A" w:rsidP="00DD7131">
            <w:pPr>
              <w:rPr>
                <w:sz w:val="20"/>
                <w:szCs w:val="20"/>
              </w:rPr>
            </w:pPr>
            <w:r>
              <w:rPr>
                <w:sz w:val="20"/>
                <w:szCs w:val="20"/>
              </w:rPr>
              <w:t>11-15</w:t>
            </w:r>
          </w:p>
        </w:tc>
        <w:tc>
          <w:tcPr>
            <w:tcW w:w="2254" w:type="dxa"/>
          </w:tcPr>
          <w:p w14:paraId="297129BC" w14:textId="13F2CF91" w:rsidR="00B16DBC" w:rsidRDefault="00AF6E1A" w:rsidP="00DD7131">
            <w:pPr>
              <w:rPr>
                <w:sz w:val="20"/>
                <w:szCs w:val="20"/>
              </w:rPr>
            </w:pPr>
            <w:r>
              <w:rPr>
                <w:sz w:val="20"/>
                <w:szCs w:val="20"/>
              </w:rPr>
              <w:t>~3-4.1x</w:t>
            </w:r>
          </w:p>
        </w:tc>
      </w:tr>
      <w:tr w:rsidR="00B16DBC" w14:paraId="46F608EE" w14:textId="77777777" w:rsidTr="00B16DBC">
        <w:tc>
          <w:tcPr>
            <w:tcW w:w="2254" w:type="dxa"/>
          </w:tcPr>
          <w:p w14:paraId="3A9F9F09" w14:textId="7427F7E4" w:rsidR="00B16DBC" w:rsidRDefault="00B16DBC" w:rsidP="00DD7131">
            <w:pPr>
              <w:rPr>
                <w:sz w:val="20"/>
                <w:szCs w:val="20"/>
              </w:rPr>
            </w:pPr>
            <w:r>
              <w:rPr>
                <w:sz w:val="20"/>
                <w:szCs w:val="20"/>
              </w:rPr>
              <w:t>China</w:t>
            </w:r>
          </w:p>
        </w:tc>
        <w:tc>
          <w:tcPr>
            <w:tcW w:w="2254" w:type="dxa"/>
          </w:tcPr>
          <w:p w14:paraId="18A4F5A9" w14:textId="56FE7F4E" w:rsidR="00B16DBC" w:rsidRPr="00501A50" w:rsidRDefault="00B16DBC" w:rsidP="00DD7131">
            <w:pPr>
              <w:rPr>
                <w:sz w:val="20"/>
                <w:szCs w:val="20"/>
                <w:vertAlign w:val="superscript"/>
              </w:rPr>
            </w:pPr>
            <w:r>
              <w:rPr>
                <w:sz w:val="20"/>
                <w:szCs w:val="20"/>
              </w:rPr>
              <w:t>~55</w:t>
            </w:r>
            <w:r w:rsidR="00501A50">
              <w:rPr>
                <w:sz w:val="20"/>
                <w:szCs w:val="20"/>
                <w:vertAlign w:val="superscript"/>
              </w:rPr>
              <w:t>1</w:t>
            </w:r>
          </w:p>
        </w:tc>
        <w:tc>
          <w:tcPr>
            <w:tcW w:w="2254" w:type="dxa"/>
          </w:tcPr>
          <w:p w14:paraId="0B7122A0" w14:textId="0D845615" w:rsidR="00B16DBC" w:rsidRDefault="00AF6E1A" w:rsidP="00DD7131">
            <w:pPr>
              <w:rPr>
                <w:sz w:val="20"/>
                <w:szCs w:val="20"/>
              </w:rPr>
            </w:pPr>
            <w:r>
              <w:rPr>
                <w:sz w:val="20"/>
                <w:szCs w:val="20"/>
              </w:rPr>
              <w:t>31-53</w:t>
            </w:r>
          </w:p>
        </w:tc>
        <w:tc>
          <w:tcPr>
            <w:tcW w:w="2254" w:type="dxa"/>
          </w:tcPr>
          <w:p w14:paraId="0E49F985" w14:textId="05D9076A" w:rsidR="00B16DBC" w:rsidRDefault="00AF6E1A" w:rsidP="00DD7131">
            <w:pPr>
              <w:rPr>
                <w:sz w:val="20"/>
                <w:szCs w:val="20"/>
              </w:rPr>
            </w:pPr>
            <w:r>
              <w:rPr>
                <w:sz w:val="20"/>
                <w:szCs w:val="20"/>
              </w:rPr>
              <w:t>~1-1.8x</w:t>
            </w:r>
          </w:p>
        </w:tc>
      </w:tr>
    </w:tbl>
    <w:p w14:paraId="3B37D4EA" w14:textId="527B3A91" w:rsidR="00B16DBC" w:rsidRDefault="00B46249" w:rsidP="00DD7131">
      <w:pPr>
        <w:rPr>
          <w:sz w:val="20"/>
          <w:szCs w:val="20"/>
        </w:rPr>
      </w:pPr>
      <w:r>
        <w:rPr>
          <w:sz w:val="20"/>
          <w:szCs w:val="20"/>
        </w:rPr>
        <w:t>But it</w:t>
      </w:r>
      <w:r w:rsidR="00501A50">
        <w:rPr>
          <w:sz w:val="20"/>
          <w:szCs w:val="20"/>
        </w:rPr>
        <w:t xml:space="preserve"> becomes apparent</w:t>
      </w:r>
      <w:r>
        <w:rPr>
          <w:sz w:val="20"/>
          <w:szCs w:val="20"/>
        </w:rPr>
        <w:t xml:space="preserve">, that </w:t>
      </w:r>
      <w:r w:rsidRPr="00B46249">
        <w:rPr>
          <w:sz w:val="20"/>
          <w:szCs w:val="20"/>
        </w:rPr>
        <w:t>China represents a notable exception, with an electricity-to-gas price ratio significantly below that of the United States and Europe</w:t>
      </w:r>
      <w:r>
        <w:rPr>
          <w:sz w:val="20"/>
          <w:szCs w:val="20"/>
        </w:rPr>
        <w:t>; explainable</w:t>
      </w:r>
      <w:r w:rsidRPr="00B46249">
        <w:rPr>
          <w:sz w:val="20"/>
          <w:szCs w:val="20"/>
        </w:rPr>
        <w:t xml:space="preserve"> by low electricity prices resulting from coal and renewable energy</w:t>
      </w:r>
      <w:r w:rsidR="00807E3A">
        <w:rPr>
          <w:sz w:val="20"/>
          <w:szCs w:val="20"/>
        </w:rPr>
        <w:t xml:space="preserve"> [7]</w:t>
      </w:r>
      <w:r w:rsidRPr="00B46249">
        <w:rPr>
          <w:sz w:val="20"/>
          <w:szCs w:val="20"/>
        </w:rPr>
        <w:t xml:space="preserve">, coupled with a limited </w:t>
      </w:r>
      <w:r w:rsidR="00EA0F76">
        <w:rPr>
          <w:sz w:val="20"/>
          <w:szCs w:val="20"/>
        </w:rPr>
        <w:t xml:space="preserve">domestic </w:t>
      </w:r>
      <w:r w:rsidRPr="00B46249">
        <w:rPr>
          <w:sz w:val="20"/>
          <w:szCs w:val="20"/>
        </w:rPr>
        <w:t>supply of natural gas</w:t>
      </w:r>
      <w:r w:rsidR="00810481">
        <w:rPr>
          <w:sz w:val="20"/>
          <w:szCs w:val="20"/>
        </w:rPr>
        <w:t xml:space="preserve"> [8]</w:t>
      </w:r>
      <w:r w:rsidR="00EA0F76">
        <w:rPr>
          <w:sz w:val="20"/>
          <w:szCs w:val="20"/>
        </w:rPr>
        <w:t>[9]</w:t>
      </w:r>
      <w:r w:rsidRPr="00B46249">
        <w:rPr>
          <w:sz w:val="20"/>
          <w:szCs w:val="20"/>
        </w:rPr>
        <w:t xml:space="preserve">. </w:t>
      </w:r>
      <w:r w:rsidR="00CC1E8B">
        <w:rPr>
          <w:sz w:val="20"/>
          <w:szCs w:val="20"/>
        </w:rPr>
        <w:t>M</w:t>
      </w:r>
      <w:r w:rsidRPr="00B46249">
        <w:rPr>
          <w:sz w:val="20"/>
          <w:szCs w:val="20"/>
        </w:rPr>
        <w:t xml:space="preserve">aking </w:t>
      </w:r>
      <w:r w:rsidRPr="00964CCC">
        <w:rPr>
          <w:b/>
          <w:bCs/>
          <w:sz w:val="20"/>
          <w:szCs w:val="20"/>
        </w:rPr>
        <w:t>China</w:t>
      </w:r>
      <w:r w:rsidRPr="00B46249">
        <w:rPr>
          <w:sz w:val="20"/>
          <w:szCs w:val="20"/>
        </w:rPr>
        <w:t xml:space="preserve"> the </w:t>
      </w:r>
      <w:r w:rsidRPr="00964CCC">
        <w:rPr>
          <w:b/>
          <w:bCs/>
          <w:sz w:val="20"/>
          <w:szCs w:val="20"/>
        </w:rPr>
        <w:t>most near-term favorable market</w:t>
      </w:r>
      <w:r w:rsidRPr="00B46249">
        <w:rPr>
          <w:sz w:val="20"/>
          <w:szCs w:val="20"/>
        </w:rPr>
        <w:t xml:space="preserve"> for eSMR deployment from an </w:t>
      </w:r>
      <w:r w:rsidRPr="00964CCC">
        <w:rPr>
          <w:b/>
          <w:bCs/>
          <w:sz w:val="20"/>
          <w:szCs w:val="20"/>
        </w:rPr>
        <w:t>operational cost perspective</w:t>
      </w:r>
      <w:r w:rsidRPr="00B46249">
        <w:rPr>
          <w:sz w:val="20"/>
          <w:szCs w:val="20"/>
        </w:rPr>
        <w:t>.</w:t>
      </w:r>
      <w:r w:rsidR="00CC1E8B">
        <w:rPr>
          <w:sz w:val="20"/>
          <w:szCs w:val="20"/>
        </w:rPr>
        <w:t xml:space="preserve"> </w:t>
      </w:r>
      <w:r w:rsidR="00CC1E8B" w:rsidRPr="00CC1E8B">
        <w:rPr>
          <w:sz w:val="20"/>
          <w:szCs w:val="20"/>
        </w:rPr>
        <w:t xml:space="preserve">It must be acknowledged, however, that deploying an electrified process on a carbon-intensive grid </w:t>
      </w:r>
      <w:r w:rsidR="00810481">
        <w:rPr>
          <w:sz w:val="20"/>
          <w:szCs w:val="20"/>
        </w:rPr>
        <w:t>[</w:t>
      </w:r>
      <w:r w:rsidR="00EA0F76">
        <w:rPr>
          <w:sz w:val="20"/>
          <w:szCs w:val="20"/>
        </w:rPr>
        <w:t>10</w:t>
      </w:r>
      <w:r w:rsidR="00810481">
        <w:rPr>
          <w:sz w:val="20"/>
          <w:szCs w:val="20"/>
        </w:rPr>
        <w:t xml:space="preserve">] </w:t>
      </w:r>
      <w:r w:rsidR="00CC1E8B" w:rsidRPr="00CC1E8B">
        <w:rPr>
          <w:sz w:val="20"/>
          <w:szCs w:val="20"/>
        </w:rPr>
        <w:t>does not inherently improve sustainability outcomes.</w:t>
      </w:r>
    </w:p>
    <w:p w14:paraId="0E0E660F" w14:textId="77777777" w:rsidR="00E94823" w:rsidRDefault="00E94823" w:rsidP="00DD7131">
      <w:pPr>
        <w:rPr>
          <w:sz w:val="20"/>
          <w:szCs w:val="20"/>
        </w:rPr>
      </w:pPr>
    </w:p>
    <w:p w14:paraId="053C22B8" w14:textId="77777777" w:rsidR="00EC008A" w:rsidRDefault="00EC008A" w:rsidP="00DD7131">
      <w:pPr>
        <w:rPr>
          <w:sz w:val="20"/>
          <w:szCs w:val="20"/>
        </w:rPr>
      </w:pPr>
      <w:r w:rsidRPr="00EC008A">
        <w:rPr>
          <w:sz w:val="20"/>
          <w:szCs w:val="20"/>
        </w:rPr>
        <w:t>The preceding analysis has not yet accounted for the CO₂ certificate cost on NG combustion emissions, while the electricity price already incorporates the CO₂ penalty implicitly. After partially offsetting the ~150% electricity-to-NG price gap through the additional thermal losses of conventional SMR (~15%), the CO₂ penalty required to fully close the residual ~135% gap corresponds to a carbon price more than 6 times the prevailing NG price</w:t>
      </w:r>
      <w:r>
        <w:rPr>
          <w:sz w:val="20"/>
          <w:szCs w:val="20"/>
        </w:rPr>
        <w:t>:</w:t>
      </w:r>
    </w:p>
    <w:p w14:paraId="007C231C" w14:textId="32E811FB" w:rsidR="00C10A4E" w:rsidRDefault="001936CB" w:rsidP="00DD7131">
      <w:pPr>
        <w:rPr>
          <w:sz w:val="20"/>
          <w:szCs w:val="20"/>
        </w:rPr>
      </w:pPr>
      <m:oMathPara>
        <m:oMath>
          <m:r>
            <w:rPr>
              <w:rFonts w:ascii="Cambria Math" w:hAnsi="Cambria Math"/>
              <w:sz w:val="20"/>
              <w:szCs w:val="20"/>
            </w:rPr>
            <m:t>Carbon Price</m:t>
          </m:r>
          <m:d>
            <m:dPr>
              <m:begChr m:val="["/>
              <m:endChr m:val="]"/>
              <m:ctrlPr>
                <w:rPr>
                  <w:rFonts w:ascii="Cambria Math" w:eastAsiaTheme="minorHAnsi" w:hAnsi="Cambria Math" w:cstheme="minorBidi"/>
                  <w:i/>
                  <w:kern w:val="2"/>
                  <w:sz w:val="20"/>
                  <w:szCs w:val="20"/>
                  <w:lang w:eastAsia="en-US"/>
                  <w14:ligatures w14:val="standardContextual"/>
                </w:rPr>
              </m:ctrlPr>
            </m:dPr>
            <m:e>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USD 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O</m:t>
                      </m:r>
                    </m:e>
                    <m:sub>
                      <m:r>
                        <w:rPr>
                          <w:rFonts w:ascii="Cambria Math" w:hAnsi="Cambria Math"/>
                          <w:sz w:val="20"/>
                          <w:szCs w:val="20"/>
                        </w:rPr>
                        <m:t>2</m:t>
                      </m:r>
                    </m:sub>
                  </m:sSub>
                </m:num>
                <m:den>
                  <m:r>
                    <w:rPr>
                      <w:rFonts w:ascii="Cambria Math" w:hAnsi="Cambria Math"/>
                      <w:sz w:val="20"/>
                      <w:szCs w:val="20"/>
                    </w:rPr>
                    <m:t>t 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O</m:t>
                      </m:r>
                    </m:e>
                    <m:sub>
                      <m:r>
                        <w:rPr>
                          <w:rFonts w:ascii="Cambria Math" w:hAnsi="Cambria Math"/>
                          <w:sz w:val="20"/>
                          <w:szCs w:val="20"/>
                        </w:rPr>
                        <m:t>2</m:t>
                      </m:r>
                    </m:sub>
                  </m:sSub>
                </m:den>
              </m:f>
            </m:e>
          </m:d>
          <m:r>
            <w:rPr>
              <w:rFonts w:ascii="Cambria Math" w:hAnsi="Cambria Math"/>
              <w:sz w:val="20"/>
              <w:szCs w:val="20"/>
            </w:rPr>
            <m:t>=</m:t>
          </m:r>
          <m:r>
            <w:rPr>
              <w:rFonts w:ascii="Cambria Math" w:hAnsi="Cambria Math"/>
              <w:sz w:val="20"/>
              <w:szCs w:val="20"/>
            </w:rPr>
            <m:t>N</m:t>
          </m:r>
          <m:r>
            <w:rPr>
              <w:rFonts w:ascii="Cambria Math" w:hAnsi="Cambria Math"/>
              <w:sz w:val="20"/>
              <w:szCs w:val="20"/>
            </w:rPr>
            <m:t>G</m:t>
          </m:r>
          <m:r>
            <w:rPr>
              <w:rFonts w:ascii="Cambria Math" w:hAnsi="Cambria Math"/>
              <w:sz w:val="20"/>
              <w:szCs w:val="20"/>
            </w:rPr>
            <m:t xml:space="preserve"> Price</m:t>
          </m:r>
          <m:d>
            <m:dPr>
              <m:begChr m:val="["/>
              <m:endChr m:val="]"/>
              <m:ctrlPr>
                <w:rPr>
                  <w:rFonts w:ascii="Cambria Math" w:eastAsiaTheme="minorHAnsi" w:hAnsi="Cambria Math" w:cstheme="minorBidi"/>
                  <w:i/>
                  <w:kern w:val="2"/>
                  <w:sz w:val="20"/>
                  <w:szCs w:val="20"/>
                  <w:lang w:eastAsia="en-US"/>
                  <w14:ligatures w14:val="standardContextual"/>
                </w:rPr>
              </m:ctrlPr>
            </m:dPr>
            <m:e>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USD NG</m:t>
                  </m:r>
                </m:num>
                <m:den>
                  <m:r>
                    <w:rPr>
                      <w:rFonts w:ascii="Cambria Math" w:hAnsi="Cambria Math"/>
                      <w:sz w:val="20"/>
                      <w:szCs w:val="20"/>
                    </w:rPr>
                    <m:t>MWh NG</m:t>
                  </m:r>
                </m:den>
              </m:f>
            </m:e>
          </m:d>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Gap</m:t>
              </m:r>
              <m:d>
                <m:dPr>
                  <m:begChr m:val="["/>
                  <m:endChr m:val="]"/>
                  <m:ctrlPr>
                    <w:rPr>
                      <w:rFonts w:ascii="Cambria Math" w:eastAsiaTheme="minorHAnsi" w:hAnsi="Cambria Math" w:cstheme="minorBidi"/>
                      <w:i/>
                      <w:kern w:val="2"/>
                      <w:sz w:val="20"/>
                      <w:szCs w:val="20"/>
                      <w:lang w:eastAsia="en-US"/>
                      <w14:ligatures w14:val="standardContextual"/>
                    </w:rPr>
                  </m:ctrlPr>
                </m:dPr>
                <m:e>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 xml:space="preserve">USD </m:t>
                      </m:r>
                      <m:r>
                        <w:rPr>
                          <w:rFonts w:ascii="Cambria Math" w:hAnsi="Cambria Math"/>
                          <w:sz w:val="20"/>
                          <w:szCs w:val="20"/>
                        </w:rPr>
                        <m:t>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O</m:t>
                          </m:r>
                        </m:e>
                        <m:sub>
                          <m:r>
                            <w:rPr>
                              <w:rFonts w:ascii="Cambria Math" w:hAnsi="Cambria Math"/>
                              <w:sz w:val="20"/>
                              <w:szCs w:val="20"/>
                            </w:rPr>
                            <m:t>2</m:t>
                          </m:r>
                        </m:sub>
                      </m:sSub>
                    </m:num>
                    <m:den>
                      <m:r>
                        <w:rPr>
                          <w:rFonts w:ascii="Cambria Math" w:hAnsi="Cambria Math"/>
                          <w:sz w:val="20"/>
                          <w:szCs w:val="20"/>
                        </w:rPr>
                        <m:t>USD</m:t>
                      </m:r>
                      <m:r>
                        <w:rPr>
                          <w:rFonts w:ascii="Cambria Math" w:hAnsi="Cambria Math"/>
                          <w:sz w:val="20"/>
                          <w:szCs w:val="20"/>
                        </w:rPr>
                        <m:t xml:space="preserve"> NG</m:t>
                      </m:r>
                    </m:den>
                  </m:f>
                </m:e>
              </m:d>
            </m:num>
            <m:den>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EF</m:t>
                  </m:r>
                </m:e>
                <m:sub>
                  <m:r>
                    <w:rPr>
                      <w:rFonts w:ascii="Cambria Math" w:hAnsi="Cambria Math"/>
                      <w:sz w:val="20"/>
                      <w:szCs w:val="20"/>
                    </w:rPr>
                    <m:t>NG</m:t>
                  </m:r>
                </m:sub>
              </m:sSub>
              <m:d>
                <m:dPr>
                  <m:begChr m:val="["/>
                  <m:endChr m:val="]"/>
                  <m:ctrlPr>
                    <w:rPr>
                      <w:rFonts w:ascii="Cambria Math" w:eastAsiaTheme="minorHAnsi" w:hAnsi="Cambria Math" w:cstheme="minorBidi"/>
                      <w:i/>
                      <w:kern w:val="2"/>
                      <w:sz w:val="20"/>
                      <w:szCs w:val="20"/>
                      <w:lang w:eastAsia="en-US"/>
                      <w14:ligatures w14:val="standardContextual"/>
                    </w:rPr>
                  </m:ctrlPr>
                </m:dPr>
                <m:e>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t 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O</m:t>
                          </m:r>
                        </m:e>
                        <m:sub>
                          <m:r>
                            <w:rPr>
                              <w:rFonts w:ascii="Cambria Math" w:hAnsi="Cambria Math"/>
                              <w:sz w:val="20"/>
                              <w:szCs w:val="20"/>
                            </w:rPr>
                            <m:t>2</m:t>
                          </m:r>
                        </m:sub>
                      </m:sSub>
                    </m:num>
                    <m:den>
                      <m:r>
                        <w:rPr>
                          <w:rFonts w:ascii="Cambria Math" w:hAnsi="Cambria Math"/>
                          <w:sz w:val="20"/>
                          <w:szCs w:val="20"/>
                        </w:rPr>
                        <m:t>MWh NG</m:t>
                      </m:r>
                    </m:den>
                  </m:f>
                </m:e>
              </m:d>
            </m:den>
          </m:f>
          <m:r>
            <w:rPr>
              <w:rFonts w:ascii="Cambria Math" w:eastAsiaTheme="minorEastAsia" w:hAnsi="Cambria Math"/>
              <w:sz w:val="20"/>
              <w:szCs w:val="20"/>
            </w:rPr>
            <m:t>↔</m:t>
          </m:r>
          <m:f>
            <m:fPr>
              <m:ctrlPr>
                <w:rPr>
                  <w:rFonts w:ascii="Cambria Math" w:eastAsiaTheme="minorEastAsia" w:hAnsi="Cambria Math" w:cstheme="minorBidi"/>
                  <w:i/>
                  <w:kern w:val="2"/>
                  <w:sz w:val="20"/>
                  <w:szCs w:val="20"/>
                  <w:lang w:eastAsia="en-US"/>
                  <w14:ligatures w14:val="standardContextual"/>
                </w:rPr>
              </m:ctrlPr>
            </m:fPr>
            <m:num>
              <m:r>
                <w:rPr>
                  <w:rFonts w:ascii="Cambria Math" w:hAnsi="Cambria Math"/>
                  <w:sz w:val="20"/>
                  <w:szCs w:val="20"/>
                </w:rPr>
                <m:t>Carbon Price</m:t>
              </m:r>
            </m:num>
            <m:den>
              <m:r>
                <w:rPr>
                  <w:rFonts w:ascii="Cambria Math" w:hAnsi="Cambria Math"/>
                  <w:sz w:val="20"/>
                  <w:szCs w:val="20"/>
                </w:rPr>
                <m:t>Natural Gas Price</m:t>
              </m:r>
            </m:den>
          </m:f>
          <m:r>
            <w:rPr>
              <w:rFonts w:ascii="Cambria Math" w:eastAsiaTheme="minorEastAsia" w:hAnsi="Cambria Math"/>
              <w:sz w:val="20"/>
              <w:szCs w:val="20"/>
            </w:rPr>
            <m:t>=</m:t>
          </m:r>
          <m:f>
            <m:fPr>
              <m:ctrlPr>
                <w:rPr>
                  <w:rFonts w:ascii="Cambria Math" w:eastAsiaTheme="minorEastAsia" w:hAnsi="Cambria Math" w:cstheme="minorBidi"/>
                  <w:i/>
                  <w:kern w:val="2"/>
                  <w:sz w:val="20"/>
                  <w:szCs w:val="20"/>
                  <w:lang w:eastAsia="en-US"/>
                  <w14:ligatures w14:val="standardContextual"/>
                </w:rPr>
              </m:ctrlPr>
            </m:fPr>
            <m:num>
              <m:r>
                <w:rPr>
                  <w:rFonts w:ascii="Cambria Math" w:eastAsiaTheme="minorEastAsia" w:hAnsi="Cambria Math"/>
                  <w:sz w:val="20"/>
                  <w:szCs w:val="20"/>
                </w:rPr>
                <m:t>135%</m:t>
              </m:r>
            </m:num>
            <m:den>
              <m:r>
                <w:rPr>
                  <w:rFonts w:ascii="Cambria Math" w:eastAsiaTheme="minorEastAsia" w:hAnsi="Cambria Math"/>
                  <w:sz w:val="20"/>
                  <w:szCs w:val="20"/>
                </w:rPr>
                <m:t>0.205</m:t>
              </m:r>
            </m:den>
          </m:f>
          <m:r>
            <w:rPr>
              <w:rFonts w:ascii="Cambria Math" w:eastAsiaTheme="minorEastAsia" w:hAnsi="Cambria Math"/>
              <w:sz w:val="20"/>
              <w:szCs w:val="20"/>
            </w:rPr>
            <m:t>=6.6</m:t>
          </m:r>
        </m:oMath>
      </m:oMathPara>
    </w:p>
    <w:p w14:paraId="11E84BF1" w14:textId="77777777" w:rsidR="001936CB" w:rsidRPr="001936CB" w:rsidRDefault="001936CB" w:rsidP="001936CB">
      <w:pPr>
        <w:rPr>
          <w:sz w:val="20"/>
          <w:szCs w:val="20"/>
        </w:rPr>
      </w:pPr>
      <w:r w:rsidRPr="001936CB">
        <w:rPr>
          <w:sz w:val="20"/>
          <w:szCs w:val="20"/>
        </w:rPr>
        <w:t>Well beyond current and near-term projected EU ETS price levels, the CO₂ penalty therefore does not materially alter the conclusions drawn above.</w:t>
      </w:r>
    </w:p>
    <w:p w14:paraId="130395A5" w14:textId="77777777" w:rsidR="001936CB" w:rsidRPr="00A01C16" w:rsidRDefault="001936CB" w:rsidP="001936CB">
      <w:pPr>
        <w:rPr>
          <w:color w:val="00B0F0"/>
          <w:sz w:val="20"/>
          <w:szCs w:val="20"/>
        </w:rPr>
      </w:pPr>
      <w:r w:rsidRPr="00A01C16">
        <w:rPr>
          <w:rFonts w:eastAsiaTheme="minorEastAsia"/>
          <w:color w:val="00B0F0"/>
          <w:sz w:val="20"/>
          <w:szCs w:val="20"/>
        </w:rPr>
        <w:t>EF source: [https://www.umweltbundesamt.de/system/files/medien/479/publikationen/cc_29-2022_emission-factors-fossil-fuels.pdf]</w:t>
      </w:r>
    </w:p>
    <w:p w14:paraId="25F7DCE7" w14:textId="77777777" w:rsidR="00000212" w:rsidRDefault="00000212" w:rsidP="00DD7131">
      <w:pPr>
        <w:rPr>
          <w:sz w:val="20"/>
          <w:szCs w:val="20"/>
        </w:rPr>
      </w:pPr>
    </w:p>
    <w:p w14:paraId="6FEC80BC" w14:textId="409FBEDB" w:rsidR="00D12643" w:rsidRDefault="00AF7FF7" w:rsidP="00DD7131">
      <w:pPr>
        <w:rPr>
          <w:b/>
          <w:bCs/>
          <w:i/>
          <w:iCs/>
          <w:sz w:val="20"/>
          <w:szCs w:val="20"/>
        </w:rPr>
      </w:pPr>
      <w:r w:rsidRPr="00AF7FF7">
        <w:rPr>
          <w:b/>
          <w:bCs/>
          <w:i/>
          <w:iCs/>
          <w:sz w:val="20"/>
          <w:szCs w:val="20"/>
        </w:rPr>
        <w:t>Comparative Assessment of P</w:t>
      </w:r>
      <w:r>
        <w:rPr>
          <w:b/>
          <w:bCs/>
          <w:i/>
          <w:iCs/>
          <w:sz w:val="20"/>
          <w:szCs w:val="20"/>
        </w:rPr>
        <w:t>ost</w:t>
      </w:r>
      <w:r w:rsidRPr="00AF7FF7">
        <w:rPr>
          <w:b/>
          <w:bCs/>
          <w:i/>
          <w:iCs/>
          <w:sz w:val="20"/>
          <w:szCs w:val="20"/>
        </w:rPr>
        <w:t>-</w:t>
      </w:r>
      <w:r>
        <w:rPr>
          <w:b/>
          <w:bCs/>
          <w:i/>
          <w:iCs/>
          <w:sz w:val="20"/>
          <w:szCs w:val="20"/>
        </w:rPr>
        <w:t xml:space="preserve">, </w:t>
      </w:r>
      <w:r w:rsidRPr="00AF7FF7">
        <w:rPr>
          <w:b/>
          <w:bCs/>
          <w:i/>
          <w:iCs/>
          <w:sz w:val="20"/>
          <w:szCs w:val="20"/>
        </w:rPr>
        <w:t>P</w:t>
      </w:r>
      <w:r>
        <w:rPr>
          <w:b/>
          <w:bCs/>
          <w:i/>
          <w:iCs/>
          <w:sz w:val="20"/>
          <w:szCs w:val="20"/>
        </w:rPr>
        <w:t xml:space="preserve">re- and Oxyfuel </w:t>
      </w:r>
      <w:r w:rsidRPr="00AF7FF7">
        <w:rPr>
          <w:b/>
          <w:bCs/>
          <w:i/>
          <w:iCs/>
          <w:sz w:val="20"/>
          <w:szCs w:val="20"/>
        </w:rPr>
        <w:t>Combustion</w:t>
      </w:r>
      <w:r>
        <w:rPr>
          <w:b/>
          <w:bCs/>
          <w:i/>
          <w:iCs/>
          <w:sz w:val="20"/>
          <w:szCs w:val="20"/>
        </w:rPr>
        <w:t xml:space="preserve"> </w:t>
      </w:r>
      <w:r w:rsidRPr="00AF7FF7">
        <w:rPr>
          <w:b/>
          <w:bCs/>
          <w:i/>
          <w:iCs/>
          <w:sz w:val="20"/>
          <w:szCs w:val="20"/>
        </w:rPr>
        <w:t xml:space="preserve">CO₂ </w:t>
      </w:r>
      <w:r>
        <w:rPr>
          <w:b/>
          <w:bCs/>
          <w:i/>
          <w:iCs/>
          <w:sz w:val="20"/>
          <w:szCs w:val="20"/>
        </w:rPr>
        <w:t>Capture</w:t>
      </w:r>
    </w:p>
    <w:p w14:paraId="6B443BC7" w14:textId="10EE06D1" w:rsidR="000053AA" w:rsidRPr="000053AA" w:rsidRDefault="000053AA" w:rsidP="000053AA">
      <w:pPr>
        <w:rPr>
          <w:sz w:val="20"/>
          <w:szCs w:val="20"/>
        </w:rPr>
      </w:pPr>
      <w:r w:rsidRPr="000053AA">
        <w:rPr>
          <w:sz w:val="20"/>
          <w:szCs w:val="20"/>
        </w:rPr>
        <w:t xml:space="preserve">Since eSMR produces near-zero direct CO₂ emissions, a fair comparison requires an equally low-carbon reference </w:t>
      </w:r>
      <w:r>
        <w:rPr>
          <w:sz w:val="20"/>
          <w:szCs w:val="20"/>
        </w:rPr>
        <w:t>–</w:t>
      </w:r>
      <w:r w:rsidRPr="000053AA">
        <w:rPr>
          <w:sz w:val="20"/>
          <w:szCs w:val="20"/>
        </w:rPr>
        <w:t xml:space="preserve"> namely, conventional SMR equipped with flue gas carbon capture.</w:t>
      </w:r>
    </w:p>
    <w:p w14:paraId="475BF77C" w14:textId="4DDBAE05" w:rsidR="00DD7131" w:rsidRPr="00A84BD4" w:rsidRDefault="00DD7131" w:rsidP="00DD7131">
      <w:pPr>
        <w:rPr>
          <w:rFonts w:eastAsiaTheme="minorEastAsia"/>
          <w:sz w:val="20"/>
          <w:szCs w:val="20"/>
        </w:rPr>
      </w:pPr>
      <w:r w:rsidRPr="00DD7131">
        <w:rPr>
          <w:sz w:val="20"/>
          <w:szCs w:val="20"/>
        </w:rPr>
        <w:t>In th</w:t>
      </w:r>
      <w:r w:rsidR="000053AA">
        <w:rPr>
          <w:sz w:val="20"/>
          <w:szCs w:val="20"/>
        </w:rPr>
        <w:t>e eSMR process</w:t>
      </w:r>
      <w:r w:rsidRPr="00DD7131">
        <w:rPr>
          <w:sz w:val="20"/>
          <w:szCs w:val="20"/>
        </w:rPr>
        <w:t>, carbon is removed from a CO₂-rich stream downstream of the shift reactor</w:t>
      </w:r>
      <w:r w:rsidR="00D12643">
        <w:rPr>
          <w:sz w:val="20"/>
          <w:szCs w:val="20"/>
        </w:rPr>
        <w:t xml:space="preserve"> </w:t>
      </w:r>
      <w:r w:rsidR="00A26D0E">
        <w:rPr>
          <w:sz w:val="20"/>
          <w:szCs w:val="20"/>
        </w:rPr>
        <w:t xml:space="preserve">at </w:t>
      </w:r>
      <w:r w:rsidR="00A26D0E" w:rsidRPr="00A26D0E">
        <w:rPr>
          <w:b/>
          <w:bCs/>
          <w:sz w:val="20"/>
          <w:szCs w:val="20"/>
        </w:rPr>
        <w:t xml:space="preserve">high pressures </w:t>
      </w:r>
      <w:r w:rsidR="00A26D0E">
        <w:rPr>
          <w:sz w:val="20"/>
          <w:szCs w:val="20"/>
        </w:rPr>
        <w:t>(</w:t>
      </w:r>
      <w:r w:rsidR="00A26D0E">
        <w:rPr>
          <w:sz w:val="20"/>
          <w:szCs w:val="20"/>
        </w:rPr>
        <w:t>pre-combustion capture)</w:t>
      </w:r>
      <w:r w:rsidRPr="00DD7131">
        <w:rPr>
          <w:sz w:val="20"/>
          <w:szCs w:val="20"/>
        </w:rPr>
        <w:t xml:space="preserve">. </w:t>
      </w:r>
      <w:r w:rsidR="00525586">
        <w:rPr>
          <w:sz w:val="20"/>
          <w:szCs w:val="20"/>
        </w:rPr>
        <w:t>A</w:t>
      </w:r>
      <w:r w:rsidRPr="00DD7131">
        <w:rPr>
          <w:sz w:val="20"/>
          <w:szCs w:val="20"/>
        </w:rPr>
        <w:t xml:space="preserve">ssuming complete conversion in both the reformer and shift reactor, the maximum achievable </w:t>
      </w:r>
      <w:r w:rsidRPr="00964CCC">
        <w:rPr>
          <w:b/>
          <w:bCs/>
          <w:sz w:val="20"/>
          <w:szCs w:val="20"/>
        </w:rPr>
        <w:t xml:space="preserve">CO₂ content </w:t>
      </w:r>
      <w:r w:rsidRPr="00964CCC">
        <w:rPr>
          <w:sz w:val="20"/>
          <w:szCs w:val="20"/>
        </w:rPr>
        <w:t>is</w:t>
      </w:r>
      <w:r w:rsidRPr="00964CCC">
        <w:rPr>
          <w:b/>
          <w:bCs/>
          <w:sz w:val="20"/>
          <w:szCs w:val="20"/>
        </w:rPr>
        <w:t xml:space="preserve"> 20%</w:t>
      </w:r>
      <w:r w:rsidRPr="00DD7131">
        <w:rPr>
          <w:sz w:val="20"/>
          <w:szCs w:val="20"/>
        </w:rPr>
        <w:t>, as dictated by the combined SMR and WGS stoichiometry:</w:t>
      </w:r>
      <w:r w:rsidRPr="00DD7131">
        <w:rPr>
          <w:sz w:val="20"/>
          <w:szCs w:val="20"/>
        </w:rPr>
        <w:br/>
      </w:r>
      <m:oMathPara>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 xml:space="preserve">+4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oMath>
      </m:oMathPara>
    </w:p>
    <w:p w14:paraId="5EFB92B8" w14:textId="315492AD" w:rsidR="00A84BD4" w:rsidRPr="00DD7131" w:rsidRDefault="00A84BD4" w:rsidP="00DD7131">
      <w:pPr>
        <w:rPr>
          <w:sz w:val="20"/>
          <w:szCs w:val="20"/>
        </w:rPr>
      </w:pPr>
      <m:oMathPara>
        <m:oMath>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x</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,max</m:t>
              </m:r>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1</m:t>
              </m:r>
            </m:num>
            <m:den>
              <m:r>
                <w:rPr>
                  <w:rFonts w:ascii="Cambria Math" w:hAnsi="Cambria Math"/>
                  <w:sz w:val="20"/>
                  <w:szCs w:val="20"/>
                </w:rPr>
                <m:t>1+</m:t>
              </m:r>
              <m:r>
                <w:rPr>
                  <w:rFonts w:ascii="Cambria Math" w:hAnsi="Cambria Math"/>
                  <w:sz w:val="20"/>
                  <w:szCs w:val="20"/>
                </w:rPr>
                <m:t>4</m:t>
              </m:r>
            </m:den>
          </m:f>
          <m:r>
            <w:rPr>
              <w:rFonts w:ascii="Cambria Math" w:hAnsi="Cambria Math"/>
              <w:sz w:val="20"/>
              <w:szCs w:val="20"/>
            </w:rPr>
            <m:t>=20%</m:t>
          </m:r>
        </m:oMath>
      </m:oMathPara>
    </w:p>
    <w:p w14:paraId="0488582B" w14:textId="21899D86" w:rsidR="00DD2441" w:rsidRDefault="00DD2441" w:rsidP="00DD7131">
      <w:pPr>
        <w:rPr>
          <w:sz w:val="20"/>
          <w:szCs w:val="20"/>
        </w:rPr>
      </w:pPr>
      <w:r>
        <w:rPr>
          <w:sz w:val="20"/>
          <w:szCs w:val="20"/>
        </w:rPr>
        <w:t xml:space="preserve">Although </w:t>
      </w:r>
      <w:r w:rsidR="00525586">
        <w:rPr>
          <w:sz w:val="20"/>
          <w:szCs w:val="20"/>
        </w:rPr>
        <w:t>the</w:t>
      </w:r>
      <w:r>
        <w:rPr>
          <w:sz w:val="20"/>
          <w:szCs w:val="20"/>
        </w:rPr>
        <w:t xml:space="preserve"> </w:t>
      </w:r>
      <w:r w:rsidRPr="00E73259">
        <w:rPr>
          <w:sz w:val="20"/>
          <w:szCs w:val="20"/>
        </w:rPr>
        <w:t>CO₂ content</w:t>
      </w:r>
      <w:r w:rsidRPr="00DD7131">
        <w:rPr>
          <w:sz w:val="20"/>
          <w:szCs w:val="20"/>
        </w:rPr>
        <w:t xml:space="preserve"> </w:t>
      </w:r>
      <w:r>
        <w:rPr>
          <w:sz w:val="20"/>
          <w:szCs w:val="20"/>
        </w:rPr>
        <w:t>of a stoichiometric CH</w:t>
      </w:r>
      <w:r w:rsidRPr="008559F9">
        <w:rPr>
          <w:sz w:val="20"/>
          <w:szCs w:val="20"/>
          <w:vertAlign w:val="subscript"/>
        </w:rPr>
        <w:t>4</w:t>
      </w:r>
      <w:r>
        <w:rPr>
          <w:sz w:val="20"/>
          <w:szCs w:val="20"/>
        </w:rPr>
        <w:t xml:space="preserve"> combustion flue gas</w:t>
      </w:r>
      <w:r w:rsidR="00525586">
        <w:rPr>
          <w:sz w:val="20"/>
          <w:szCs w:val="20"/>
        </w:rPr>
        <w:t xml:space="preserve"> </w:t>
      </w:r>
      <w:r>
        <w:rPr>
          <w:sz w:val="20"/>
          <w:szCs w:val="20"/>
        </w:rPr>
        <w:t xml:space="preserve">of </w:t>
      </w:r>
      <w:r w:rsidR="00525586" w:rsidRPr="00DD2441">
        <w:rPr>
          <w:sz w:val="20"/>
          <w:szCs w:val="20"/>
        </w:rPr>
        <w:t xml:space="preserve">maximal </w:t>
      </w:r>
      <w:r w:rsidR="00A84BD4" w:rsidRPr="00DD2441">
        <w:rPr>
          <w:sz w:val="20"/>
          <w:szCs w:val="20"/>
        </w:rPr>
        <w:t>~</w:t>
      </w:r>
      <w:r w:rsidR="00525586" w:rsidRPr="00DD2441">
        <w:rPr>
          <w:sz w:val="20"/>
          <w:szCs w:val="20"/>
        </w:rPr>
        <w:t>1</w:t>
      </w:r>
      <w:r w:rsidR="00A84BD4" w:rsidRPr="00DD2441">
        <w:rPr>
          <w:sz w:val="20"/>
          <w:szCs w:val="20"/>
        </w:rPr>
        <w:t>2</w:t>
      </w:r>
      <w:r w:rsidR="00525586" w:rsidRPr="00DD2441">
        <w:rPr>
          <w:sz w:val="20"/>
          <w:szCs w:val="20"/>
        </w:rPr>
        <w:t>%</w:t>
      </w:r>
      <w:r w:rsidRPr="00DD2441">
        <w:rPr>
          <w:sz w:val="20"/>
          <w:szCs w:val="20"/>
        </w:rPr>
        <w:t xml:space="preserve"> </w:t>
      </w:r>
      <w:r w:rsidRPr="00DD2441">
        <w:rPr>
          <w:sz w:val="20"/>
          <w:szCs w:val="20"/>
        </w:rPr>
        <w:t>is</w:t>
      </w:r>
      <w:r>
        <w:rPr>
          <w:sz w:val="20"/>
          <w:szCs w:val="20"/>
        </w:rPr>
        <w:t xml:space="preserve"> notably lower</w:t>
      </w:r>
      <w:r>
        <w:rPr>
          <w:sz w:val="20"/>
          <w:szCs w:val="20"/>
        </w:rPr>
        <w:t>,</w:t>
      </w:r>
    </w:p>
    <w:p w14:paraId="55EB15F2" w14:textId="77777777" w:rsidR="00DD2441" w:rsidRPr="00A84BD4" w:rsidRDefault="00DD2441" w:rsidP="00DD2441">
      <w:pPr>
        <w:rPr>
          <w:rFonts w:eastAsiaTheme="minorEastAsia"/>
          <w:sz w:val="20"/>
          <w:szCs w:val="20"/>
        </w:rPr>
      </w:pPr>
      <m:oMathPara>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+2∙</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0.79</m:t>
              </m:r>
            </m:num>
            <m:den>
              <m:r>
                <w:rPr>
                  <w:rFonts w:ascii="Cambria Math" w:hAnsi="Cambria Math"/>
                  <w:sz w:val="20"/>
                  <w:szCs w:val="20"/>
                </w:rPr>
                <m:t>0.21</m:t>
              </m:r>
            </m:den>
          </m:f>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2</m:t>
              </m:r>
            </m:sub>
          </m:s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O+7.52</m:t>
          </m:r>
          <m:sSub>
            <m:sSubPr>
              <m:ctrlPr>
                <w:rPr>
                  <w:rFonts w:ascii="Cambria Math" w:hAnsi="Cambria Math"/>
                  <w:i/>
                  <w:sz w:val="20"/>
                  <w:szCs w:val="20"/>
                </w:rPr>
              </m:ctrlPr>
            </m:sSubPr>
            <m:e>
              <m:r>
                <w:rPr>
                  <w:rFonts w:ascii="Cambria Math" w:hAnsi="Cambria Math"/>
                  <w:sz w:val="20"/>
                  <w:szCs w:val="20"/>
                </w:rPr>
                <m:t xml:space="preserve"> N</m:t>
              </m:r>
            </m:e>
            <m:sub>
              <m:r>
                <w:rPr>
                  <w:rFonts w:ascii="Cambria Math" w:hAnsi="Cambria Math"/>
                  <w:sz w:val="20"/>
                  <w:szCs w:val="20"/>
                </w:rPr>
                <m:t>2</m:t>
              </m:r>
            </m:sub>
          </m:sSub>
        </m:oMath>
      </m:oMathPara>
    </w:p>
    <w:p w14:paraId="2B063D0C" w14:textId="5F7495D8" w:rsidR="00DD2441" w:rsidRDefault="00DD2441" w:rsidP="00DD7131">
      <w:pPr>
        <w:rPr>
          <w:sz w:val="20"/>
          <w:szCs w:val="20"/>
        </w:rPr>
      </w:pPr>
      <m:oMathPara>
        <m:oMath>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x</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,max</m:t>
              </m:r>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1</m:t>
              </m:r>
            </m:num>
            <m:den>
              <m:r>
                <w:rPr>
                  <w:rFonts w:ascii="Cambria Math" w:hAnsi="Cambria Math"/>
                  <w:sz w:val="20"/>
                  <w:szCs w:val="20"/>
                </w:rPr>
                <m:t>1+7.52</m:t>
              </m:r>
            </m:den>
          </m:f>
          <m:r>
            <w:rPr>
              <w:rFonts w:ascii="Cambria Math" w:eastAsiaTheme="minorEastAsia" w:hAnsi="Cambria Math"/>
              <w:sz w:val="20"/>
              <w:szCs w:val="20"/>
            </w:rPr>
            <m:t>=11.7%</m:t>
          </m:r>
        </m:oMath>
      </m:oMathPara>
    </w:p>
    <w:p w14:paraId="55B2F0A4" w14:textId="5A97DC19" w:rsidR="00C3381C" w:rsidRDefault="00DD2441" w:rsidP="00DD7131">
      <w:pPr>
        <w:rPr>
          <w:sz w:val="20"/>
          <w:szCs w:val="20"/>
        </w:rPr>
      </w:pPr>
      <w:r w:rsidRPr="00DD2441">
        <w:rPr>
          <w:sz w:val="20"/>
          <w:szCs w:val="20"/>
        </w:rPr>
        <w:t>the</w:t>
      </w:r>
      <w:r>
        <w:rPr>
          <w:sz w:val="20"/>
          <w:szCs w:val="20"/>
        </w:rPr>
        <w:t xml:space="preserve"> stoichiometric process emissions are also included due to PSA off-gas combustion.</w:t>
      </w:r>
      <w:r w:rsidR="00A222E2">
        <w:rPr>
          <w:sz w:val="20"/>
          <w:szCs w:val="20"/>
        </w:rPr>
        <w:t xml:space="preserve">This leads to </w:t>
      </w:r>
      <w:r w:rsidR="00A222E2" w:rsidRPr="0029376A">
        <w:rPr>
          <w:b/>
          <w:bCs/>
          <w:sz w:val="20"/>
          <w:szCs w:val="20"/>
        </w:rPr>
        <w:t xml:space="preserve">CO₂ </w:t>
      </w:r>
      <w:r w:rsidR="00A222E2" w:rsidRPr="0029376A">
        <w:rPr>
          <w:b/>
          <w:bCs/>
          <w:sz w:val="20"/>
          <w:szCs w:val="20"/>
        </w:rPr>
        <w:t>concentrations</w:t>
      </w:r>
      <w:r w:rsidR="00A222E2" w:rsidRPr="0029376A">
        <w:rPr>
          <w:b/>
          <w:bCs/>
          <w:sz w:val="20"/>
          <w:szCs w:val="20"/>
        </w:rPr>
        <w:t xml:space="preserve"> </w:t>
      </w:r>
      <w:r w:rsidR="00A222E2">
        <w:rPr>
          <w:sz w:val="20"/>
          <w:szCs w:val="20"/>
        </w:rPr>
        <w:t xml:space="preserve">of e.g. </w:t>
      </w:r>
      <w:r w:rsidR="00A222E2" w:rsidRPr="0029376A">
        <w:rPr>
          <w:b/>
          <w:bCs/>
          <w:sz w:val="20"/>
          <w:szCs w:val="20"/>
        </w:rPr>
        <w:t>21%</w:t>
      </w:r>
      <w:r w:rsidR="00A222E2">
        <w:rPr>
          <w:sz w:val="20"/>
          <w:szCs w:val="20"/>
        </w:rPr>
        <w:t xml:space="preserve"> [11] at</w:t>
      </w:r>
      <w:r w:rsidR="00A26D0E">
        <w:rPr>
          <w:sz w:val="20"/>
          <w:szCs w:val="20"/>
        </w:rPr>
        <w:t xml:space="preserve"> </w:t>
      </w:r>
      <w:r w:rsidR="00A26D0E" w:rsidRPr="00A26D0E">
        <w:rPr>
          <w:b/>
          <w:bCs/>
          <w:sz w:val="20"/>
          <w:szCs w:val="20"/>
        </w:rPr>
        <w:t>atmospheric pressure</w:t>
      </w:r>
      <w:r w:rsidR="00D12643">
        <w:rPr>
          <w:sz w:val="20"/>
          <w:szCs w:val="20"/>
        </w:rPr>
        <w:t xml:space="preserve"> (post-combustion capture)</w:t>
      </w:r>
      <w:r w:rsidR="00C3381C">
        <w:rPr>
          <w:sz w:val="20"/>
          <w:szCs w:val="20"/>
        </w:rPr>
        <w:t>:</w:t>
      </w:r>
    </w:p>
    <w:p w14:paraId="530FD0E1" w14:textId="0D02B913" w:rsidR="00E73259" w:rsidRDefault="006B63ED" w:rsidP="00DD7131">
      <w:pPr>
        <w:rPr>
          <w:sz w:val="20"/>
          <w:szCs w:val="20"/>
        </w:rPr>
      </w:pPr>
      <w:r>
        <w:rPr>
          <w:sz w:val="20"/>
          <w:szCs w:val="20"/>
        </w:rPr>
        <w:t>From the associated CO</w:t>
      </w:r>
      <w:r w:rsidRPr="006B63ED">
        <w:rPr>
          <w:sz w:val="20"/>
          <w:szCs w:val="20"/>
          <w:vertAlign w:val="subscript"/>
        </w:rPr>
        <w:t>2</w:t>
      </w:r>
      <w:r>
        <w:rPr>
          <w:sz w:val="20"/>
          <w:szCs w:val="20"/>
        </w:rPr>
        <w:t xml:space="preserve"> partial pressures</w:t>
      </w:r>
      <w:r w:rsidR="00DD7131" w:rsidRPr="00DD7131">
        <w:rPr>
          <w:sz w:val="20"/>
          <w:szCs w:val="20"/>
        </w:rPr>
        <w:t xml:space="preserve"> follows that </w:t>
      </w:r>
      <w:r w:rsidR="00DD7131" w:rsidRPr="00964CCC">
        <w:rPr>
          <w:b/>
          <w:bCs/>
          <w:sz w:val="20"/>
          <w:szCs w:val="20"/>
        </w:rPr>
        <w:t>carbon capture integrated into the eSMR</w:t>
      </w:r>
      <w:r w:rsidR="00DD7131" w:rsidRPr="00DD7131">
        <w:rPr>
          <w:sz w:val="20"/>
          <w:szCs w:val="20"/>
        </w:rPr>
        <w:t xml:space="preserve"> concept is associated with </w:t>
      </w:r>
      <w:r w:rsidR="008559F9" w:rsidRPr="00964CCC">
        <w:rPr>
          <w:b/>
          <w:bCs/>
          <w:sz w:val="20"/>
          <w:szCs w:val="20"/>
        </w:rPr>
        <w:t>lower</w:t>
      </w:r>
      <w:r w:rsidR="00E73259">
        <w:rPr>
          <w:b/>
          <w:bCs/>
          <w:sz w:val="20"/>
          <w:szCs w:val="20"/>
        </w:rPr>
        <w:t xml:space="preserve"> energetic</w:t>
      </w:r>
      <w:r w:rsidR="00DD7131" w:rsidRPr="00964CCC">
        <w:rPr>
          <w:b/>
          <w:bCs/>
          <w:sz w:val="20"/>
          <w:szCs w:val="20"/>
        </w:rPr>
        <w:t xml:space="preserve"> effort and </w:t>
      </w:r>
      <w:r w:rsidR="00B5363C" w:rsidRPr="00964CCC">
        <w:rPr>
          <w:b/>
          <w:bCs/>
          <w:sz w:val="20"/>
          <w:szCs w:val="20"/>
        </w:rPr>
        <w:t xml:space="preserve">thus </w:t>
      </w:r>
      <w:r w:rsidR="00DD7131" w:rsidRPr="00964CCC">
        <w:rPr>
          <w:b/>
          <w:bCs/>
          <w:sz w:val="20"/>
          <w:szCs w:val="20"/>
        </w:rPr>
        <w:t>cost</w:t>
      </w:r>
      <w:r w:rsidR="00DD7131" w:rsidRPr="00DD7131">
        <w:rPr>
          <w:sz w:val="20"/>
          <w:szCs w:val="20"/>
        </w:rPr>
        <w:t xml:space="preserve"> </w:t>
      </w:r>
      <w:r w:rsidR="008559F9">
        <w:rPr>
          <w:sz w:val="20"/>
          <w:szCs w:val="20"/>
        </w:rPr>
        <w:t>than</w:t>
      </w:r>
      <w:r w:rsidR="00DD7131" w:rsidRPr="00DD7131">
        <w:rPr>
          <w:sz w:val="20"/>
          <w:szCs w:val="20"/>
        </w:rPr>
        <w:t xml:space="preserve"> flue gas carbon capture</w:t>
      </w:r>
      <w:r w:rsidR="00A43055">
        <w:rPr>
          <w:sz w:val="20"/>
          <w:szCs w:val="20"/>
        </w:rPr>
        <w:t xml:space="preserve">. </w:t>
      </w:r>
      <w:r w:rsidR="00E73259">
        <w:rPr>
          <w:sz w:val="20"/>
          <w:szCs w:val="20"/>
        </w:rPr>
        <w:t>P</w:t>
      </w:r>
      <w:r w:rsidR="00E73259" w:rsidRPr="00E73259">
        <w:rPr>
          <w:sz w:val="20"/>
          <w:szCs w:val="20"/>
        </w:rPr>
        <w:t>rimarily due to the reduced absolute quantity of CO₂ requiring separation, but also owing to enhanced absorption efficiency at higher partial pressures.</w:t>
      </w:r>
    </w:p>
    <w:p w14:paraId="3798AFE5" w14:textId="7DFB1A6E" w:rsidR="00E73259" w:rsidRDefault="00E73259" w:rsidP="00DD7131">
      <w:pPr>
        <w:rPr>
          <w:sz w:val="20"/>
          <w:szCs w:val="20"/>
        </w:rPr>
      </w:pPr>
      <w:r w:rsidRPr="00E73259">
        <w:rPr>
          <w:sz w:val="20"/>
          <w:szCs w:val="20"/>
        </w:rPr>
        <w:t>Based on the energy balance derived from a techno-economic evaluation of post- and pre-combustion CO₂ capture</w:t>
      </w:r>
      <w:r>
        <w:rPr>
          <w:sz w:val="20"/>
          <w:szCs w:val="20"/>
        </w:rPr>
        <w:t xml:space="preserve"> [11]</w:t>
      </w:r>
      <w:r w:rsidRPr="00E73259">
        <w:rPr>
          <w:sz w:val="20"/>
          <w:szCs w:val="20"/>
        </w:rPr>
        <w:t xml:space="preserve">, it can be concluded that the higher costs associated with post-combustion capture </w:t>
      </w:r>
      <w:r w:rsidRPr="00E73259">
        <w:rPr>
          <w:b/>
          <w:bCs/>
          <w:sz w:val="20"/>
          <w:szCs w:val="20"/>
        </w:rPr>
        <w:t>narrow the cost gap by 11%</w:t>
      </w:r>
      <w:r w:rsidRPr="00E73259">
        <w:rPr>
          <w:sz w:val="20"/>
          <w:szCs w:val="20"/>
        </w:rPr>
        <w:t xml:space="preserve"> (see Appendix</w:t>
      </w:r>
      <w:r w:rsidR="005A268B">
        <w:rPr>
          <w:sz w:val="20"/>
          <w:szCs w:val="20"/>
        </w:rPr>
        <w:t xml:space="preserve"> 1</w:t>
      </w:r>
      <w:r w:rsidRPr="00E73259">
        <w:rPr>
          <w:sz w:val="20"/>
          <w:szCs w:val="20"/>
        </w:rPr>
        <w:t>).</w:t>
      </w:r>
      <w:r>
        <w:rPr>
          <w:sz w:val="20"/>
          <w:szCs w:val="20"/>
        </w:rPr>
        <w:t xml:space="preserve"> </w:t>
      </w:r>
      <w:r w:rsidRPr="00E73259">
        <w:rPr>
          <w:sz w:val="20"/>
          <w:szCs w:val="20"/>
        </w:rPr>
        <w:t xml:space="preserve">As the evaluated pre-combustion case operates at 25 bar </w:t>
      </w:r>
      <w:r>
        <w:rPr>
          <w:sz w:val="20"/>
          <w:szCs w:val="20"/>
        </w:rPr>
        <w:t xml:space="preserve">– </w:t>
      </w:r>
      <w:r w:rsidRPr="00E73259">
        <w:rPr>
          <w:sz w:val="20"/>
          <w:szCs w:val="20"/>
        </w:rPr>
        <w:t>below</w:t>
      </w:r>
      <w:r>
        <w:rPr>
          <w:sz w:val="20"/>
          <w:szCs w:val="20"/>
        </w:rPr>
        <w:t xml:space="preserve"> </w:t>
      </w:r>
      <w:r w:rsidRPr="00E73259">
        <w:rPr>
          <w:sz w:val="20"/>
          <w:szCs w:val="20"/>
        </w:rPr>
        <w:t xml:space="preserve">the feasible pressure range of the OCMC concept </w:t>
      </w:r>
      <w:r>
        <w:rPr>
          <w:sz w:val="20"/>
          <w:szCs w:val="20"/>
        </w:rPr>
        <w:t>–</w:t>
      </w:r>
      <w:r w:rsidRPr="00E73259">
        <w:rPr>
          <w:sz w:val="20"/>
          <w:szCs w:val="20"/>
        </w:rPr>
        <w:t xml:space="preserve"> its thermodynamic efficiency is reduced</w:t>
      </w:r>
      <w:r>
        <w:rPr>
          <w:sz w:val="20"/>
          <w:szCs w:val="20"/>
        </w:rPr>
        <w:t>, but e</w:t>
      </w:r>
      <w:r w:rsidRPr="00E73259">
        <w:rPr>
          <w:sz w:val="20"/>
          <w:szCs w:val="20"/>
        </w:rPr>
        <w:t>ven under the idealized borderline case</w:t>
      </w:r>
      <w:r>
        <w:rPr>
          <w:sz w:val="20"/>
          <w:szCs w:val="20"/>
        </w:rPr>
        <w:t xml:space="preserve"> (pre-combustion capturing costs of 0)</w:t>
      </w:r>
      <w:r w:rsidRPr="00E73259">
        <w:rPr>
          <w:sz w:val="20"/>
          <w:szCs w:val="20"/>
        </w:rPr>
        <w:t xml:space="preserve">, the resulting </w:t>
      </w:r>
      <w:r w:rsidR="00845AAC">
        <w:rPr>
          <w:sz w:val="20"/>
          <w:szCs w:val="20"/>
        </w:rPr>
        <w:t>25</w:t>
      </w:r>
      <w:r w:rsidRPr="00E73259">
        <w:rPr>
          <w:sz w:val="20"/>
          <w:szCs w:val="20"/>
        </w:rPr>
        <w:t>% differential remains insufficient to close the gap between electricity and natural gas costs.</w:t>
      </w:r>
    </w:p>
    <w:p w14:paraId="00B65107" w14:textId="77777777" w:rsidR="008D199F" w:rsidRDefault="008D199F" w:rsidP="00DD7131">
      <w:pPr>
        <w:rPr>
          <w:sz w:val="20"/>
          <w:szCs w:val="20"/>
        </w:rPr>
      </w:pPr>
    </w:p>
    <w:p w14:paraId="055DF3F5" w14:textId="15C7D6FA" w:rsidR="00AF7FF7" w:rsidRDefault="00AF7FF7" w:rsidP="00DD7131">
      <w:pPr>
        <w:rPr>
          <w:sz w:val="20"/>
          <w:szCs w:val="20"/>
        </w:rPr>
      </w:pPr>
      <w:r w:rsidRPr="00AF7FF7">
        <w:rPr>
          <w:sz w:val="20"/>
          <w:szCs w:val="20"/>
        </w:rPr>
        <w:t xml:space="preserve">The CO₂ loading capacity of chemical and physical absorption solvents intersects at approximately 10 bar CO₂ partial pressure </w:t>
      </w:r>
      <w:r>
        <w:rPr>
          <w:sz w:val="20"/>
          <w:szCs w:val="20"/>
        </w:rPr>
        <w:t>–</w:t>
      </w:r>
      <w:r w:rsidRPr="00AF7FF7">
        <w:rPr>
          <w:sz w:val="20"/>
          <w:szCs w:val="20"/>
        </w:rPr>
        <w:t xml:space="preserve"> the primary thermodynamic driver for capture efficiency. Below this threshold, chemical absorption is generally preferred, while physical absorption becomes more favorable at system pressures above ~50 bar. Only beyond this threshold do differing capture methods warrant consideration in a techno-economic comparison.</w:t>
      </w:r>
    </w:p>
    <w:p w14:paraId="16BD92EA" w14:textId="77777777" w:rsidR="004D7172" w:rsidRDefault="004D7172" w:rsidP="00DD7131">
      <w:pPr>
        <w:rPr>
          <w:sz w:val="20"/>
          <w:szCs w:val="20"/>
        </w:rPr>
      </w:pPr>
    </w:p>
    <w:p w14:paraId="39A17B69" w14:textId="77777777" w:rsidR="00AF7FF7" w:rsidRDefault="00AF7FF7" w:rsidP="00DD7131">
      <w:pPr>
        <w:rPr>
          <w:sz w:val="20"/>
          <w:szCs w:val="20"/>
        </w:rPr>
      </w:pPr>
    </w:p>
    <w:p w14:paraId="2B25C861" w14:textId="1A660418" w:rsidR="00A81026" w:rsidRDefault="00D12643" w:rsidP="003F0FCF">
      <w:pPr>
        <w:rPr>
          <w:sz w:val="20"/>
          <w:szCs w:val="20"/>
        </w:rPr>
      </w:pPr>
      <w:r>
        <w:rPr>
          <w:sz w:val="20"/>
          <w:szCs w:val="20"/>
        </w:rPr>
        <w:t xml:space="preserve">Another CCS-related separation technology is </w:t>
      </w:r>
      <w:r>
        <w:rPr>
          <w:b/>
          <w:bCs/>
          <w:sz w:val="20"/>
          <w:szCs w:val="20"/>
        </w:rPr>
        <w:t>o</w:t>
      </w:r>
      <w:r w:rsidR="00701B02" w:rsidRPr="00701B02">
        <w:rPr>
          <w:b/>
          <w:bCs/>
          <w:sz w:val="20"/>
          <w:szCs w:val="20"/>
        </w:rPr>
        <w:t>xyfuel combustio</w:t>
      </w:r>
      <w:r w:rsidR="00BD27B7">
        <w:rPr>
          <w:b/>
          <w:bCs/>
          <w:sz w:val="20"/>
          <w:szCs w:val="20"/>
        </w:rPr>
        <w:t xml:space="preserve">n </w:t>
      </w:r>
      <w:r w:rsidR="00BD27B7" w:rsidRPr="00BF3CD6">
        <w:rPr>
          <w:sz w:val="20"/>
          <w:szCs w:val="20"/>
        </w:rPr>
        <w:t>[Ullmann’s Carbon Dioxide, S.27</w:t>
      </w:r>
      <w:r w:rsidR="00BD27B7">
        <w:rPr>
          <w:sz w:val="20"/>
          <w:szCs w:val="20"/>
        </w:rPr>
        <w:t>]</w:t>
      </w:r>
      <w:r w:rsidR="00BD27B7">
        <w:rPr>
          <w:b/>
          <w:bCs/>
          <w:sz w:val="20"/>
          <w:szCs w:val="20"/>
        </w:rPr>
        <w:t xml:space="preserve">, </w:t>
      </w:r>
      <w:r w:rsidR="00BD27B7" w:rsidRPr="00BD27B7">
        <w:rPr>
          <w:sz w:val="20"/>
          <w:szCs w:val="20"/>
        </w:rPr>
        <w:t>which shows better efficiency than post- and pre-combustion at high capture rates</w:t>
      </w:r>
      <w:r w:rsidR="00BD27B7">
        <w:rPr>
          <w:sz w:val="20"/>
          <w:szCs w:val="20"/>
        </w:rPr>
        <w:t xml:space="preserve"> (&gt;92%)</w:t>
      </w:r>
      <w:r w:rsidR="002A1605">
        <w:rPr>
          <w:sz w:val="20"/>
          <w:szCs w:val="20"/>
        </w:rPr>
        <w:t xml:space="preserve"> </w:t>
      </w:r>
      <w:r w:rsidR="007A0E20" w:rsidRPr="00A01C16">
        <w:rPr>
          <w:color w:val="00B0F0"/>
          <w:sz w:val="20"/>
          <w:szCs w:val="20"/>
        </w:rPr>
        <w:t>[https://doi.org/10.1016/j.jece.2021.105777</w:t>
      </w:r>
      <w:r w:rsidR="00FD6E78" w:rsidRPr="00A01C16">
        <w:rPr>
          <w:color w:val="00B0F0"/>
          <w:sz w:val="20"/>
          <w:szCs w:val="20"/>
        </w:rPr>
        <w:t xml:space="preserve">; </w:t>
      </w:r>
      <w:r w:rsidR="00FD6E78" w:rsidRPr="00A01C16">
        <w:rPr>
          <w:color w:val="00B0F0"/>
          <w:sz w:val="20"/>
          <w:szCs w:val="20"/>
        </w:rPr>
        <w:t>https://doi.org/10.1021/acsomega.3c05034</w:t>
      </w:r>
      <w:r w:rsidR="007A0E20" w:rsidRPr="00A01C16">
        <w:rPr>
          <w:color w:val="00B0F0"/>
          <w:sz w:val="20"/>
          <w:szCs w:val="20"/>
        </w:rPr>
        <w:t>]</w:t>
      </w:r>
      <w:r w:rsidR="00BD27B7" w:rsidRPr="00BD27B7">
        <w:rPr>
          <w:sz w:val="20"/>
          <w:szCs w:val="20"/>
        </w:rPr>
        <w:t>.</w:t>
      </w:r>
      <w:r w:rsidR="00BD27B7">
        <w:rPr>
          <w:b/>
          <w:bCs/>
          <w:sz w:val="20"/>
          <w:szCs w:val="20"/>
        </w:rPr>
        <w:t xml:space="preserve"> </w:t>
      </w:r>
      <w:r w:rsidR="002A1605">
        <w:rPr>
          <w:b/>
          <w:bCs/>
          <w:sz w:val="20"/>
          <w:szCs w:val="20"/>
        </w:rPr>
        <w:t>This technology</w:t>
      </w:r>
      <w:r w:rsidR="00701B02" w:rsidRPr="00BF3CD6">
        <w:rPr>
          <w:sz w:val="20"/>
          <w:szCs w:val="20"/>
        </w:rPr>
        <w:t>,</w:t>
      </w:r>
      <w:r w:rsidR="00701B02">
        <w:rPr>
          <w:sz w:val="20"/>
          <w:szCs w:val="20"/>
        </w:rPr>
        <w:t xml:space="preserve"> by contrast,</w:t>
      </w:r>
      <w:r w:rsidR="00701B02" w:rsidRPr="00701B02">
        <w:rPr>
          <w:sz w:val="20"/>
          <w:szCs w:val="20"/>
        </w:rPr>
        <w:t xml:space="preserve"> yields a nearly </w:t>
      </w:r>
      <w:r w:rsidR="00701B02" w:rsidRPr="00701B02">
        <w:rPr>
          <w:b/>
          <w:bCs/>
          <w:sz w:val="20"/>
          <w:szCs w:val="20"/>
        </w:rPr>
        <w:t>pure CO₂ flue gas</w:t>
      </w:r>
      <w:r w:rsidR="007A0E20">
        <w:rPr>
          <w:b/>
          <w:bCs/>
          <w:sz w:val="20"/>
          <w:szCs w:val="20"/>
        </w:rPr>
        <w:t xml:space="preserve"> </w:t>
      </w:r>
      <w:r w:rsidR="00701B02" w:rsidRPr="00701B02">
        <w:rPr>
          <w:sz w:val="20"/>
          <w:szCs w:val="20"/>
        </w:rPr>
        <w:t>with minimal separation effort</w:t>
      </w:r>
      <w:r w:rsidR="008F30BA">
        <w:rPr>
          <w:sz w:val="20"/>
          <w:szCs w:val="20"/>
        </w:rPr>
        <w:t xml:space="preserve">, </w:t>
      </w:r>
      <w:r w:rsidR="00701B02" w:rsidRPr="00701B02">
        <w:rPr>
          <w:sz w:val="20"/>
          <w:szCs w:val="20"/>
        </w:rPr>
        <w:t>but</w:t>
      </w:r>
      <w:r w:rsidR="007A0E20">
        <w:rPr>
          <w:sz w:val="20"/>
          <w:szCs w:val="20"/>
        </w:rPr>
        <w:t xml:space="preserve"> </w:t>
      </w:r>
      <w:r w:rsidR="00701B02" w:rsidRPr="00701B02">
        <w:rPr>
          <w:sz w:val="20"/>
          <w:szCs w:val="20"/>
        </w:rPr>
        <w:t>has not reached commercial maturity</w:t>
      </w:r>
      <w:r w:rsidR="008F30BA">
        <w:rPr>
          <w:sz w:val="20"/>
          <w:szCs w:val="20"/>
        </w:rPr>
        <w:t xml:space="preserve"> due to </w:t>
      </w:r>
      <w:r w:rsidR="008F30BA" w:rsidRPr="008F30BA">
        <w:rPr>
          <w:sz w:val="20"/>
          <w:szCs w:val="20"/>
        </w:rPr>
        <w:t>unfavorable economic</w:t>
      </w:r>
      <w:r w:rsidR="008F30BA">
        <w:rPr>
          <w:sz w:val="20"/>
          <w:szCs w:val="20"/>
        </w:rPr>
        <w:t>s</w:t>
      </w:r>
      <w:r w:rsidR="003F0FCF">
        <w:rPr>
          <w:sz w:val="20"/>
          <w:szCs w:val="20"/>
        </w:rPr>
        <w:t xml:space="preserve">; mainly because of additional air separation unit (ASU) and compression and purification unit (CPU) </w:t>
      </w:r>
      <w:r w:rsidR="003F0FCF" w:rsidRPr="00A01C16">
        <w:rPr>
          <w:color w:val="00B0F0"/>
          <w:sz w:val="20"/>
          <w:szCs w:val="20"/>
        </w:rPr>
        <w:t>[</w:t>
      </w:r>
      <w:r w:rsidR="003F0FCF" w:rsidRPr="00A01C16">
        <w:rPr>
          <w:color w:val="00B0F0"/>
          <w:sz w:val="20"/>
          <w:szCs w:val="20"/>
        </w:rPr>
        <w:t>https://doi.org/10.1016/j.fuel.2021.122057</w:t>
      </w:r>
      <w:r w:rsidR="003F0FCF" w:rsidRPr="00A01C16">
        <w:rPr>
          <w:color w:val="00B0F0"/>
          <w:sz w:val="20"/>
          <w:szCs w:val="20"/>
        </w:rPr>
        <w:t>]</w:t>
      </w:r>
      <w:r w:rsidR="007A0E20">
        <w:rPr>
          <w:sz w:val="20"/>
          <w:szCs w:val="20"/>
        </w:rPr>
        <w:t>.</w:t>
      </w:r>
    </w:p>
    <w:p w14:paraId="7F9435A5" w14:textId="54CA580B" w:rsidR="002C1EBF" w:rsidRDefault="002C1EBF" w:rsidP="003F0FCF">
      <w:pPr>
        <w:rPr>
          <w:sz w:val="20"/>
          <w:szCs w:val="20"/>
        </w:rPr>
      </w:pPr>
      <w:r w:rsidRPr="002C1EBF">
        <w:rPr>
          <w:sz w:val="20"/>
          <w:szCs w:val="20"/>
        </w:rPr>
        <w:t xml:space="preserve">In retrofit-oriented low-temperature designs, the diluent N₂ of combustion air is replaced by recycled CO₂-rich flue gas, maintaining peak flame temperatures comparable to conventional air-fired operation. High-temperature designs, by contrast, operate without flue gas recirculation, resulting in adiabatic flame temperatures </w:t>
      </w:r>
      <w:r w:rsidRPr="00265587">
        <w:rPr>
          <w:b/>
          <w:bCs/>
          <w:sz w:val="20"/>
          <w:szCs w:val="20"/>
        </w:rPr>
        <w:t>exceeding 2,700 °C</w:t>
      </w:r>
      <w:r w:rsidR="00265587">
        <w:rPr>
          <w:sz w:val="20"/>
          <w:szCs w:val="20"/>
        </w:rPr>
        <w:t xml:space="preserve"> </w:t>
      </w:r>
      <w:r w:rsidR="00265587" w:rsidRPr="00A01C16">
        <w:rPr>
          <w:color w:val="00B0F0"/>
          <w:sz w:val="20"/>
          <w:szCs w:val="20"/>
        </w:rPr>
        <w:t>[https://papers.ssrn.com/sol3/papers.cfm?abstract_id=4547389]</w:t>
      </w:r>
      <w:r w:rsidR="00265587" w:rsidRPr="00A01C16">
        <w:rPr>
          <w:color w:val="00B0F0"/>
          <w:sz w:val="20"/>
          <w:szCs w:val="20"/>
        </w:rPr>
        <w:t xml:space="preserve"> </w:t>
      </w:r>
      <w:r>
        <w:rPr>
          <w:sz w:val="20"/>
          <w:szCs w:val="20"/>
        </w:rPr>
        <w:t xml:space="preserve">– </w:t>
      </w:r>
      <w:r w:rsidRPr="002C1EBF">
        <w:rPr>
          <w:sz w:val="20"/>
          <w:szCs w:val="20"/>
        </w:rPr>
        <w:t>an</w:t>
      </w:r>
      <w:r>
        <w:rPr>
          <w:sz w:val="20"/>
          <w:szCs w:val="20"/>
        </w:rPr>
        <w:t xml:space="preserve"> </w:t>
      </w:r>
      <w:r w:rsidRPr="002C1EBF">
        <w:rPr>
          <w:sz w:val="20"/>
          <w:szCs w:val="20"/>
        </w:rPr>
        <w:t xml:space="preserve">increase of approximately 800 K </w:t>
      </w:r>
      <w:r>
        <w:rPr>
          <w:sz w:val="20"/>
          <w:szCs w:val="20"/>
        </w:rPr>
        <w:t>–</w:t>
      </w:r>
      <w:r w:rsidRPr="002C1EBF">
        <w:rPr>
          <w:sz w:val="20"/>
          <w:szCs w:val="20"/>
        </w:rPr>
        <w:t xml:space="preserve"> which surpasses the material tolerance of the OCMC reactor concept. Moreover, this approach </w:t>
      </w:r>
      <w:r>
        <w:rPr>
          <w:sz w:val="20"/>
          <w:szCs w:val="20"/>
        </w:rPr>
        <w:t xml:space="preserve">does </w:t>
      </w:r>
      <w:r w:rsidRPr="00265587">
        <w:rPr>
          <w:b/>
          <w:bCs/>
          <w:sz w:val="20"/>
          <w:szCs w:val="20"/>
        </w:rPr>
        <w:t>not leverage</w:t>
      </w:r>
      <w:r w:rsidRPr="002C1EBF">
        <w:rPr>
          <w:sz w:val="20"/>
          <w:szCs w:val="20"/>
        </w:rPr>
        <w:t xml:space="preserve"> the </w:t>
      </w:r>
      <w:r>
        <w:rPr>
          <w:sz w:val="20"/>
          <w:szCs w:val="20"/>
        </w:rPr>
        <w:t>innovative</w:t>
      </w:r>
      <w:r w:rsidRPr="002C1EBF">
        <w:rPr>
          <w:sz w:val="20"/>
          <w:szCs w:val="20"/>
        </w:rPr>
        <w:t xml:space="preserve"> feature of the OCMC design, namely the </w:t>
      </w:r>
      <w:r w:rsidRPr="00265587">
        <w:rPr>
          <w:b/>
          <w:bCs/>
          <w:sz w:val="20"/>
          <w:szCs w:val="20"/>
        </w:rPr>
        <w:t>electrical energy input</w:t>
      </w:r>
      <w:r w:rsidR="00265587">
        <w:rPr>
          <w:sz w:val="20"/>
          <w:szCs w:val="20"/>
        </w:rPr>
        <w:t>. For those reasons</w:t>
      </w:r>
      <w:r w:rsidR="00265587" w:rsidRPr="00265587">
        <w:rPr>
          <w:sz w:val="20"/>
          <w:szCs w:val="20"/>
        </w:rPr>
        <w:t>, oxy-fuel combustion is not considered for further investigation as a use case</w:t>
      </w:r>
      <w:r w:rsidR="00265587">
        <w:rPr>
          <w:sz w:val="20"/>
          <w:szCs w:val="20"/>
        </w:rPr>
        <w:t>.</w:t>
      </w:r>
    </w:p>
    <w:p w14:paraId="1BF2DF5A" w14:textId="77777777" w:rsidR="00EA0F76" w:rsidRDefault="00EA0F76" w:rsidP="00DD7131">
      <w:pPr>
        <w:rPr>
          <w:sz w:val="20"/>
          <w:szCs w:val="20"/>
        </w:rPr>
      </w:pPr>
    </w:p>
    <w:p w14:paraId="7B3DFF68" w14:textId="77777777" w:rsidR="00764BCF" w:rsidRDefault="00764BCF" w:rsidP="00DD7131">
      <w:pPr>
        <w:rPr>
          <w:sz w:val="20"/>
          <w:szCs w:val="20"/>
        </w:rPr>
      </w:pPr>
    </w:p>
    <w:p w14:paraId="13BC562F" w14:textId="51FEB687" w:rsidR="00C80016" w:rsidRDefault="00C80016" w:rsidP="00DD7131">
      <w:pPr>
        <w:rPr>
          <w:b/>
          <w:bCs/>
          <w:i/>
          <w:iCs/>
          <w:sz w:val="20"/>
          <w:szCs w:val="20"/>
        </w:rPr>
      </w:pPr>
      <w:r w:rsidRPr="00C80016">
        <w:rPr>
          <w:b/>
          <w:bCs/>
          <w:i/>
          <w:iCs/>
          <w:sz w:val="20"/>
          <w:szCs w:val="20"/>
        </w:rPr>
        <w:t xml:space="preserve">Pressure as a Design Parameter: </w:t>
      </w:r>
      <w:r>
        <w:rPr>
          <w:b/>
          <w:bCs/>
          <w:i/>
          <w:iCs/>
          <w:sz w:val="20"/>
          <w:szCs w:val="20"/>
        </w:rPr>
        <w:t xml:space="preserve">Compression Penalty of </w:t>
      </w:r>
      <w:r w:rsidRPr="00C80016">
        <w:rPr>
          <w:b/>
          <w:bCs/>
          <w:i/>
          <w:iCs/>
          <w:sz w:val="20"/>
          <w:szCs w:val="20"/>
        </w:rPr>
        <w:t>Conventional SMR vs. Pressure-Independent eSMR</w:t>
      </w:r>
    </w:p>
    <w:p w14:paraId="774F2369" w14:textId="343FEEE3" w:rsidR="00261821" w:rsidRDefault="00A01C16" w:rsidP="00DD7131">
      <w:pPr>
        <w:rPr>
          <w:color w:val="EE0000"/>
          <w:sz w:val="20"/>
          <w:szCs w:val="20"/>
        </w:rPr>
      </w:pPr>
      <w:r w:rsidRPr="00A01C16">
        <w:rPr>
          <w:sz w:val="20"/>
          <w:szCs w:val="20"/>
        </w:rPr>
        <w:t>Conventional SMR operates at 3</w:t>
      </w:r>
      <w:r w:rsidR="00D856FE">
        <w:rPr>
          <w:sz w:val="20"/>
          <w:szCs w:val="20"/>
        </w:rPr>
        <w:t>-3.5 MPa</w:t>
      </w:r>
      <w:r w:rsidR="00203CE5" w:rsidRPr="00203CE5">
        <w:rPr>
          <w:sz w:val="20"/>
          <w:szCs w:val="20"/>
        </w:rPr>
        <w:t xml:space="preserve"> </w:t>
      </w:r>
      <w:r w:rsidR="00203CE5">
        <w:rPr>
          <w:sz w:val="20"/>
          <w:szCs w:val="20"/>
        </w:rPr>
        <w:t>and</w:t>
      </w:r>
      <w:r w:rsidR="00203CE5" w:rsidRPr="00A01C16">
        <w:rPr>
          <w:sz w:val="20"/>
          <w:szCs w:val="20"/>
        </w:rPr>
        <w:t xml:space="preserve"> typical operating temperatures of 850</w:t>
      </w:r>
      <w:r w:rsidR="00203CE5">
        <w:rPr>
          <w:sz w:val="20"/>
          <w:szCs w:val="20"/>
        </w:rPr>
        <w:t>-</w:t>
      </w:r>
      <w:r w:rsidR="00203CE5" w:rsidRPr="00A01C16">
        <w:rPr>
          <w:sz w:val="20"/>
          <w:szCs w:val="20"/>
        </w:rPr>
        <w:t>9</w:t>
      </w:r>
      <w:r w:rsidR="00203CE5">
        <w:rPr>
          <w:sz w:val="20"/>
          <w:szCs w:val="20"/>
        </w:rPr>
        <w:t>0</w:t>
      </w:r>
      <w:r w:rsidR="00203CE5" w:rsidRPr="00A01C16">
        <w:rPr>
          <w:sz w:val="20"/>
          <w:szCs w:val="20"/>
        </w:rPr>
        <w:t>0 °C</w:t>
      </w:r>
      <w:r w:rsidR="00203CE5">
        <w:rPr>
          <w:sz w:val="20"/>
          <w:szCs w:val="20"/>
        </w:rPr>
        <w:t xml:space="preserve"> </w:t>
      </w:r>
      <w:r w:rsidR="00203CE5" w:rsidRPr="00D856FE">
        <w:rPr>
          <w:color w:val="00B0F0"/>
          <w:sz w:val="20"/>
          <w:szCs w:val="20"/>
        </w:rPr>
        <w:t>[http://dx.doi.org/10.1016/B978-0-08-100116-5.00004-1]</w:t>
      </w:r>
      <w:r w:rsidRPr="00A01C16">
        <w:rPr>
          <w:sz w:val="20"/>
          <w:szCs w:val="20"/>
        </w:rPr>
        <w:t xml:space="preserve">, with </w:t>
      </w:r>
      <w:r w:rsidR="00261821" w:rsidRPr="00261821">
        <w:rPr>
          <w:sz w:val="20"/>
          <w:szCs w:val="20"/>
        </w:rPr>
        <w:t xml:space="preserve">current materials being pushed close to their design limits </w:t>
      </w:r>
      <w:r w:rsidR="00261821">
        <w:rPr>
          <w:sz w:val="20"/>
          <w:szCs w:val="20"/>
        </w:rPr>
        <w:t xml:space="preserve">at </w:t>
      </w:r>
      <w:r w:rsidR="00D856FE">
        <w:rPr>
          <w:sz w:val="20"/>
          <w:szCs w:val="20"/>
        </w:rPr>
        <w:t>4 M</w:t>
      </w:r>
      <w:r w:rsidR="00203CE5">
        <w:rPr>
          <w:sz w:val="20"/>
          <w:szCs w:val="20"/>
        </w:rPr>
        <w:t>P</w:t>
      </w:r>
      <w:r w:rsidR="00D856FE">
        <w:rPr>
          <w:sz w:val="20"/>
          <w:szCs w:val="20"/>
        </w:rPr>
        <w:t>a</w:t>
      </w:r>
      <w:r w:rsidR="006E3370">
        <w:rPr>
          <w:sz w:val="20"/>
          <w:szCs w:val="20"/>
        </w:rPr>
        <w:t xml:space="preserve"> </w:t>
      </w:r>
      <w:r w:rsidR="006E3370" w:rsidRPr="006E3370">
        <w:rPr>
          <w:color w:val="00B0F0"/>
          <w:sz w:val="20"/>
          <w:szCs w:val="20"/>
        </w:rPr>
        <w:t>[</w:t>
      </w:r>
      <w:r w:rsidR="005D5E58">
        <w:rPr>
          <w:color w:val="00B0F0"/>
          <w:sz w:val="20"/>
          <w:szCs w:val="20"/>
        </w:rPr>
        <w:t>12</w:t>
      </w:r>
      <w:r w:rsidR="006E3370" w:rsidRPr="006E3370">
        <w:rPr>
          <w:color w:val="00B0F0"/>
          <w:sz w:val="20"/>
          <w:szCs w:val="20"/>
        </w:rPr>
        <w:t>]</w:t>
      </w:r>
      <w:r w:rsidR="006E3370">
        <w:rPr>
          <w:sz w:val="20"/>
          <w:szCs w:val="20"/>
        </w:rPr>
        <w:t xml:space="preserve">. </w:t>
      </w:r>
      <w:r w:rsidRPr="00A01C16">
        <w:rPr>
          <w:sz w:val="20"/>
          <w:szCs w:val="20"/>
        </w:rPr>
        <w:t>Operating at the natural gas supply pressure</w:t>
      </w:r>
      <w:r w:rsidR="00D856FE">
        <w:rPr>
          <w:sz w:val="20"/>
          <w:szCs w:val="20"/>
        </w:rPr>
        <w:t>s &gt;4</w:t>
      </w:r>
      <w:r w:rsidRPr="00A01C16">
        <w:rPr>
          <w:sz w:val="20"/>
          <w:szCs w:val="20"/>
        </w:rPr>
        <w:t xml:space="preserve"> </w:t>
      </w:r>
      <w:r w:rsidR="00D856FE">
        <w:rPr>
          <w:sz w:val="20"/>
          <w:szCs w:val="20"/>
        </w:rPr>
        <w:t>MPa</w:t>
      </w:r>
      <w:r w:rsidRPr="00A01C16">
        <w:rPr>
          <w:sz w:val="20"/>
          <w:szCs w:val="20"/>
        </w:rPr>
        <w:t xml:space="preserve"> is not feasible because tube hoop stress </w:t>
      </w:r>
      <w:r w:rsidRPr="00D856FE">
        <w:rPr>
          <w:color w:val="EE0000"/>
          <w:sz w:val="20"/>
          <w:szCs w:val="20"/>
        </w:rPr>
        <w:t xml:space="preserve">σ = P·D/(2t) </w:t>
      </w:r>
      <w:r w:rsidRPr="00A01C16">
        <w:rPr>
          <w:sz w:val="20"/>
          <w:szCs w:val="20"/>
        </w:rPr>
        <w:t>would exceed the ~30 MPa creep design stress of current Ni-Cr alloys</w:t>
      </w:r>
      <w:r w:rsidR="006E3370">
        <w:rPr>
          <w:sz w:val="20"/>
          <w:szCs w:val="20"/>
        </w:rPr>
        <w:t xml:space="preserve"> (HP-Micro)</w:t>
      </w:r>
      <w:r w:rsidRPr="00A01C16">
        <w:rPr>
          <w:sz w:val="20"/>
          <w:szCs w:val="20"/>
        </w:rPr>
        <w:t xml:space="preserve"> at 100,000 h service life </w:t>
      </w:r>
      <w:r w:rsidRPr="00A01C16">
        <w:rPr>
          <w:color w:val="EE0000"/>
          <w:sz w:val="20"/>
          <w:szCs w:val="20"/>
        </w:rPr>
        <w:t>[API STD 530</w:t>
      </w:r>
      <w:r w:rsidR="00203CE5">
        <w:rPr>
          <w:color w:val="EE0000"/>
          <w:sz w:val="20"/>
          <w:szCs w:val="20"/>
        </w:rPr>
        <w:t xml:space="preserve">, </w:t>
      </w:r>
      <w:r w:rsidR="00203CE5" w:rsidRPr="00203CE5">
        <w:rPr>
          <w:color w:val="EE0000"/>
          <w:sz w:val="20"/>
          <w:szCs w:val="20"/>
        </w:rPr>
        <w:t>Guglielmino et al., 2016</w:t>
      </w:r>
      <w:r w:rsidRPr="00A01C16">
        <w:rPr>
          <w:color w:val="EE0000"/>
          <w:sz w:val="20"/>
          <w:szCs w:val="20"/>
        </w:rPr>
        <w:t>]</w:t>
      </w:r>
      <w:r>
        <w:rPr>
          <w:color w:val="EE0000"/>
          <w:sz w:val="20"/>
          <w:szCs w:val="20"/>
        </w:rPr>
        <w:t>.</w:t>
      </w:r>
      <w:r w:rsidR="003B2A86">
        <w:rPr>
          <w:color w:val="EE0000"/>
          <w:sz w:val="20"/>
          <w:szCs w:val="20"/>
        </w:rPr>
        <w:t xml:space="preserve"> </w:t>
      </w:r>
    </w:p>
    <w:p w14:paraId="1D01B349" w14:textId="77777777" w:rsidR="005D5E58" w:rsidRPr="000B6C3B" w:rsidRDefault="005D5E58" w:rsidP="005D5E58">
      <w:pPr>
        <w:rPr>
          <w:sz w:val="20"/>
          <w:szCs w:val="20"/>
        </w:rPr>
      </w:pPr>
      <w:r w:rsidRPr="000B6C3B">
        <w:rPr>
          <w:sz w:val="20"/>
          <w:szCs w:val="20"/>
        </w:rPr>
        <w:t>Operating the SMR at elevated pressure offers several process advantages:</w:t>
      </w:r>
    </w:p>
    <w:p w14:paraId="5A28704C" w14:textId="076933B4" w:rsidR="000B6C3B" w:rsidRPr="000B6C3B" w:rsidRDefault="00A944D9" w:rsidP="000B6C3B">
      <w:pPr>
        <w:pStyle w:val="ListParagraph"/>
        <w:numPr>
          <w:ilvl w:val="0"/>
          <w:numId w:val="4"/>
        </w:numPr>
        <w:rPr>
          <w:sz w:val="20"/>
          <w:szCs w:val="20"/>
        </w:rPr>
      </w:pPr>
      <w:r w:rsidRPr="006948FE">
        <w:rPr>
          <w:sz w:val="20"/>
          <w:szCs w:val="20"/>
        </w:rPr>
        <w:t>Feed compression prior to the mole-increasing reforming reaction is energetically more favourable than downstream product compression</w:t>
      </w:r>
      <w:r w:rsidR="005D5E58" w:rsidRPr="006948FE">
        <w:rPr>
          <w:sz w:val="20"/>
          <w:szCs w:val="20"/>
        </w:rPr>
        <w:t xml:space="preserve">, </w:t>
      </w:r>
      <w:r w:rsidR="000B6C3B" w:rsidRPr="006948FE">
        <w:rPr>
          <w:color w:val="EE0000"/>
          <w:sz w:val="20"/>
          <w:szCs w:val="20"/>
        </w:rPr>
        <w:t>[</w:t>
      </w:r>
      <w:r w:rsidR="000B6C3B" w:rsidRPr="000B6C3B">
        <w:rPr>
          <w:color w:val="EE0000"/>
          <w:sz w:val="20"/>
          <w:szCs w:val="20"/>
        </w:rPr>
        <w:t>source!]</w:t>
      </w:r>
    </w:p>
    <w:p w14:paraId="34DA57E5" w14:textId="3235EF41" w:rsidR="00A944D9" w:rsidRPr="000B6C3B" w:rsidRDefault="000B6C3B" w:rsidP="000B6C3B">
      <w:pPr>
        <w:pStyle w:val="ListParagraph"/>
        <w:rPr>
          <w:sz w:val="20"/>
          <w:szCs w:val="20"/>
        </w:rPr>
      </w:pPr>
      <m:oMathPara>
        <m:oMath>
          <m:r>
            <w:rPr>
              <w:rFonts w:ascii="Cambria Math" w:hAnsi="Cambria Math"/>
              <w:sz w:val="20"/>
              <w:szCs w:val="20"/>
            </w:rPr>
            <m:t>W</m:t>
          </m:r>
          <m:r>
            <w:rPr>
              <w:rFonts w:ascii="Cambria Math" w:hAnsi="Cambria Math"/>
              <w:sz w:val="20"/>
              <w:szCs w:val="20"/>
            </w:rPr>
            <m:t>=n∙</m:t>
          </m:r>
          <m:f>
            <m:fPr>
              <m:ctrlPr>
                <w:rPr>
                  <w:rFonts w:ascii="Cambria Math" w:eastAsiaTheme="minorHAnsi" w:hAnsi="Cambria Math"/>
                  <w:i/>
                  <w:sz w:val="20"/>
                  <w:szCs w:val="20"/>
                </w:rPr>
              </m:ctrlPr>
            </m:fPr>
            <m:num>
              <m:r>
                <w:rPr>
                  <w:rFonts w:ascii="Cambria Math" w:hAnsi="Cambria Math"/>
                  <w:sz w:val="20"/>
                  <w:szCs w:val="20"/>
                </w:rPr>
                <m:t>γ</m:t>
              </m:r>
            </m:num>
            <m:den>
              <m:r>
                <w:rPr>
                  <w:rFonts w:ascii="Cambria Math" w:hAnsi="Cambria Math"/>
                  <w:sz w:val="20"/>
                  <w:szCs w:val="20"/>
                </w:rPr>
                <m:t>γ</m:t>
              </m:r>
              <m:r>
                <w:rPr>
                  <w:rFonts w:ascii="Cambria Math" w:hAnsi="Cambria Math"/>
                  <w:sz w:val="20"/>
                  <w:szCs w:val="20"/>
                </w:rPr>
                <m:t>-1</m:t>
              </m:r>
            </m:den>
          </m:f>
          <m:r>
            <w:rPr>
              <w:rFonts w:ascii="Cambria Math" w:hAnsi="Cambria Math"/>
              <w:sz w:val="20"/>
              <w:szCs w:val="20"/>
            </w:rPr>
            <m:t>∙</m:t>
          </m:r>
          <m:r>
            <w:rPr>
              <w:rFonts w:ascii="Cambria Math" w:hAnsi="Cambria Math"/>
              <w:sz w:val="20"/>
              <w:szCs w:val="20"/>
            </w:rPr>
            <m:t>R</m:t>
          </m:r>
          <m:r>
            <w:rPr>
              <w:rFonts w:ascii="Cambria Math" w:hAnsi="Cambria Math"/>
              <w:sz w:val="20"/>
              <w:szCs w:val="20"/>
            </w:rPr>
            <m:t>∙</m:t>
          </m:r>
          <m:sSub>
            <m:sSubPr>
              <m:ctrlPr>
                <w:rPr>
                  <w:rFonts w:ascii="Cambria Math" w:eastAsiaTheme="minorHAnsi"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d>
            <m:dPr>
              <m:begChr m:val="["/>
              <m:endChr m:val="]"/>
              <m:ctrlPr>
                <w:rPr>
                  <w:rFonts w:ascii="Cambria Math" w:eastAsiaTheme="minorHAnsi" w:hAnsi="Cambria Math"/>
                  <w:i/>
                  <w:sz w:val="20"/>
                  <w:szCs w:val="20"/>
                </w:rPr>
              </m:ctrlPr>
            </m:dPr>
            <m:e>
              <m:sSup>
                <m:sSupPr>
                  <m:ctrlPr>
                    <w:rPr>
                      <w:rFonts w:ascii="Cambria Math" w:eastAsiaTheme="minorHAnsi" w:hAnsi="Cambria Math"/>
                      <w:i/>
                      <w:sz w:val="20"/>
                      <w:szCs w:val="20"/>
                    </w:rPr>
                  </m:ctrlPr>
                </m:sSupPr>
                <m:e>
                  <m:d>
                    <m:dPr>
                      <m:ctrlPr>
                        <w:rPr>
                          <w:rFonts w:ascii="Cambria Math" w:eastAsiaTheme="minorHAnsi" w:hAnsi="Cambria Math"/>
                          <w:i/>
                          <w:sz w:val="20"/>
                          <w:szCs w:val="20"/>
                        </w:rPr>
                      </m:ctrlPr>
                    </m:dPr>
                    <m:e>
                      <m:f>
                        <m:fPr>
                          <m:ctrlPr>
                            <w:rPr>
                              <w:rFonts w:ascii="Cambria Math" w:eastAsiaTheme="minorHAnsi" w:hAnsi="Cambria Math"/>
                              <w:i/>
                              <w:sz w:val="20"/>
                              <w:szCs w:val="20"/>
                            </w:rPr>
                          </m:ctrlPr>
                        </m:fPr>
                        <m:num>
                          <m:sSub>
                            <m:sSubPr>
                              <m:ctrlPr>
                                <w:rPr>
                                  <w:rFonts w:ascii="Cambria Math" w:eastAsiaTheme="minorHAnsi" w:hAnsi="Cambria Math"/>
                                  <w:i/>
                                  <w:sz w:val="20"/>
                                  <w:szCs w:val="20"/>
                                </w:rPr>
                              </m:ctrlPr>
                            </m:sSubPr>
                            <m:e>
                              <m:r>
                                <w:rPr>
                                  <w:rFonts w:ascii="Cambria Math" w:hAnsi="Cambria Math"/>
                                  <w:sz w:val="20"/>
                                  <w:szCs w:val="20"/>
                                </w:rPr>
                                <m:t>p</m:t>
                              </m:r>
                            </m:e>
                            <m:sub>
                              <m:r>
                                <w:rPr>
                                  <w:rFonts w:ascii="Cambria Math" w:hAnsi="Cambria Math"/>
                                  <w:sz w:val="20"/>
                                  <w:szCs w:val="20"/>
                                </w:rPr>
                                <m:t>2</m:t>
                              </m:r>
                            </m:sub>
                          </m:sSub>
                        </m:num>
                        <m:den>
                          <m:sSub>
                            <m:sSubPr>
                              <m:ctrlPr>
                                <w:rPr>
                                  <w:rFonts w:ascii="Cambria Math" w:eastAsiaTheme="minorHAnsi" w:hAnsi="Cambria Math"/>
                                  <w:i/>
                                  <w:sz w:val="20"/>
                                  <w:szCs w:val="20"/>
                                </w:rPr>
                              </m:ctrlPr>
                            </m:sSubPr>
                            <m:e>
                              <m:r>
                                <w:rPr>
                                  <w:rFonts w:ascii="Cambria Math" w:hAnsi="Cambria Math"/>
                                  <w:sz w:val="20"/>
                                  <w:szCs w:val="20"/>
                                </w:rPr>
                                <m:t>p</m:t>
                              </m:r>
                            </m:e>
                            <m:sub>
                              <m:r>
                                <w:rPr>
                                  <w:rFonts w:ascii="Cambria Math" w:hAnsi="Cambria Math"/>
                                  <w:sz w:val="20"/>
                                  <w:szCs w:val="20"/>
                                </w:rPr>
                                <m:t>1</m:t>
                              </m:r>
                            </m:sub>
                          </m:sSub>
                        </m:den>
                      </m:f>
                    </m:e>
                  </m:d>
                </m:e>
                <m:sup>
                  <m:f>
                    <m:fPr>
                      <m:ctrlPr>
                        <w:rPr>
                          <w:rFonts w:ascii="Cambria Math" w:eastAsiaTheme="minorHAnsi" w:hAnsi="Cambria Math"/>
                          <w:i/>
                          <w:sz w:val="20"/>
                          <w:szCs w:val="20"/>
                        </w:rPr>
                      </m:ctrlPr>
                    </m:fPr>
                    <m:num>
                      <m:r>
                        <w:rPr>
                          <w:rFonts w:ascii="Cambria Math" w:hAnsi="Cambria Math"/>
                          <w:sz w:val="20"/>
                          <w:szCs w:val="20"/>
                        </w:rPr>
                        <m:t>γ</m:t>
                      </m:r>
                      <m:r>
                        <w:rPr>
                          <w:rFonts w:ascii="Cambria Math" w:hAnsi="Cambria Math"/>
                          <w:sz w:val="20"/>
                          <w:szCs w:val="20"/>
                        </w:rPr>
                        <m:t>-1</m:t>
                      </m:r>
                    </m:num>
                    <m:den>
                      <m:r>
                        <w:rPr>
                          <w:rFonts w:ascii="Cambria Math" w:hAnsi="Cambria Math"/>
                          <w:sz w:val="20"/>
                          <w:szCs w:val="20"/>
                        </w:rPr>
                        <m:t>γ</m:t>
                      </m:r>
                    </m:den>
                  </m:f>
                </m:sup>
              </m:sSup>
              <m:r>
                <w:rPr>
                  <w:rFonts w:ascii="Cambria Math" w:hAnsi="Cambria Math"/>
                  <w:sz w:val="20"/>
                  <w:szCs w:val="20"/>
                </w:rPr>
                <m:t>-1</m:t>
              </m:r>
            </m:e>
          </m:d>
          <m:r>
            <w:rPr>
              <w:rFonts w:ascii="Cambria Math" w:hAnsi="Cambria Math"/>
              <w:sz w:val="20"/>
              <w:szCs w:val="20"/>
            </w:rPr>
            <m:t xml:space="preserve"> with </m:t>
          </m:r>
          <m:sSub>
            <m:sSubPr>
              <m:ctrlPr>
                <w:rPr>
                  <w:rFonts w:ascii="Cambria Math" w:eastAsiaTheme="minorHAnsi" w:hAnsi="Cambria Math"/>
                  <w:i/>
                  <w:sz w:val="20"/>
                  <w:szCs w:val="20"/>
                </w:rPr>
              </m:ctrlPr>
            </m:sSubPr>
            <m:e>
              <m:r>
                <w:rPr>
                  <w:rFonts w:ascii="Cambria Math" w:hAnsi="Cambria Math"/>
                  <w:sz w:val="20"/>
                  <w:szCs w:val="20"/>
                </w:rPr>
                <m:t>n</m:t>
              </m:r>
            </m:e>
            <m:sub>
              <m:r>
                <w:rPr>
                  <w:rFonts w:ascii="Cambria Math" w:hAnsi="Cambria Math"/>
                  <w:sz w:val="20"/>
                  <w:szCs w:val="20"/>
                </w:rPr>
                <m:t>feed</m:t>
              </m:r>
            </m:sub>
          </m:sSub>
          <m:r>
            <w:rPr>
              <w:rFonts w:ascii="Cambria Math" w:hAnsi="Cambria Math"/>
              <w:sz w:val="20"/>
              <w:szCs w:val="20"/>
            </w:rPr>
            <m:t>&lt;</m:t>
          </m:r>
          <m:sSub>
            <m:sSubPr>
              <m:ctrlPr>
                <w:rPr>
                  <w:rFonts w:ascii="Cambria Math" w:eastAsiaTheme="minorHAnsi" w:hAnsi="Cambria Math"/>
                  <w:i/>
                  <w:sz w:val="20"/>
                  <w:szCs w:val="20"/>
                </w:rPr>
              </m:ctrlPr>
            </m:sSubPr>
            <m:e>
              <m:r>
                <w:rPr>
                  <w:rFonts w:ascii="Cambria Math" w:hAnsi="Cambria Math"/>
                  <w:sz w:val="20"/>
                  <w:szCs w:val="20"/>
                </w:rPr>
                <m:t>n</m:t>
              </m:r>
            </m:e>
            <m:sub>
              <m:r>
                <w:rPr>
                  <w:rFonts w:ascii="Cambria Math" w:hAnsi="Cambria Math"/>
                  <w:sz w:val="20"/>
                  <w:szCs w:val="20"/>
                </w:rPr>
                <m:t>prod</m:t>
              </m:r>
            </m:sub>
          </m:sSub>
        </m:oMath>
      </m:oMathPara>
    </w:p>
    <w:p w14:paraId="41F6399D" w14:textId="6181852C" w:rsidR="00FC74D9" w:rsidRPr="006948FE" w:rsidRDefault="00FC74D9" w:rsidP="00A944D9">
      <w:pPr>
        <w:pStyle w:val="ListParagraph"/>
        <w:numPr>
          <w:ilvl w:val="0"/>
          <w:numId w:val="4"/>
        </w:numPr>
        <w:rPr>
          <w:sz w:val="20"/>
          <w:szCs w:val="20"/>
        </w:rPr>
      </w:pPr>
      <w:r w:rsidRPr="006948FE">
        <w:rPr>
          <w:sz w:val="20"/>
          <w:szCs w:val="20"/>
        </w:rPr>
        <w:t>Increased</w:t>
      </w:r>
      <w:r w:rsidRPr="006948FE">
        <w:rPr>
          <w:sz w:val="20"/>
          <w:szCs w:val="20"/>
        </w:rPr>
        <w:t xml:space="preserve"> volumetric throughput, enabling more compact reactor designs</w:t>
      </w:r>
      <w:r w:rsidRPr="006948FE">
        <w:rPr>
          <w:sz w:val="20"/>
          <w:szCs w:val="20"/>
        </w:rPr>
        <w:t>.</w:t>
      </w:r>
    </w:p>
    <w:p w14:paraId="2C9EC1E7" w14:textId="77777777" w:rsidR="00FC74D9" w:rsidRPr="006948FE" w:rsidRDefault="00FC74D9" w:rsidP="00A944D9">
      <w:pPr>
        <w:pStyle w:val="ListParagraph"/>
        <w:numPr>
          <w:ilvl w:val="0"/>
          <w:numId w:val="4"/>
        </w:numPr>
        <w:rPr>
          <w:sz w:val="20"/>
          <w:szCs w:val="20"/>
        </w:rPr>
      </w:pPr>
      <w:r w:rsidRPr="006948FE">
        <w:rPr>
          <w:sz w:val="20"/>
          <w:szCs w:val="20"/>
        </w:rPr>
        <w:t>Higher partial pressures enhance reaction kinetics, reducing the required reactor volume.</w:t>
      </w:r>
    </w:p>
    <w:p w14:paraId="15B6F31D" w14:textId="75DCC61C" w:rsidR="00FC74D9" w:rsidRPr="006948FE" w:rsidRDefault="00FC74D9" w:rsidP="00A944D9">
      <w:pPr>
        <w:pStyle w:val="ListParagraph"/>
        <w:numPr>
          <w:ilvl w:val="0"/>
          <w:numId w:val="4"/>
        </w:numPr>
        <w:rPr>
          <w:sz w:val="20"/>
          <w:szCs w:val="20"/>
        </w:rPr>
      </w:pPr>
      <w:r w:rsidRPr="006948FE">
        <w:rPr>
          <w:sz w:val="20"/>
          <w:szCs w:val="20"/>
        </w:rPr>
        <w:t>No impact on mole-</w:t>
      </w:r>
      <w:r w:rsidR="00E32719" w:rsidRPr="006948FE">
        <w:rPr>
          <w:sz w:val="20"/>
          <w:szCs w:val="20"/>
        </w:rPr>
        <w:t>neutral</w:t>
      </w:r>
      <w:r w:rsidRPr="006948FE">
        <w:rPr>
          <w:sz w:val="20"/>
          <w:szCs w:val="20"/>
        </w:rPr>
        <w:t xml:space="preserve"> WGSR</w:t>
      </w:r>
      <w:r w:rsidR="00E32719" w:rsidRPr="006948FE">
        <w:rPr>
          <w:sz w:val="20"/>
          <w:szCs w:val="20"/>
        </w:rPr>
        <w:t xml:space="preserve"> under </w:t>
      </w:r>
      <w:r w:rsidR="00E32719" w:rsidRPr="006948FE">
        <w:rPr>
          <w:sz w:val="20"/>
          <w:szCs w:val="20"/>
        </w:rPr>
        <w:t>ideal-gas assumptions</w:t>
      </w:r>
      <w:r w:rsidR="00E32719" w:rsidRPr="006948FE">
        <w:rPr>
          <w:sz w:val="20"/>
          <w:szCs w:val="20"/>
        </w:rPr>
        <w:t>.</w:t>
      </w:r>
    </w:p>
    <w:p w14:paraId="7134614D" w14:textId="441E8933" w:rsidR="00FE681D" w:rsidRPr="000B6C3B" w:rsidRDefault="00EF7378" w:rsidP="00A944D9">
      <w:pPr>
        <w:pStyle w:val="ListParagraph"/>
        <w:numPr>
          <w:ilvl w:val="0"/>
          <w:numId w:val="4"/>
        </w:numPr>
        <w:rPr>
          <w:sz w:val="20"/>
          <w:szCs w:val="20"/>
        </w:rPr>
      </w:pPr>
      <w:r w:rsidRPr="006948FE">
        <w:rPr>
          <w:sz w:val="20"/>
          <w:szCs w:val="20"/>
        </w:rPr>
        <w:t>Increased</w:t>
      </w:r>
      <w:r w:rsidRPr="006948FE">
        <w:rPr>
          <w:sz w:val="20"/>
          <w:szCs w:val="20"/>
        </w:rPr>
        <w:t xml:space="preserve"> theoretical maximum H₂ recovery</w:t>
      </w:r>
      <w:r w:rsidR="00FC74D9" w:rsidRPr="006948FE">
        <w:rPr>
          <w:sz w:val="20"/>
          <w:szCs w:val="20"/>
        </w:rPr>
        <w:t xml:space="preserve"> in PSA</w:t>
      </w:r>
      <w:r w:rsidRPr="006948FE">
        <w:rPr>
          <w:sz w:val="20"/>
          <w:szCs w:val="20"/>
        </w:rPr>
        <w:t>,</w:t>
      </w:r>
      <w:r w:rsidR="000B6C3B" w:rsidRPr="006948FE">
        <w:rPr>
          <w:sz w:val="20"/>
          <w:szCs w:val="20"/>
        </w:rPr>
        <w:t xml:space="preserve"> </w:t>
      </w:r>
      <w:r w:rsidR="000B6C3B" w:rsidRPr="000B6C3B">
        <w:rPr>
          <w:color w:val="EE0000"/>
          <w:sz w:val="20"/>
          <w:szCs w:val="20"/>
        </w:rPr>
        <w:t>[source!]</w:t>
      </w:r>
    </w:p>
    <w:p w14:paraId="6F6F1F66" w14:textId="04A0B31C" w:rsidR="00EF7378" w:rsidRPr="000B6C3B" w:rsidRDefault="00FC74D9" w:rsidP="00FE681D">
      <w:pPr>
        <w:pStyle w:val="ListParagraph"/>
        <w:rPr>
          <w:sz w:val="20"/>
          <w:szCs w:val="20"/>
        </w:rPr>
      </w:pPr>
      <m:oMathPara>
        <m:oMath>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Thermodynamic condition:</m:t>
              </m:r>
              <m:r>
                <w:rPr>
                  <w:rFonts w:ascii="Cambria Math" w:hAnsi="Cambria Math"/>
                  <w:sz w:val="20"/>
                  <w:szCs w:val="20"/>
                </w:rPr>
                <m:t xml:space="preserve"> </m:t>
              </m:r>
              <m:sSubSup>
                <m:sSubSupPr>
                  <m:ctrlPr>
                    <w:rPr>
                      <w:rFonts w:ascii="Cambria Math" w:eastAsiaTheme="minorHAnsi" w:hAnsi="Cambria Math" w:cstheme="minorBidi"/>
                      <w:i/>
                      <w:kern w:val="2"/>
                      <w:sz w:val="20"/>
                      <w:szCs w:val="20"/>
                      <w:lang w:eastAsia="en-US"/>
                      <w14:ligatures w14:val="standardContextual"/>
                    </w:rPr>
                  </m:ctrlPr>
                </m:sSubSupPr>
                <m:e>
                  <m:r>
                    <w:rPr>
                      <w:rFonts w:ascii="Cambria Math" w:hAnsi="Cambria Math"/>
                      <w:sz w:val="20"/>
                      <w:szCs w:val="20"/>
                    </w:rPr>
                    <m:t>p</m:t>
                  </m:r>
                </m:e>
                <m:sub>
                  <m:r>
                    <w:rPr>
                      <w:rFonts w:ascii="Cambria Math" w:hAnsi="Cambria Math"/>
                      <w:sz w:val="20"/>
                      <w:szCs w:val="20"/>
                    </w:rPr>
                    <m:t>pollut.</m:t>
                  </m:r>
                </m:sub>
                <m:sup>
                  <m:r>
                    <w:rPr>
                      <w:rFonts w:ascii="Cambria Math" w:hAnsi="Cambria Math"/>
                      <w:sz w:val="20"/>
                      <w:szCs w:val="20"/>
                    </w:rPr>
                    <m:t>ads</m:t>
                  </m:r>
                </m:sup>
              </m:sSubSup>
              <m:r>
                <w:rPr>
                  <w:rFonts w:ascii="Cambria Math" w:hAnsi="Cambria Math"/>
                  <w:sz w:val="20"/>
                  <w:szCs w:val="20"/>
                </w:rPr>
                <m:t>≥</m:t>
              </m:r>
              <m:sSubSup>
                <m:sSubSupPr>
                  <m:ctrlPr>
                    <w:rPr>
                      <w:rFonts w:ascii="Cambria Math" w:eastAsiaTheme="minorHAnsi" w:hAnsi="Cambria Math" w:cstheme="minorBidi"/>
                      <w:i/>
                      <w:kern w:val="2"/>
                      <w:sz w:val="20"/>
                      <w:szCs w:val="20"/>
                      <w:lang w:eastAsia="en-US"/>
                      <w14:ligatures w14:val="standardContextual"/>
                    </w:rPr>
                  </m:ctrlPr>
                </m:sSubSupPr>
                <m:e>
                  <m:r>
                    <w:rPr>
                      <w:rFonts w:ascii="Cambria Math" w:hAnsi="Cambria Math"/>
                      <w:sz w:val="20"/>
                      <w:szCs w:val="20"/>
                    </w:rPr>
                    <m:t>p</m:t>
                  </m:r>
                </m:e>
                <m:sub>
                  <m:r>
                    <w:rPr>
                      <w:rFonts w:ascii="Cambria Math" w:hAnsi="Cambria Math"/>
                      <w:sz w:val="20"/>
                      <w:szCs w:val="20"/>
                    </w:rPr>
                    <m:t>pollut.</m:t>
                  </m:r>
                </m:sub>
                <m:sup>
                  <m:r>
                    <w:rPr>
                      <w:rFonts w:ascii="Cambria Math" w:hAnsi="Cambria Math"/>
                      <w:sz w:val="20"/>
                      <w:szCs w:val="20"/>
                    </w:rPr>
                    <m:t>des</m:t>
                  </m:r>
                </m:sup>
              </m:sSubSup>
              <m:r>
                <w:rPr>
                  <w:rFonts w:ascii="Cambria Math" w:hAnsi="Cambria Math"/>
                  <w:sz w:val="20"/>
                  <w:szCs w:val="20"/>
                </w:rPr>
                <m:t>→φ</m:t>
              </m:r>
            </m:e>
            <m:sub>
              <m:r>
                <w:rPr>
                  <w:rFonts w:ascii="Cambria Math" w:hAnsi="Cambria Math"/>
                  <w:sz w:val="20"/>
                  <w:szCs w:val="20"/>
                </w:rPr>
                <m:t>max</m:t>
              </m:r>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1-</m:t>
              </m:r>
              <m:f>
                <m:fPr>
                  <m:ctrlPr>
                    <w:rPr>
                      <w:rFonts w:ascii="Cambria Math" w:eastAsiaTheme="minorHAnsi" w:hAnsi="Cambria Math" w:cstheme="minorBidi"/>
                      <w:i/>
                      <w:kern w:val="2"/>
                      <w:sz w:val="20"/>
                      <w:szCs w:val="20"/>
                      <w:lang w:eastAsia="en-US"/>
                      <w14:ligatures w14:val="standardContextual"/>
                    </w:rPr>
                  </m:ctrlPr>
                </m:fPr>
                <m:num>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p</m:t>
                      </m:r>
                    </m:e>
                    <m:sub>
                      <m:r>
                        <w:rPr>
                          <w:rFonts w:ascii="Cambria Math" w:hAnsi="Cambria Math"/>
                          <w:sz w:val="20"/>
                          <w:szCs w:val="20"/>
                        </w:rPr>
                        <m:t>des</m:t>
                      </m:r>
                    </m:sub>
                  </m:sSub>
                </m:num>
                <m:den>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p</m:t>
                      </m:r>
                    </m:e>
                    <m:sub>
                      <m:r>
                        <w:rPr>
                          <w:rFonts w:ascii="Cambria Math" w:hAnsi="Cambria Math"/>
                          <w:sz w:val="20"/>
                          <w:szCs w:val="20"/>
                        </w:rPr>
                        <m:t>ads</m:t>
                      </m:r>
                    </m:sub>
                  </m:sSub>
                </m:den>
              </m:f>
            </m:num>
            <m:den>
              <m:sSubSup>
                <m:sSubSupPr>
                  <m:ctrlPr>
                    <w:rPr>
                      <w:rFonts w:ascii="Cambria Math" w:eastAsiaTheme="minorHAnsi" w:hAnsi="Cambria Math" w:cstheme="minorBidi"/>
                      <w:i/>
                      <w:kern w:val="2"/>
                      <w:sz w:val="20"/>
                      <w:szCs w:val="20"/>
                      <w:lang w:eastAsia="en-US"/>
                      <w14:ligatures w14:val="standardContextual"/>
                    </w:rPr>
                  </m:ctrlPr>
                </m:sSubSupPr>
                <m:e>
                  <m:r>
                    <w:rPr>
                      <w:rFonts w:ascii="Cambria Math" w:hAnsi="Cambria Math"/>
                      <w:sz w:val="20"/>
                      <w:szCs w:val="20"/>
                    </w:rPr>
                    <m:t>y</m:t>
                  </m:r>
                </m:e>
                <m:sub>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2</m:t>
                      </m:r>
                    </m:sub>
                  </m:sSub>
                </m:sub>
                <m:sup>
                  <m:r>
                    <w:rPr>
                      <w:rFonts w:ascii="Cambria Math" w:hAnsi="Cambria Math"/>
                      <w:sz w:val="20"/>
                      <w:szCs w:val="20"/>
                    </w:rPr>
                    <m:t>0</m:t>
                  </m:r>
                </m:sup>
              </m:sSubSup>
            </m:den>
          </m:f>
        </m:oMath>
      </m:oMathPara>
    </w:p>
    <w:p w14:paraId="135BFAE1" w14:textId="2AA24AD8" w:rsidR="00FE681D" w:rsidRPr="000B6C3B" w:rsidRDefault="00FE681D" w:rsidP="00FE681D">
      <w:pPr>
        <w:rPr>
          <w:sz w:val="20"/>
          <w:szCs w:val="20"/>
        </w:rPr>
      </w:pPr>
      <w:r w:rsidRPr="000B6C3B">
        <w:rPr>
          <w:sz w:val="20"/>
          <w:szCs w:val="20"/>
        </w:rPr>
        <w:t>But i</w:t>
      </w:r>
      <w:r w:rsidR="00E4290E" w:rsidRPr="000B6C3B">
        <w:rPr>
          <w:sz w:val="20"/>
          <w:szCs w:val="20"/>
        </w:rPr>
        <w:t xml:space="preserve">ncreasing thickness of wall tubes is economically limited by </w:t>
      </w:r>
      <w:r w:rsidR="005D5E58" w:rsidRPr="006948FE">
        <w:rPr>
          <w:color w:val="00B0F0"/>
          <w:sz w:val="20"/>
          <w:szCs w:val="20"/>
        </w:rPr>
        <w:t>[12]</w:t>
      </w:r>
    </w:p>
    <w:p w14:paraId="76708F6E" w14:textId="7C9AF867" w:rsidR="00FE681D" w:rsidRPr="006948FE" w:rsidRDefault="00E4290E" w:rsidP="00A944D9">
      <w:pPr>
        <w:pStyle w:val="ListParagraph"/>
        <w:numPr>
          <w:ilvl w:val="0"/>
          <w:numId w:val="5"/>
        </w:numPr>
        <w:rPr>
          <w:sz w:val="20"/>
          <w:szCs w:val="20"/>
        </w:rPr>
      </w:pPr>
      <w:r w:rsidRPr="006948FE">
        <w:rPr>
          <w:sz w:val="20"/>
          <w:szCs w:val="20"/>
        </w:rPr>
        <w:t xml:space="preserve">increased </w:t>
      </w:r>
      <w:r w:rsidR="00FE681D" w:rsidRPr="006948FE">
        <w:rPr>
          <w:sz w:val="20"/>
          <w:szCs w:val="20"/>
        </w:rPr>
        <w:t>material</w:t>
      </w:r>
      <w:r w:rsidRPr="006948FE">
        <w:rPr>
          <w:sz w:val="20"/>
          <w:szCs w:val="20"/>
        </w:rPr>
        <w:t xml:space="preserve"> cost</w:t>
      </w:r>
      <w:r w:rsidR="00FE681D" w:rsidRPr="006948FE">
        <w:rPr>
          <w:sz w:val="20"/>
          <w:szCs w:val="20"/>
        </w:rPr>
        <w:t>s</w:t>
      </w:r>
      <w:r w:rsidRPr="006948FE">
        <w:rPr>
          <w:sz w:val="20"/>
          <w:szCs w:val="20"/>
        </w:rPr>
        <w:t xml:space="preserve">, </w:t>
      </w:r>
    </w:p>
    <w:p w14:paraId="1E5F361A" w14:textId="5D0ECE40" w:rsidR="00FE681D" w:rsidRPr="006948FE" w:rsidRDefault="00945ED6" w:rsidP="00A944D9">
      <w:pPr>
        <w:pStyle w:val="ListParagraph"/>
        <w:numPr>
          <w:ilvl w:val="0"/>
          <w:numId w:val="5"/>
        </w:numPr>
        <w:rPr>
          <w:sz w:val="20"/>
          <w:szCs w:val="20"/>
        </w:rPr>
      </w:pPr>
      <w:r w:rsidRPr="006948FE">
        <w:rPr>
          <w:sz w:val="20"/>
          <w:szCs w:val="20"/>
        </w:rPr>
        <w:t>decreased production capacity</w:t>
      </w:r>
      <w:r w:rsidR="00FE681D" w:rsidRPr="006948FE">
        <w:rPr>
          <w:sz w:val="20"/>
          <w:szCs w:val="20"/>
        </w:rPr>
        <w:t xml:space="preserve"> due to </w:t>
      </w:r>
      <w:r w:rsidR="00E4290E" w:rsidRPr="006948FE">
        <w:rPr>
          <w:sz w:val="20"/>
          <w:szCs w:val="20"/>
        </w:rPr>
        <w:t>less catalyst volume</w:t>
      </w:r>
      <w:r w:rsidR="00FE681D" w:rsidRPr="006948FE">
        <w:rPr>
          <w:sz w:val="20"/>
          <w:szCs w:val="20"/>
        </w:rPr>
        <w:t>,</w:t>
      </w:r>
      <w:r w:rsidR="000B6C3B" w:rsidRPr="006948FE">
        <w:rPr>
          <w:sz w:val="20"/>
          <w:szCs w:val="20"/>
        </w:rPr>
        <w:t xml:space="preserve"> and</w:t>
      </w:r>
    </w:p>
    <w:p w14:paraId="3196073A" w14:textId="44C8393A" w:rsidR="00E4290E" w:rsidRPr="006948FE" w:rsidRDefault="00945ED6" w:rsidP="00A944D9">
      <w:pPr>
        <w:pStyle w:val="ListParagraph"/>
        <w:numPr>
          <w:ilvl w:val="0"/>
          <w:numId w:val="5"/>
        </w:numPr>
        <w:rPr>
          <w:sz w:val="20"/>
          <w:szCs w:val="20"/>
        </w:rPr>
      </w:pPr>
      <w:r w:rsidRPr="006948FE">
        <w:rPr>
          <w:sz w:val="20"/>
          <w:szCs w:val="20"/>
        </w:rPr>
        <w:t>deteriorated</w:t>
      </w:r>
      <w:r w:rsidRPr="006948FE">
        <w:rPr>
          <w:sz w:val="20"/>
          <w:szCs w:val="20"/>
        </w:rPr>
        <w:t xml:space="preserve"> heat transfer due to higher thermal resistance.</w:t>
      </w:r>
    </w:p>
    <w:p w14:paraId="6E6F9D25" w14:textId="2632AC1D" w:rsidR="000B6C3B" w:rsidRPr="000B6C3B" w:rsidRDefault="000B6C3B" w:rsidP="000B6C3B">
      <w:pPr>
        <w:rPr>
          <w:sz w:val="20"/>
          <w:szCs w:val="20"/>
        </w:rPr>
      </w:pPr>
      <w:r w:rsidRPr="000B6C3B">
        <w:rPr>
          <w:sz w:val="20"/>
          <w:szCs w:val="20"/>
        </w:rPr>
        <w:t xml:space="preserve">The </w:t>
      </w:r>
      <w:r w:rsidRPr="000B6C3B">
        <w:rPr>
          <w:sz w:val="20"/>
          <w:szCs w:val="20"/>
        </w:rPr>
        <w:t>only downside</w:t>
      </w:r>
      <w:r w:rsidRPr="000B6C3B">
        <w:rPr>
          <w:sz w:val="20"/>
          <w:szCs w:val="20"/>
        </w:rPr>
        <w:t xml:space="preserve"> of elevated pressure </w:t>
      </w:r>
      <w:r w:rsidRPr="000B6C3B">
        <w:rPr>
          <w:sz w:val="20"/>
          <w:szCs w:val="20"/>
        </w:rPr>
        <w:t>–</w:t>
      </w:r>
      <w:r w:rsidRPr="000B6C3B">
        <w:rPr>
          <w:sz w:val="20"/>
          <w:szCs w:val="20"/>
        </w:rPr>
        <w:t xml:space="preserve"> an unfavourable equilibrium shift of the mole-increasing reforming reaction per Le Chatelier's principle </w:t>
      </w:r>
      <w:r w:rsidRPr="000B6C3B">
        <w:rPr>
          <w:sz w:val="20"/>
          <w:szCs w:val="20"/>
        </w:rPr>
        <w:t>–</w:t>
      </w:r>
      <w:r w:rsidRPr="000B6C3B">
        <w:rPr>
          <w:sz w:val="20"/>
          <w:szCs w:val="20"/>
        </w:rPr>
        <w:t xml:space="preserve"> can be offset by increasing the reaction temperature, leveraging the endothermic nature of the reforming reaction to maintain high conversion</w:t>
      </w:r>
      <w:r w:rsidRPr="000B6C3B">
        <w:rPr>
          <w:sz w:val="20"/>
          <w:szCs w:val="20"/>
        </w:rPr>
        <w:t>.</w:t>
      </w:r>
    </w:p>
    <w:p w14:paraId="63FD5814" w14:textId="6AB89F56" w:rsidR="00FE681D" w:rsidRDefault="000D68DB" w:rsidP="00DD7131">
      <w:pPr>
        <w:rPr>
          <w:sz w:val="20"/>
          <w:szCs w:val="20"/>
        </w:rPr>
      </w:pPr>
      <w:r w:rsidRPr="000D68DB">
        <w:rPr>
          <w:sz w:val="20"/>
          <w:szCs w:val="20"/>
        </w:rPr>
        <w:t>In conclusion, it can be said that there is an interest in operating at high pressures if material and temperature limitations can be overcome.</w:t>
      </w:r>
    </w:p>
    <w:p w14:paraId="0048065D" w14:textId="77777777" w:rsidR="000D68DB" w:rsidRPr="000D68DB" w:rsidRDefault="000D68DB" w:rsidP="00DD7131">
      <w:pPr>
        <w:rPr>
          <w:sz w:val="20"/>
          <w:szCs w:val="20"/>
        </w:rPr>
      </w:pPr>
    </w:p>
    <w:p w14:paraId="31982853" w14:textId="458FD353" w:rsidR="009D0974" w:rsidRDefault="00A9612D" w:rsidP="009D0974">
      <w:pPr>
        <w:rPr>
          <w:sz w:val="20"/>
          <w:szCs w:val="20"/>
        </w:rPr>
      </w:pPr>
      <w:r w:rsidRPr="005170F2">
        <w:rPr>
          <w:sz w:val="20"/>
          <w:szCs w:val="20"/>
        </w:rPr>
        <w:t xml:space="preserve">Natural gas is transported in the German transmission network at pressures of up to 100 bar </w:t>
      </w:r>
      <w:r w:rsidRPr="005170F2">
        <w:rPr>
          <w:color w:val="00B0F0"/>
          <w:sz w:val="20"/>
          <w:szCs w:val="20"/>
        </w:rPr>
        <w:t>[</w:t>
      </w:r>
      <w:r w:rsidR="00A944D9" w:rsidRPr="005170F2">
        <w:rPr>
          <w:color w:val="00B0F0"/>
          <w:sz w:val="20"/>
          <w:szCs w:val="20"/>
        </w:rPr>
        <w:t>https://fnb-gas.de/erdgastransport/fernleitungsnetz/</w:t>
      </w:r>
      <w:r w:rsidRPr="005170F2">
        <w:rPr>
          <w:color w:val="00B0F0"/>
          <w:sz w:val="20"/>
          <w:szCs w:val="20"/>
        </w:rPr>
        <w:t>]</w:t>
      </w:r>
      <w:r w:rsidRPr="005170F2">
        <w:rPr>
          <w:sz w:val="20"/>
          <w:szCs w:val="20"/>
        </w:rPr>
        <w:t xml:space="preserve">, making high-pressure </w:t>
      </w:r>
      <w:r w:rsidR="00A944D9" w:rsidRPr="005170F2">
        <w:rPr>
          <w:sz w:val="20"/>
          <w:szCs w:val="20"/>
        </w:rPr>
        <w:t>e</w:t>
      </w:r>
      <w:r w:rsidRPr="005170F2">
        <w:rPr>
          <w:sz w:val="20"/>
          <w:szCs w:val="20"/>
        </w:rPr>
        <w:t>SMR operation compatible with direct pipeline supply</w:t>
      </w:r>
      <w:r w:rsidR="000D68DB" w:rsidRPr="005170F2">
        <w:rPr>
          <w:sz w:val="20"/>
          <w:szCs w:val="20"/>
        </w:rPr>
        <w:t>.</w:t>
      </w:r>
      <w:r w:rsidR="000D68DB" w:rsidRPr="005170F2">
        <w:rPr>
          <w:sz w:val="20"/>
          <w:szCs w:val="20"/>
          <w:lang w:val="en-GB"/>
        </w:rPr>
        <w:t xml:space="preserve"> </w:t>
      </w:r>
      <w:r w:rsidR="009D0974" w:rsidRPr="009D0974">
        <w:rPr>
          <w:sz w:val="20"/>
          <w:szCs w:val="20"/>
        </w:rPr>
        <w:t xml:space="preserve">Refinery units operate at pressures of </w:t>
      </w:r>
      <w:r>
        <w:rPr>
          <w:sz w:val="20"/>
          <w:szCs w:val="20"/>
        </w:rPr>
        <w:t>20</w:t>
      </w:r>
      <w:r w:rsidR="009D0974">
        <w:rPr>
          <w:sz w:val="20"/>
          <w:szCs w:val="20"/>
        </w:rPr>
        <w:t>-</w:t>
      </w:r>
      <w:r>
        <w:rPr>
          <w:sz w:val="20"/>
          <w:szCs w:val="20"/>
        </w:rPr>
        <w:t xml:space="preserve">200 </w:t>
      </w:r>
      <w:r w:rsidR="009D0974" w:rsidRPr="009D0974">
        <w:rPr>
          <w:sz w:val="20"/>
          <w:szCs w:val="20"/>
        </w:rPr>
        <w:t xml:space="preserve">bar for hydrotreating </w:t>
      </w:r>
      <w:r>
        <w:rPr>
          <w:sz w:val="20"/>
          <w:szCs w:val="20"/>
        </w:rPr>
        <w:t>and 60</w:t>
      </w:r>
      <w:r w:rsidR="009D0974">
        <w:rPr>
          <w:sz w:val="20"/>
          <w:szCs w:val="20"/>
        </w:rPr>
        <w:t>-</w:t>
      </w:r>
      <w:r w:rsidR="009D0974" w:rsidRPr="009D0974">
        <w:rPr>
          <w:sz w:val="20"/>
          <w:szCs w:val="20"/>
        </w:rPr>
        <w:t>20</w:t>
      </w:r>
      <w:r>
        <w:rPr>
          <w:sz w:val="20"/>
          <w:szCs w:val="20"/>
        </w:rPr>
        <w:t>0</w:t>
      </w:r>
      <w:r w:rsidR="009D0974" w:rsidRPr="009D0974">
        <w:rPr>
          <w:sz w:val="20"/>
          <w:szCs w:val="20"/>
        </w:rPr>
        <w:t xml:space="preserve"> bar for hydrocracking [</w:t>
      </w:r>
      <w:r w:rsidRPr="00A9612D">
        <w:rPr>
          <w:sz w:val="20"/>
          <w:szCs w:val="20"/>
        </w:rPr>
        <w:t>https://doi.org/10.1007/978-0-387-25789-1_7</w:t>
      </w:r>
      <w:r>
        <w:rPr>
          <w:sz w:val="20"/>
          <w:szCs w:val="20"/>
        </w:rPr>
        <w:t xml:space="preserve">] </w:t>
      </w:r>
      <w:r w:rsidR="009D0974" w:rsidRPr="009D0974">
        <w:rPr>
          <w:sz w:val="20"/>
          <w:szCs w:val="20"/>
        </w:rPr>
        <w:t xml:space="preserve">requiring substantial compression of the hydrogen supply </w:t>
      </w:r>
      <w:r>
        <w:rPr>
          <w:sz w:val="20"/>
          <w:szCs w:val="20"/>
        </w:rPr>
        <w:t xml:space="preserve">after </w:t>
      </w:r>
      <w:r w:rsidR="00764BCF">
        <w:rPr>
          <w:sz w:val="20"/>
          <w:szCs w:val="20"/>
        </w:rPr>
        <w:t xml:space="preserve">conventional </w:t>
      </w:r>
      <w:r>
        <w:rPr>
          <w:sz w:val="20"/>
          <w:szCs w:val="20"/>
        </w:rPr>
        <w:t>SMR</w:t>
      </w:r>
      <w:r w:rsidR="009D0974" w:rsidRPr="009D0974">
        <w:rPr>
          <w:sz w:val="20"/>
          <w:szCs w:val="20"/>
        </w:rPr>
        <w:t>.</w:t>
      </w:r>
    </w:p>
    <w:p w14:paraId="1497D7FE" w14:textId="77777777" w:rsidR="00083F5E" w:rsidRDefault="00764BCF" w:rsidP="00083F5E">
      <w:pPr>
        <w:rPr>
          <w:sz w:val="20"/>
          <w:szCs w:val="20"/>
        </w:rPr>
      </w:pPr>
      <w:r>
        <w:rPr>
          <w:sz w:val="20"/>
          <w:szCs w:val="20"/>
        </w:rPr>
        <w:t xml:space="preserve">Pressure reduction to SMR operating conditions requires an expansion step, </w:t>
      </w:r>
      <w:r w:rsidRPr="00764BCF">
        <w:rPr>
          <w:sz w:val="20"/>
          <w:szCs w:val="20"/>
        </w:rPr>
        <w:t>followed by recompression for downstream processes</w:t>
      </w:r>
      <w:r>
        <w:rPr>
          <w:sz w:val="20"/>
          <w:szCs w:val="20"/>
        </w:rPr>
        <w:t>, while a</w:t>
      </w:r>
      <w:r w:rsidRPr="00764BCF">
        <w:rPr>
          <w:sz w:val="20"/>
          <w:szCs w:val="20"/>
        </w:rPr>
        <w:t xml:space="preserve"> pressure-independent reforming concept, such as OCMC, would eliminate both steps</w:t>
      </w:r>
      <w:r>
        <w:rPr>
          <w:sz w:val="20"/>
          <w:szCs w:val="20"/>
        </w:rPr>
        <w:t>:</w:t>
      </w:r>
    </w:p>
    <w:p w14:paraId="4F22A7C1" w14:textId="5FB74EBB" w:rsidR="00083F5E" w:rsidRPr="003F785B" w:rsidRDefault="00B44E2A" w:rsidP="00083F5E">
      <w:pPr>
        <w:rPr>
          <w:rFonts w:eastAsiaTheme="minorEastAsia"/>
          <w:sz w:val="20"/>
          <w:szCs w:val="20"/>
        </w:rPr>
      </w:pPr>
      <m:oMathPara>
        <m:oMath>
          <m:r>
            <w:rPr>
              <w:rFonts w:ascii="Cambria Math" w:hAnsi="Cambria Math"/>
              <w:sz w:val="20"/>
              <w:szCs w:val="20"/>
            </w:rPr>
            <m:t xml:space="preserve">ideal: </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γ</m:t>
              </m:r>
            </m:e>
            <m:sub>
              <m:r>
                <w:rPr>
                  <w:rFonts w:ascii="Cambria Math" w:hAnsi="Cambria Math"/>
                  <w:sz w:val="20"/>
                  <w:szCs w:val="20"/>
                </w:rPr>
                <m:t>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4</m:t>
                  </m:r>
                </m:sub>
              </m:sSub>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p</m:t>
                  </m:r>
                </m:sub>
              </m:sSub>
            </m:num>
            <m:den>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v</m:t>
                  </m:r>
                </m:sub>
              </m:sSub>
            </m:den>
          </m:f>
          <m:r>
            <w:rPr>
              <w:rFonts w:ascii="Cambria Math" w:eastAsiaTheme="minorEastAsia"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m:t>
              </m:r>
              <m:sSub>
                <m:sSubPr>
                  <m:ctrlPr>
                    <w:rPr>
                      <w:rFonts w:ascii="Cambria Math" w:eastAsiaTheme="minorHAnsi"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num>
            <m:den>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m:t>
              </m:r>
              <m:sSub>
                <m:sSubPr>
                  <m:ctrlPr>
                    <w:rPr>
                      <w:rFonts w:ascii="Cambria Math" w:eastAsiaTheme="minorHAnsi"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)-R</m:t>
              </m:r>
            </m:den>
          </m:f>
          <m:r>
            <w:rPr>
              <w:rFonts w:ascii="Cambria Math" w:eastAsiaTheme="minorEastAsia"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3</m:t>
              </m:r>
              <m:r>
                <w:rPr>
                  <w:rFonts w:ascii="Cambria Math" w:hAnsi="Cambria Math"/>
                  <w:sz w:val="20"/>
                  <w:szCs w:val="20"/>
                </w:rPr>
                <m:t>5</m:t>
              </m:r>
              <m:r>
                <w:rPr>
                  <w:rFonts w:ascii="Cambria Math" w:hAnsi="Cambria Math"/>
                  <w:sz w:val="20"/>
                  <w:szCs w:val="20"/>
                </w:rPr>
                <m:t>.</m:t>
              </m:r>
              <m:r>
                <w:rPr>
                  <w:rFonts w:ascii="Cambria Math" w:hAnsi="Cambria Math"/>
                  <w:sz w:val="20"/>
                  <w:szCs w:val="20"/>
                </w:rPr>
                <m:t>69</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J</m:t>
                  </m:r>
                </m:num>
                <m:den>
                  <m:r>
                    <w:rPr>
                      <w:rFonts w:ascii="Cambria Math" w:hAnsi="Cambria Math"/>
                      <w:sz w:val="20"/>
                      <w:szCs w:val="20"/>
                    </w:rPr>
                    <m:t>mol K</m:t>
                  </m:r>
                </m:den>
              </m:f>
            </m:num>
            <m:den>
              <m:d>
                <m:dPr>
                  <m:ctrlPr>
                    <w:rPr>
                      <w:rFonts w:ascii="Cambria Math" w:eastAsiaTheme="minorHAnsi" w:hAnsi="Cambria Math" w:cstheme="minorBidi"/>
                      <w:i/>
                      <w:kern w:val="2"/>
                      <w:sz w:val="20"/>
                      <w:szCs w:val="20"/>
                      <w:lang w:eastAsia="en-US"/>
                      <w14:ligatures w14:val="standardContextual"/>
                    </w:rPr>
                  </m:ctrlPr>
                </m:dPr>
                <m:e>
                  <m:r>
                    <w:rPr>
                      <w:rFonts w:ascii="Cambria Math" w:hAnsi="Cambria Math"/>
                      <w:sz w:val="20"/>
                      <w:szCs w:val="20"/>
                    </w:rPr>
                    <m:t>3</m:t>
                  </m:r>
                  <m:r>
                    <w:rPr>
                      <w:rFonts w:ascii="Cambria Math" w:hAnsi="Cambria Math"/>
                      <w:sz w:val="20"/>
                      <w:szCs w:val="20"/>
                    </w:rPr>
                    <m:t>5</m:t>
                  </m:r>
                  <m:r>
                    <w:rPr>
                      <w:rFonts w:ascii="Cambria Math" w:hAnsi="Cambria Math"/>
                      <w:sz w:val="20"/>
                      <w:szCs w:val="20"/>
                    </w:rPr>
                    <m:t>.</m:t>
                  </m:r>
                  <m:r>
                    <w:rPr>
                      <w:rFonts w:ascii="Cambria Math" w:hAnsi="Cambria Math"/>
                      <w:sz w:val="20"/>
                      <w:szCs w:val="20"/>
                    </w:rPr>
                    <m:t>69</m:t>
                  </m:r>
                  <m:r>
                    <w:rPr>
                      <w:rFonts w:ascii="Cambria Math" w:hAnsi="Cambria Math"/>
                      <w:sz w:val="20"/>
                      <w:szCs w:val="20"/>
                    </w:rPr>
                    <m:t>-</m:t>
                  </m:r>
                  <m:r>
                    <w:rPr>
                      <w:rFonts w:ascii="Cambria Math" w:hAnsi="Cambria Math"/>
                      <w:sz w:val="20"/>
                      <w:szCs w:val="20"/>
                    </w:rPr>
                    <m:t>8.314</m:t>
                  </m:r>
                </m:e>
              </m:d>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J</m:t>
                  </m:r>
                </m:num>
                <m:den>
                  <m:r>
                    <w:rPr>
                      <w:rFonts w:ascii="Cambria Math" w:hAnsi="Cambria Math"/>
                      <w:sz w:val="20"/>
                      <w:szCs w:val="20"/>
                    </w:rPr>
                    <m:t>mol K</m:t>
                  </m:r>
                </m:den>
              </m:f>
            </m:den>
          </m:f>
          <m:r>
            <w:rPr>
              <w:rFonts w:ascii="Cambria Math" w:hAnsi="Cambria Math"/>
              <w:sz w:val="20"/>
              <w:szCs w:val="20"/>
            </w:rPr>
            <m:t>=1.3</m:t>
          </m:r>
          <m:r>
            <w:rPr>
              <w:rFonts w:ascii="Cambria Math" w:hAnsi="Cambria Math"/>
              <w:sz w:val="20"/>
              <w:szCs w:val="20"/>
            </w:rPr>
            <m:t>0</m:t>
          </m:r>
          <m:r>
            <w:rPr>
              <w:rFonts w:ascii="Cambria Math" w:eastAsiaTheme="minorEastAsia" w:hAnsi="Cambria Math"/>
              <w:sz w:val="20"/>
              <w:szCs w:val="20"/>
            </w:rPr>
            <m:t>→</m:t>
          </m:r>
          <m:f>
            <m:fPr>
              <m:ctrlPr>
                <w:rPr>
                  <w:rFonts w:ascii="Cambria Math" w:eastAsiaTheme="minorHAnsi" w:hAnsi="Cambria Math"/>
                  <w:i/>
                  <w:sz w:val="20"/>
                  <w:szCs w:val="20"/>
                </w:rPr>
              </m:ctrlPr>
            </m:fPr>
            <m:num>
              <m:r>
                <w:rPr>
                  <w:rFonts w:ascii="Cambria Math" w:hAnsi="Cambria Math"/>
                  <w:sz w:val="20"/>
                  <w:szCs w:val="20"/>
                </w:rPr>
                <m:t>γ</m:t>
              </m:r>
            </m:num>
            <m:den>
              <m:r>
                <w:rPr>
                  <w:rFonts w:ascii="Cambria Math" w:hAnsi="Cambria Math"/>
                  <w:sz w:val="20"/>
                  <w:szCs w:val="20"/>
                </w:rPr>
                <m:t>γ-1</m:t>
              </m:r>
            </m:den>
          </m:f>
          <m:r>
            <w:rPr>
              <w:rFonts w:ascii="Cambria Math" w:hAnsi="Cambria Math"/>
              <w:sz w:val="20"/>
              <w:szCs w:val="20"/>
            </w:rPr>
            <m:t>=</m:t>
          </m:r>
          <m:r>
            <w:rPr>
              <w:rFonts w:ascii="Cambria Math" w:hAnsi="Cambria Math"/>
              <w:sz w:val="20"/>
              <w:szCs w:val="20"/>
            </w:rPr>
            <m:t>4.</m:t>
          </m:r>
          <m:r>
            <w:rPr>
              <w:rFonts w:ascii="Cambria Math" w:hAnsi="Cambria Math"/>
              <w:sz w:val="20"/>
              <w:szCs w:val="20"/>
            </w:rPr>
            <m:t>3</m:t>
          </m:r>
          <m:r>
            <w:rPr>
              <w:rFonts w:ascii="Cambria Math" w:hAnsi="Cambria Math"/>
              <w:sz w:val="20"/>
              <w:szCs w:val="20"/>
            </w:rPr>
            <m:t xml:space="preserve">3, </m:t>
          </m:r>
          <m:f>
            <m:fPr>
              <m:ctrlPr>
                <w:rPr>
                  <w:rFonts w:ascii="Cambria Math" w:eastAsiaTheme="minorHAnsi" w:hAnsi="Cambria Math"/>
                  <w:i/>
                  <w:sz w:val="20"/>
                  <w:szCs w:val="20"/>
                </w:rPr>
              </m:ctrlPr>
            </m:fPr>
            <m:num>
              <m:r>
                <w:rPr>
                  <w:rFonts w:ascii="Cambria Math" w:hAnsi="Cambria Math"/>
                  <w:sz w:val="20"/>
                  <w:szCs w:val="20"/>
                </w:rPr>
                <m:t>γ-1</m:t>
              </m:r>
            </m:num>
            <m:den>
              <m:r>
                <w:rPr>
                  <w:rFonts w:ascii="Cambria Math" w:hAnsi="Cambria Math"/>
                  <w:sz w:val="20"/>
                  <w:szCs w:val="20"/>
                </w:rPr>
                <m:t>γ</m:t>
              </m:r>
            </m:den>
          </m:f>
          <m:r>
            <w:rPr>
              <w:rFonts w:ascii="Cambria Math" w:hAnsi="Cambria Math"/>
              <w:sz w:val="20"/>
              <w:szCs w:val="20"/>
            </w:rPr>
            <m:t>=0.2</m:t>
          </m:r>
          <m:r>
            <w:rPr>
              <w:rFonts w:ascii="Cambria Math" w:hAnsi="Cambria Math"/>
              <w:sz w:val="20"/>
              <w:szCs w:val="20"/>
            </w:rPr>
            <m:t>3</m:t>
          </m:r>
        </m:oMath>
      </m:oMathPara>
    </w:p>
    <w:p w14:paraId="51F13250" w14:textId="0067134A" w:rsidR="003F785B" w:rsidRDefault="003F785B" w:rsidP="003F785B">
      <w:pPr>
        <w:rPr>
          <w:sz w:val="20"/>
          <w:szCs w:val="20"/>
        </w:rPr>
      </w:pPr>
      <m:oMathPara>
        <m:oMath>
          <m:r>
            <w:rPr>
              <w:rFonts w:ascii="Cambria Math" w:hAnsi="Cambria Math"/>
              <w:sz w:val="20"/>
              <w:szCs w:val="20"/>
            </w:rPr>
            <w:lastRenderedPageBreak/>
            <m:t xml:space="preserve">ideal: </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γ</m:t>
              </m:r>
            </m:e>
            <m:sub>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2</m:t>
                  </m:r>
                </m:sub>
              </m:sSub>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p</m:t>
                  </m:r>
                </m:sub>
              </m:sSub>
            </m:num>
            <m:den>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v</m:t>
                  </m:r>
                </m:sub>
              </m:sSub>
            </m:den>
          </m:f>
          <m:r>
            <w:rPr>
              <w:rFonts w:ascii="Cambria Math" w:eastAsiaTheme="minorEastAsia"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m:t>
              </m:r>
              <m:sSub>
                <m:sSubPr>
                  <m:ctrlPr>
                    <w:rPr>
                      <w:rFonts w:ascii="Cambria Math" w:eastAsiaTheme="minorHAnsi"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num>
            <m:den>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c</m:t>
                  </m:r>
                </m:e>
                <m:sub>
                  <m:r>
                    <w:rPr>
                      <w:rFonts w:ascii="Cambria Math" w:hAnsi="Cambria Math"/>
                      <w:sz w:val="20"/>
                      <w:szCs w:val="20"/>
                    </w:rPr>
                    <m:t>p</m:t>
                  </m:r>
                </m:sub>
              </m:sSub>
              <m:r>
                <w:rPr>
                  <w:rFonts w:ascii="Cambria Math" w:hAnsi="Cambria Math"/>
                  <w:sz w:val="20"/>
                  <w:szCs w:val="20"/>
                </w:rPr>
                <m:t>(</m:t>
              </m:r>
              <m:sSub>
                <m:sSubPr>
                  <m:ctrlPr>
                    <w:rPr>
                      <w:rFonts w:ascii="Cambria Math" w:eastAsiaTheme="minorHAnsi"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)-R</m:t>
              </m:r>
            </m:den>
          </m:f>
          <m:r>
            <w:rPr>
              <w:rFonts w:ascii="Cambria Math" w:eastAsiaTheme="minorEastAsia"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28</m:t>
              </m:r>
              <m:r>
                <w:rPr>
                  <w:rFonts w:ascii="Cambria Math" w:hAnsi="Cambria Math"/>
                  <w:sz w:val="20"/>
                  <w:szCs w:val="20"/>
                </w:rPr>
                <m:t>.</m:t>
              </m:r>
              <m:r>
                <w:rPr>
                  <w:rFonts w:ascii="Cambria Math" w:hAnsi="Cambria Math"/>
                  <w:sz w:val="20"/>
                  <w:szCs w:val="20"/>
                </w:rPr>
                <m:t>84</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J</m:t>
                  </m:r>
                </m:num>
                <m:den>
                  <m:r>
                    <w:rPr>
                      <w:rFonts w:ascii="Cambria Math" w:hAnsi="Cambria Math"/>
                      <w:sz w:val="20"/>
                      <w:szCs w:val="20"/>
                    </w:rPr>
                    <m:t>mol K</m:t>
                  </m:r>
                </m:den>
              </m:f>
            </m:num>
            <m:den>
              <m:d>
                <m:dPr>
                  <m:ctrlPr>
                    <w:rPr>
                      <w:rFonts w:ascii="Cambria Math" w:eastAsiaTheme="minorHAnsi" w:hAnsi="Cambria Math" w:cstheme="minorBidi"/>
                      <w:i/>
                      <w:kern w:val="2"/>
                      <w:sz w:val="20"/>
                      <w:szCs w:val="20"/>
                      <w:lang w:eastAsia="en-US"/>
                      <w14:ligatures w14:val="standardContextual"/>
                    </w:rPr>
                  </m:ctrlPr>
                </m:dPr>
                <m:e>
                  <m:r>
                    <w:rPr>
                      <w:rFonts w:ascii="Cambria Math" w:hAnsi="Cambria Math"/>
                      <w:sz w:val="20"/>
                      <w:szCs w:val="20"/>
                    </w:rPr>
                    <m:t>28</m:t>
                  </m:r>
                  <m:r>
                    <w:rPr>
                      <w:rFonts w:ascii="Cambria Math" w:hAnsi="Cambria Math"/>
                      <w:sz w:val="20"/>
                      <w:szCs w:val="20"/>
                    </w:rPr>
                    <m:t>.</m:t>
                  </m:r>
                  <m:r>
                    <w:rPr>
                      <w:rFonts w:ascii="Cambria Math" w:hAnsi="Cambria Math"/>
                      <w:sz w:val="20"/>
                      <w:szCs w:val="20"/>
                    </w:rPr>
                    <m:t>84</m:t>
                  </m:r>
                  <m:r>
                    <w:rPr>
                      <w:rFonts w:ascii="Cambria Math" w:hAnsi="Cambria Math"/>
                      <w:sz w:val="20"/>
                      <w:szCs w:val="20"/>
                    </w:rPr>
                    <m:t>-8.314</m:t>
                  </m:r>
                </m:e>
              </m:d>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J</m:t>
                  </m:r>
                </m:num>
                <m:den>
                  <m:r>
                    <w:rPr>
                      <w:rFonts w:ascii="Cambria Math" w:hAnsi="Cambria Math"/>
                      <w:sz w:val="20"/>
                      <w:szCs w:val="20"/>
                    </w:rPr>
                    <m:t>mol K</m:t>
                  </m:r>
                </m:den>
              </m:f>
            </m:den>
          </m:f>
          <m:r>
            <w:rPr>
              <w:rFonts w:ascii="Cambria Math" w:hAnsi="Cambria Math"/>
              <w:sz w:val="20"/>
              <w:szCs w:val="20"/>
            </w:rPr>
            <m:t>=1.</m:t>
          </m:r>
          <m:r>
            <w:rPr>
              <w:rFonts w:ascii="Cambria Math" w:hAnsi="Cambria Math"/>
              <w:sz w:val="20"/>
              <w:szCs w:val="20"/>
            </w:rPr>
            <m:t>41</m:t>
          </m:r>
          <m:r>
            <w:rPr>
              <w:rFonts w:ascii="Cambria Math" w:eastAsiaTheme="minorEastAsia" w:hAnsi="Cambria Math"/>
              <w:sz w:val="20"/>
              <w:szCs w:val="20"/>
            </w:rPr>
            <m:t>→</m:t>
          </m:r>
          <m:f>
            <m:fPr>
              <m:ctrlPr>
                <w:rPr>
                  <w:rFonts w:ascii="Cambria Math" w:eastAsiaTheme="minorHAnsi" w:hAnsi="Cambria Math"/>
                  <w:i/>
                  <w:sz w:val="20"/>
                  <w:szCs w:val="20"/>
                </w:rPr>
              </m:ctrlPr>
            </m:fPr>
            <m:num>
              <m:r>
                <w:rPr>
                  <w:rFonts w:ascii="Cambria Math" w:hAnsi="Cambria Math"/>
                  <w:sz w:val="20"/>
                  <w:szCs w:val="20"/>
                </w:rPr>
                <m:t>γ</m:t>
              </m:r>
            </m:num>
            <m:den>
              <m:r>
                <w:rPr>
                  <w:rFonts w:ascii="Cambria Math" w:hAnsi="Cambria Math"/>
                  <w:sz w:val="20"/>
                  <w:szCs w:val="20"/>
                </w:rPr>
                <m:t>γ-1</m:t>
              </m:r>
            </m:den>
          </m:f>
          <m:r>
            <w:rPr>
              <w:rFonts w:ascii="Cambria Math" w:hAnsi="Cambria Math"/>
              <w:sz w:val="20"/>
              <w:szCs w:val="20"/>
            </w:rPr>
            <m:t>=</m:t>
          </m:r>
          <m:r>
            <w:rPr>
              <w:rFonts w:ascii="Cambria Math" w:hAnsi="Cambria Math"/>
              <w:sz w:val="20"/>
              <w:szCs w:val="20"/>
            </w:rPr>
            <m:t>3</m:t>
          </m:r>
          <m:r>
            <w:rPr>
              <w:rFonts w:ascii="Cambria Math" w:hAnsi="Cambria Math"/>
              <w:sz w:val="20"/>
              <w:szCs w:val="20"/>
            </w:rPr>
            <m:t>.</m:t>
          </m:r>
          <m:r>
            <w:rPr>
              <w:rFonts w:ascii="Cambria Math" w:hAnsi="Cambria Math"/>
              <w:sz w:val="20"/>
              <w:szCs w:val="20"/>
            </w:rPr>
            <m:t>44</m:t>
          </m:r>
          <m:r>
            <w:rPr>
              <w:rFonts w:ascii="Cambria Math" w:hAnsi="Cambria Math"/>
              <w:sz w:val="20"/>
              <w:szCs w:val="20"/>
            </w:rPr>
            <m:t xml:space="preserve">, </m:t>
          </m:r>
          <m:f>
            <m:fPr>
              <m:ctrlPr>
                <w:rPr>
                  <w:rFonts w:ascii="Cambria Math" w:eastAsiaTheme="minorHAnsi" w:hAnsi="Cambria Math"/>
                  <w:i/>
                  <w:sz w:val="20"/>
                  <w:szCs w:val="20"/>
                </w:rPr>
              </m:ctrlPr>
            </m:fPr>
            <m:num>
              <m:r>
                <w:rPr>
                  <w:rFonts w:ascii="Cambria Math" w:hAnsi="Cambria Math"/>
                  <w:sz w:val="20"/>
                  <w:szCs w:val="20"/>
                </w:rPr>
                <m:t>γ-1</m:t>
              </m:r>
            </m:num>
            <m:den>
              <m:r>
                <w:rPr>
                  <w:rFonts w:ascii="Cambria Math" w:hAnsi="Cambria Math"/>
                  <w:sz w:val="20"/>
                  <w:szCs w:val="20"/>
                </w:rPr>
                <m:t>γ</m:t>
              </m:r>
            </m:den>
          </m:f>
          <m:r>
            <w:rPr>
              <w:rFonts w:ascii="Cambria Math" w:hAnsi="Cambria Math"/>
              <w:sz w:val="20"/>
              <w:szCs w:val="20"/>
            </w:rPr>
            <m:t>=0.2</m:t>
          </m:r>
          <m:r>
            <w:rPr>
              <w:rFonts w:ascii="Cambria Math" w:hAnsi="Cambria Math"/>
              <w:sz w:val="20"/>
              <w:szCs w:val="20"/>
            </w:rPr>
            <m:t>9</m:t>
          </m:r>
        </m:oMath>
      </m:oMathPara>
    </w:p>
    <w:p w14:paraId="62392324" w14:textId="77777777" w:rsidR="003F785B" w:rsidRDefault="003F785B" w:rsidP="00083F5E">
      <w:pPr>
        <w:rPr>
          <w:sz w:val="20"/>
          <w:szCs w:val="20"/>
        </w:rPr>
      </w:pPr>
    </w:p>
    <w:p w14:paraId="259E4975" w14:textId="2663290E" w:rsidR="00F039D6" w:rsidRPr="00A60B9D" w:rsidRDefault="00083F5E" w:rsidP="00083F5E">
      <w:pPr>
        <w:rPr>
          <w:rFonts w:eastAsiaTheme="minorEastAsia"/>
          <w:sz w:val="20"/>
          <w:szCs w:val="20"/>
        </w:rPr>
      </w:pPr>
      <m:oMathPara>
        <m:oMath>
          <m:r>
            <w:rPr>
              <w:rFonts w:ascii="Cambria Math" w:hAnsi="Cambria Math"/>
              <w:sz w:val="20"/>
              <w:szCs w:val="20"/>
            </w:rPr>
            <m:t>∆</m:t>
          </m:r>
          <m:sSub>
            <m:sSubPr>
              <m:ctrlPr>
                <w:rPr>
                  <w:rFonts w:ascii="Cambria Math" w:eastAsiaTheme="minorHAnsi" w:hAnsi="Cambria Math" w:cstheme="minorBidi"/>
                  <w:i/>
                  <w:iCs/>
                  <w:kern w:val="2"/>
                  <w:sz w:val="20"/>
                  <w:szCs w:val="20"/>
                  <w:lang w:eastAsia="en-US"/>
                  <w14:ligatures w14:val="standardContextual"/>
                </w:rPr>
              </m:ctrlPr>
            </m:sSubPr>
            <m:e>
              <m:r>
                <w:rPr>
                  <w:rFonts w:ascii="Cambria Math" w:hAnsi="Cambria Math"/>
                  <w:sz w:val="20"/>
                  <w:szCs w:val="20"/>
                </w:rPr>
                <m:t>W</m:t>
              </m:r>
            </m:e>
            <m:sub>
              <m:r>
                <w:rPr>
                  <w:rFonts w:ascii="Cambria Math" w:hAnsi="Cambria Math"/>
                  <w:sz w:val="20"/>
                  <w:szCs w:val="20"/>
                </w:rPr>
                <m:t>E-C</m:t>
              </m:r>
            </m:sub>
          </m:sSub>
          <m:sSub>
            <m:sSubPr>
              <m:ctrlPr>
                <w:rPr>
                  <w:rFonts w:ascii="Cambria Math" w:eastAsiaTheme="minorHAnsi" w:hAnsi="Cambria Math" w:cstheme="minorBidi"/>
                  <w:i/>
                  <w:iCs/>
                  <w:kern w:val="2"/>
                  <w:sz w:val="20"/>
                  <w:szCs w:val="20"/>
                  <w:lang w:eastAsia="en-US"/>
                  <w14:ligatures w14:val="standardContextual"/>
                </w:rPr>
              </m:ctrlPr>
            </m:sSubPr>
            <m:e>
              <m:r>
                <w:rPr>
                  <w:rFonts w:ascii="Cambria Math" w:hAnsi="Cambria Math"/>
                  <w:sz w:val="20"/>
                  <w:szCs w:val="20"/>
                </w:rPr>
                <m:t>=</m:t>
              </m:r>
              <m:r>
                <w:rPr>
                  <w:rFonts w:ascii="Cambria Math" w:hAnsi="Cambria Math"/>
                  <w:sz w:val="20"/>
                  <w:szCs w:val="20"/>
                </w:rPr>
                <m:t>W</m:t>
              </m:r>
            </m:e>
            <m:sub>
              <m:r>
                <w:rPr>
                  <w:rFonts w:ascii="Cambria Math" w:hAnsi="Cambria Math"/>
                  <w:sz w:val="20"/>
                  <w:szCs w:val="20"/>
                </w:rPr>
                <m:t>E</m:t>
              </m:r>
            </m:sub>
          </m:sSub>
          <m:r>
            <w:rPr>
              <w:rFonts w:ascii="Cambria Math" w:hAnsi="Cambria Math"/>
              <w:sz w:val="20"/>
              <w:szCs w:val="20"/>
            </w:rPr>
            <m:t>-</m:t>
          </m:r>
          <m:sSub>
            <m:sSubPr>
              <m:ctrlPr>
                <w:rPr>
                  <w:rFonts w:ascii="Cambria Math" w:eastAsiaTheme="minorHAnsi" w:hAnsi="Cambria Math" w:cstheme="minorBidi"/>
                  <w:i/>
                  <w:iCs/>
                  <w:kern w:val="2"/>
                  <w:sz w:val="20"/>
                  <w:szCs w:val="20"/>
                  <w:lang w:eastAsia="en-US"/>
                  <w14:ligatures w14:val="standardContextual"/>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=R∙</m:t>
          </m:r>
          <m:sSub>
            <m:sSubPr>
              <m:ctrlPr>
                <w:rPr>
                  <w:rFonts w:ascii="Cambria Math" w:eastAsiaTheme="minorHAnsi" w:hAnsi="Cambria Math"/>
                  <w:i/>
                  <w:sz w:val="20"/>
                  <w:szCs w:val="20"/>
                </w:rPr>
              </m:ctrlPr>
            </m:sSubPr>
            <m:e>
              <m:r>
                <w:rPr>
                  <w:rFonts w:ascii="Cambria Math" w:hAnsi="Cambria Math"/>
                  <w:sz w:val="20"/>
                  <w:szCs w:val="20"/>
                </w:rPr>
                <m:t>T</m:t>
              </m:r>
            </m:e>
            <m:sub>
              <m:r>
                <w:rPr>
                  <w:rFonts w:ascii="Cambria Math" w:hAnsi="Cambria Math"/>
                  <w:sz w:val="20"/>
                  <w:szCs w:val="20"/>
                </w:rPr>
                <m:t>1</m:t>
              </m:r>
            </m:sub>
          </m:sSub>
          <m:r>
            <w:rPr>
              <w:rFonts w:ascii="Cambria Math" w:hAnsi="Cambria Math"/>
              <w:sz w:val="20"/>
              <w:szCs w:val="20"/>
            </w:rPr>
            <m:t>∙</m:t>
          </m:r>
          <m:d>
            <m:dPr>
              <m:ctrlPr>
                <w:rPr>
                  <w:rFonts w:ascii="Cambria Math" w:eastAsiaTheme="minorHAnsi" w:hAnsi="Cambria Math" w:cstheme="minorBidi"/>
                  <w:i/>
                  <w:kern w:val="2"/>
                  <w:sz w:val="20"/>
                  <w:szCs w:val="20"/>
                  <w:lang w:eastAsia="en-US"/>
                  <w14:ligatures w14:val="standardContextual"/>
                </w:rPr>
              </m:ctrlPr>
            </m:dPr>
            <m:e>
              <m:f>
                <m:fPr>
                  <m:ctrlPr>
                    <w:rPr>
                      <w:rFonts w:ascii="Cambria Math" w:eastAsiaTheme="minorHAnsi" w:hAnsi="Cambria Math"/>
                      <w:i/>
                      <w:sz w:val="20"/>
                      <w:szCs w:val="20"/>
                    </w:rPr>
                  </m:ctrlPr>
                </m:fPr>
                <m:num>
                  <m:r>
                    <w:rPr>
                      <w:rFonts w:ascii="Cambria Math" w:hAnsi="Cambria Math"/>
                      <w:sz w:val="20"/>
                      <w:szCs w:val="20"/>
                    </w:rPr>
                    <m:t>γ</m:t>
                  </m:r>
                </m:num>
                <m:den>
                  <m:r>
                    <w:rPr>
                      <w:rFonts w:ascii="Cambria Math" w:hAnsi="Cambria Math"/>
                      <w:sz w:val="20"/>
                      <w:szCs w:val="20"/>
                    </w:rPr>
                    <m:t>γ-1</m:t>
                  </m:r>
                </m:den>
              </m:f>
              <m:r>
                <w:rPr>
                  <w:rFonts w:ascii="Cambria Math" w:hAnsi="Cambria Math"/>
                  <w:sz w:val="20"/>
                  <w:szCs w:val="20"/>
                </w:rPr>
                <m:t>∙</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n</m:t>
                  </m:r>
                </m:e>
                <m:sub>
                  <m:r>
                    <w:rPr>
                      <w:rFonts w:ascii="Cambria Math" w:hAnsi="Cambria Math"/>
                      <w:sz w:val="20"/>
                      <w:szCs w:val="20"/>
                    </w:rPr>
                    <m:t>E</m:t>
                  </m:r>
                </m:sub>
              </m:sSub>
              <m:r>
                <w:rPr>
                  <w:rFonts w:ascii="Cambria Math" w:hAnsi="Cambria Math"/>
                  <w:sz w:val="20"/>
                  <w:szCs w:val="20"/>
                </w:rPr>
                <m:t>∙</m:t>
              </m:r>
              <m:d>
                <m:dPr>
                  <m:begChr m:val="["/>
                  <m:endChr m:val="]"/>
                  <m:ctrlPr>
                    <w:rPr>
                      <w:rFonts w:ascii="Cambria Math" w:eastAsiaTheme="minorHAnsi" w:hAnsi="Cambria Math"/>
                      <w:i/>
                      <w:sz w:val="20"/>
                      <w:szCs w:val="20"/>
                    </w:rPr>
                  </m:ctrlPr>
                </m:dPr>
                <m:e>
                  <m:r>
                    <w:rPr>
                      <w:rFonts w:ascii="Cambria Math" w:hAnsi="Cambria Math"/>
                      <w:sz w:val="20"/>
                      <w:szCs w:val="20"/>
                    </w:rPr>
                    <m:t>1-</m:t>
                  </m:r>
                  <m:sSup>
                    <m:sSupPr>
                      <m:ctrlPr>
                        <w:rPr>
                          <w:rFonts w:ascii="Cambria Math" w:eastAsiaTheme="minorHAnsi" w:hAnsi="Cambria Math"/>
                          <w:i/>
                          <w:sz w:val="20"/>
                          <w:szCs w:val="20"/>
                        </w:rPr>
                      </m:ctrlPr>
                    </m:sSupPr>
                    <m:e>
                      <m:d>
                        <m:dPr>
                          <m:ctrlPr>
                            <w:rPr>
                              <w:rFonts w:ascii="Cambria Math" w:eastAsiaTheme="minorHAnsi" w:hAnsi="Cambria Math"/>
                              <w:i/>
                              <w:sz w:val="20"/>
                              <w:szCs w:val="20"/>
                            </w:rPr>
                          </m:ctrlPr>
                        </m:dPr>
                        <m:e>
                          <m:f>
                            <m:fPr>
                              <m:ctrlPr>
                                <w:rPr>
                                  <w:rFonts w:ascii="Cambria Math" w:eastAsiaTheme="minorHAnsi" w:hAnsi="Cambria Math"/>
                                  <w:i/>
                                  <w:sz w:val="20"/>
                                  <w:szCs w:val="20"/>
                                </w:rPr>
                              </m:ctrlPr>
                            </m:fPr>
                            <m:num>
                              <m:sSub>
                                <m:sSubPr>
                                  <m:ctrlPr>
                                    <w:rPr>
                                      <w:rFonts w:ascii="Cambria Math" w:eastAsiaTheme="minorHAnsi" w:hAnsi="Cambria Math"/>
                                      <w:i/>
                                      <w:sz w:val="20"/>
                                      <w:szCs w:val="20"/>
                                    </w:rPr>
                                  </m:ctrlPr>
                                </m:sSubPr>
                                <m:e>
                                  <m:r>
                                    <w:rPr>
                                      <w:rFonts w:ascii="Cambria Math" w:hAnsi="Cambria Math"/>
                                      <w:sz w:val="20"/>
                                      <w:szCs w:val="20"/>
                                    </w:rPr>
                                    <m:t>p</m:t>
                                  </m:r>
                                </m:e>
                                <m:sub>
                                  <m:r>
                                    <w:rPr>
                                      <w:rFonts w:ascii="Cambria Math" w:hAnsi="Cambria Math"/>
                                      <w:sz w:val="20"/>
                                      <w:szCs w:val="20"/>
                                    </w:rPr>
                                    <m:t>2</m:t>
                                  </m:r>
                                </m:sub>
                              </m:sSub>
                            </m:num>
                            <m:den>
                              <m:sSub>
                                <m:sSubPr>
                                  <m:ctrlPr>
                                    <w:rPr>
                                      <w:rFonts w:ascii="Cambria Math" w:eastAsiaTheme="minorHAnsi" w:hAnsi="Cambria Math"/>
                                      <w:i/>
                                      <w:sz w:val="20"/>
                                      <w:szCs w:val="20"/>
                                    </w:rPr>
                                  </m:ctrlPr>
                                </m:sSubPr>
                                <m:e>
                                  <m:r>
                                    <w:rPr>
                                      <w:rFonts w:ascii="Cambria Math" w:hAnsi="Cambria Math"/>
                                      <w:sz w:val="20"/>
                                      <w:szCs w:val="20"/>
                                    </w:rPr>
                                    <m:t>p</m:t>
                                  </m:r>
                                </m:e>
                                <m:sub>
                                  <m:r>
                                    <w:rPr>
                                      <w:rFonts w:ascii="Cambria Math" w:hAnsi="Cambria Math"/>
                                      <w:sz w:val="20"/>
                                      <w:szCs w:val="20"/>
                                    </w:rPr>
                                    <m:t>1</m:t>
                                  </m:r>
                                </m:sub>
                              </m:sSub>
                            </m:den>
                          </m:f>
                        </m:e>
                      </m:d>
                    </m:e>
                    <m:sup>
                      <m:f>
                        <m:fPr>
                          <m:ctrlPr>
                            <w:rPr>
                              <w:rFonts w:ascii="Cambria Math" w:eastAsiaTheme="minorHAnsi" w:hAnsi="Cambria Math"/>
                              <w:i/>
                              <w:sz w:val="20"/>
                              <w:szCs w:val="20"/>
                            </w:rPr>
                          </m:ctrlPr>
                        </m:fPr>
                        <m:num>
                          <m:r>
                            <w:rPr>
                              <w:rFonts w:ascii="Cambria Math" w:hAnsi="Cambria Math"/>
                              <w:sz w:val="20"/>
                              <w:szCs w:val="20"/>
                            </w:rPr>
                            <m:t>γ-1</m:t>
                          </m:r>
                        </m:num>
                        <m:den>
                          <m:r>
                            <w:rPr>
                              <w:rFonts w:ascii="Cambria Math" w:hAnsi="Cambria Math"/>
                              <w:sz w:val="20"/>
                              <w:szCs w:val="20"/>
                            </w:rPr>
                            <m:t>γ</m:t>
                          </m:r>
                        </m:den>
                      </m:f>
                    </m:sup>
                  </m:sSup>
                </m:e>
              </m:d>
              <m:r>
                <w:rPr>
                  <w:rFonts w:ascii="Cambria Math" w:hAnsi="Cambria Math"/>
                  <w:sz w:val="20"/>
                  <w:szCs w:val="20"/>
                </w:rPr>
                <m:t>-</m:t>
              </m:r>
              <m:sSub>
                <m:sSubPr>
                  <m:ctrlPr>
                    <w:rPr>
                      <w:rFonts w:ascii="Cambria Math" w:eastAsiaTheme="minorHAnsi" w:hAnsi="Cambria Math" w:cstheme="minorBidi"/>
                      <w:i/>
                      <w:kern w:val="2"/>
                      <w:sz w:val="20"/>
                      <w:szCs w:val="20"/>
                      <w:lang w:eastAsia="en-US"/>
                      <w14:ligatures w14:val="standardContextual"/>
                    </w:rPr>
                  </m:ctrlPr>
                </m:sSubPr>
                <m:e>
                  <m:f>
                    <m:fPr>
                      <m:ctrlPr>
                        <w:rPr>
                          <w:rFonts w:ascii="Cambria Math" w:eastAsiaTheme="minorHAnsi" w:hAnsi="Cambria Math"/>
                          <w:i/>
                          <w:sz w:val="20"/>
                          <w:szCs w:val="20"/>
                        </w:rPr>
                      </m:ctrlPr>
                    </m:fPr>
                    <m:num>
                      <m:r>
                        <w:rPr>
                          <w:rFonts w:ascii="Cambria Math" w:hAnsi="Cambria Math"/>
                          <w:sz w:val="20"/>
                          <w:szCs w:val="20"/>
                        </w:rPr>
                        <m:t>γ</m:t>
                      </m:r>
                    </m:num>
                    <m:den>
                      <m:r>
                        <w:rPr>
                          <w:rFonts w:ascii="Cambria Math" w:hAnsi="Cambria Math"/>
                          <w:sz w:val="20"/>
                          <w:szCs w:val="20"/>
                        </w:rPr>
                        <m:t>γ-1</m:t>
                      </m:r>
                    </m:den>
                  </m:f>
                  <m:r>
                    <w:rPr>
                      <w:rFonts w:ascii="Cambria Math" w:hAnsi="Cambria Math"/>
                      <w:sz w:val="20"/>
                      <w:szCs w:val="20"/>
                    </w:rPr>
                    <m:t>∙</m:t>
                  </m:r>
                  <m:r>
                    <w:rPr>
                      <w:rFonts w:ascii="Cambria Math" w:hAnsi="Cambria Math"/>
                      <w:sz w:val="20"/>
                      <w:szCs w:val="20"/>
                    </w:rPr>
                    <m:t>n</m:t>
                  </m:r>
                </m:e>
                <m:sub>
                  <m:r>
                    <w:rPr>
                      <w:rFonts w:ascii="Cambria Math" w:hAnsi="Cambria Math"/>
                      <w:sz w:val="20"/>
                      <w:szCs w:val="20"/>
                    </w:rPr>
                    <m:t>C</m:t>
                  </m:r>
                </m:sub>
              </m:sSub>
              <m:r>
                <w:rPr>
                  <w:rFonts w:ascii="Cambria Math" w:hAnsi="Cambria Math"/>
                  <w:sz w:val="20"/>
                  <w:szCs w:val="20"/>
                </w:rPr>
                <m:t>∙</m:t>
              </m:r>
              <m:d>
                <m:dPr>
                  <m:begChr m:val="["/>
                  <m:endChr m:val="]"/>
                  <m:ctrlPr>
                    <w:rPr>
                      <w:rFonts w:ascii="Cambria Math" w:eastAsiaTheme="minorHAnsi" w:hAnsi="Cambria Math"/>
                      <w:i/>
                      <w:sz w:val="20"/>
                      <w:szCs w:val="20"/>
                    </w:rPr>
                  </m:ctrlPr>
                </m:dPr>
                <m:e>
                  <m:sSup>
                    <m:sSupPr>
                      <m:ctrlPr>
                        <w:rPr>
                          <w:rFonts w:ascii="Cambria Math" w:eastAsiaTheme="minorHAnsi" w:hAnsi="Cambria Math"/>
                          <w:i/>
                          <w:sz w:val="20"/>
                          <w:szCs w:val="20"/>
                        </w:rPr>
                      </m:ctrlPr>
                    </m:sSupPr>
                    <m:e>
                      <m:d>
                        <m:dPr>
                          <m:ctrlPr>
                            <w:rPr>
                              <w:rFonts w:ascii="Cambria Math" w:eastAsiaTheme="minorHAnsi" w:hAnsi="Cambria Math"/>
                              <w:i/>
                              <w:sz w:val="20"/>
                              <w:szCs w:val="20"/>
                            </w:rPr>
                          </m:ctrlPr>
                        </m:dPr>
                        <m:e>
                          <m:f>
                            <m:fPr>
                              <m:ctrlPr>
                                <w:rPr>
                                  <w:rFonts w:ascii="Cambria Math" w:eastAsiaTheme="minorHAnsi" w:hAnsi="Cambria Math"/>
                                  <w:i/>
                                  <w:sz w:val="20"/>
                                  <w:szCs w:val="20"/>
                                </w:rPr>
                              </m:ctrlPr>
                            </m:fPr>
                            <m:num>
                              <m:sSub>
                                <m:sSubPr>
                                  <m:ctrlPr>
                                    <w:rPr>
                                      <w:rFonts w:ascii="Cambria Math" w:eastAsiaTheme="minorHAnsi" w:hAnsi="Cambria Math"/>
                                      <w:i/>
                                      <w:sz w:val="20"/>
                                      <w:szCs w:val="20"/>
                                    </w:rPr>
                                  </m:ctrlPr>
                                </m:sSubPr>
                                <m:e>
                                  <m:r>
                                    <w:rPr>
                                      <w:rFonts w:ascii="Cambria Math" w:hAnsi="Cambria Math"/>
                                      <w:sz w:val="20"/>
                                      <w:szCs w:val="20"/>
                                    </w:rPr>
                                    <m:t>p</m:t>
                                  </m:r>
                                </m:e>
                                <m:sub>
                                  <m:r>
                                    <w:rPr>
                                      <w:rFonts w:ascii="Cambria Math" w:hAnsi="Cambria Math"/>
                                      <w:sz w:val="20"/>
                                      <w:szCs w:val="20"/>
                                    </w:rPr>
                                    <m:t>2</m:t>
                                  </m:r>
                                </m:sub>
                              </m:sSub>
                            </m:num>
                            <m:den>
                              <m:sSub>
                                <m:sSubPr>
                                  <m:ctrlPr>
                                    <w:rPr>
                                      <w:rFonts w:ascii="Cambria Math" w:eastAsiaTheme="minorHAnsi" w:hAnsi="Cambria Math"/>
                                      <w:i/>
                                      <w:sz w:val="20"/>
                                      <w:szCs w:val="20"/>
                                    </w:rPr>
                                  </m:ctrlPr>
                                </m:sSubPr>
                                <m:e>
                                  <m:r>
                                    <w:rPr>
                                      <w:rFonts w:ascii="Cambria Math" w:hAnsi="Cambria Math"/>
                                      <w:sz w:val="20"/>
                                      <w:szCs w:val="20"/>
                                    </w:rPr>
                                    <m:t>p</m:t>
                                  </m:r>
                                </m:e>
                                <m:sub>
                                  <m:r>
                                    <w:rPr>
                                      <w:rFonts w:ascii="Cambria Math" w:hAnsi="Cambria Math"/>
                                      <w:sz w:val="20"/>
                                      <w:szCs w:val="20"/>
                                    </w:rPr>
                                    <m:t>1</m:t>
                                  </m:r>
                                </m:sub>
                              </m:sSub>
                            </m:den>
                          </m:f>
                        </m:e>
                      </m:d>
                    </m:e>
                    <m:sup>
                      <m:f>
                        <m:fPr>
                          <m:ctrlPr>
                            <w:rPr>
                              <w:rFonts w:ascii="Cambria Math" w:eastAsiaTheme="minorHAnsi" w:hAnsi="Cambria Math"/>
                              <w:i/>
                              <w:sz w:val="20"/>
                              <w:szCs w:val="20"/>
                            </w:rPr>
                          </m:ctrlPr>
                        </m:fPr>
                        <m:num>
                          <m:r>
                            <w:rPr>
                              <w:rFonts w:ascii="Cambria Math" w:hAnsi="Cambria Math"/>
                              <w:sz w:val="20"/>
                              <w:szCs w:val="20"/>
                            </w:rPr>
                            <m:t>γ-1</m:t>
                          </m:r>
                        </m:num>
                        <m:den>
                          <m:r>
                            <w:rPr>
                              <w:rFonts w:ascii="Cambria Math" w:hAnsi="Cambria Math"/>
                              <w:sz w:val="20"/>
                              <w:szCs w:val="20"/>
                            </w:rPr>
                            <m:t>γ</m:t>
                          </m:r>
                        </m:den>
                      </m:f>
                    </m:sup>
                  </m:sSup>
                  <m:r>
                    <w:rPr>
                      <w:rFonts w:ascii="Cambria Math" w:hAnsi="Cambria Math"/>
                      <w:sz w:val="20"/>
                      <w:szCs w:val="20"/>
                    </w:rPr>
                    <m:t>-1</m:t>
                  </m:r>
                </m:e>
              </m:d>
            </m:e>
          </m:d>
          <m:r>
            <w:rPr>
              <w:rFonts w:ascii="Cambria Math" w:eastAsiaTheme="minorEastAsia" w:hAnsi="Cambria Math"/>
              <w:sz w:val="20"/>
              <w:szCs w:val="20"/>
            </w:rPr>
            <m:t>=</m:t>
          </m:r>
          <m:r>
            <w:rPr>
              <w:rFonts w:ascii="Cambria Math" w:hAnsi="Cambria Math"/>
              <w:sz w:val="20"/>
              <w:szCs w:val="20"/>
            </w:rPr>
            <m:t>8.314</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k</m:t>
              </m:r>
              <m:r>
                <w:rPr>
                  <w:rFonts w:ascii="Cambria Math" w:hAnsi="Cambria Math"/>
                  <w:sz w:val="20"/>
                  <w:szCs w:val="20"/>
                </w:rPr>
                <m:t>J</m:t>
              </m:r>
            </m:num>
            <m:den>
              <m:r>
                <w:rPr>
                  <w:rFonts w:ascii="Cambria Math" w:hAnsi="Cambria Math"/>
                  <w:sz w:val="20"/>
                  <w:szCs w:val="20"/>
                </w:rPr>
                <m:t>k</m:t>
              </m:r>
              <m:r>
                <w:rPr>
                  <w:rFonts w:ascii="Cambria Math" w:hAnsi="Cambria Math"/>
                  <w:sz w:val="20"/>
                  <w:szCs w:val="20"/>
                </w:rPr>
                <m:t>mol K</m:t>
              </m:r>
            </m:den>
          </m:f>
          <m:r>
            <w:rPr>
              <w:rFonts w:ascii="Cambria Math" w:hAnsi="Cambria Math"/>
              <w:sz w:val="20"/>
              <w:szCs w:val="20"/>
            </w:rPr>
            <m:t>∙</m:t>
          </m:r>
          <m:r>
            <w:rPr>
              <w:rFonts w:ascii="Cambria Math" w:hAnsi="Cambria Math"/>
              <w:sz w:val="20"/>
              <w:szCs w:val="20"/>
            </w:rPr>
            <m:t>273.15 K</m:t>
          </m:r>
          <m:r>
            <w:rPr>
              <w:rFonts w:ascii="Cambria Math" w:hAnsi="Cambria Math"/>
              <w:sz w:val="20"/>
              <w:szCs w:val="20"/>
            </w:rPr>
            <m:t>∙</m:t>
          </m:r>
          <m:d>
            <m:dPr>
              <m:ctrlPr>
                <w:rPr>
                  <w:rFonts w:ascii="Cambria Math" w:eastAsiaTheme="minorHAnsi" w:hAnsi="Cambria Math" w:cstheme="minorBidi"/>
                  <w:i/>
                  <w:kern w:val="2"/>
                  <w:sz w:val="20"/>
                  <w:szCs w:val="20"/>
                  <w:lang w:eastAsia="en-US"/>
                  <w14:ligatures w14:val="standardContextual"/>
                </w:rPr>
              </m:ctrlPr>
            </m:dPr>
            <m:e>
              <m:r>
                <w:rPr>
                  <w:rFonts w:ascii="Cambria Math" w:hAnsi="Cambria Math"/>
                  <w:sz w:val="20"/>
                  <w:szCs w:val="20"/>
                </w:rPr>
                <m:t>4.33</m:t>
              </m:r>
              <m:r>
                <w:rPr>
                  <w:rFonts w:ascii="Cambria Math" w:hAnsi="Cambria Math"/>
                  <w:sz w:val="20"/>
                  <w:szCs w:val="20"/>
                </w:rPr>
                <m:t>∙</m:t>
              </m:r>
              <m:r>
                <w:rPr>
                  <w:rFonts w:ascii="Cambria Math" w:hAnsi="Cambria Math"/>
                  <w:sz w:val="20"/>
                  <w:szCs w:val="20"/>
                </w:rPr>
                <m:t>1863</m:t>
              </m:r>
              <m:r>
                <w:rPr>
                  <w:rFonts w:ascii="Cambria Math" w:hAnsi="Cambria Math"/>
                  <w:sz w:val="20"/>
                  <w:szCs w:val="20"/>
                </w:rPr>
                <m:t>.</m:t>
              </m:r>
              <m:r>
                <w:rPr>
                  <w:rFonts w:ascii="Cambria Math" w:hAnsi="Cambria Math"/>
                  <w:sz w:val="20"/>
                  <w:szCs w:val="20"/>
                </w:rPr>
                <m:t>5</m:t>
              </m:r>
              <m:f>
                <m:fPr>
                  <m:ctrlPr>
                    <w:rPr>
                      <w:rFonts w:ascii="Cambria Math" w:hAnsi="Cambria Math"/>
                      <w:i/>
                      <w:sz w:val="20"/>
                      <w:szCs w:val="20"/>
                    </w:rPr>
                  </m:ctrlPr>
                </m:fPr>
                <m:num>
                  <m:r>
                    <w:rPr>
                      <w:rFonts w:ascii="Cambria Math" w:hAnsi="Cambria Math"/>
                      <w:sz w:val="20"/>
                      <w:szCs w:val="20"/>
                    </w:rPr>
                    <m:t>kmol</m:t>
                  </m:r>
                </m:num>
                <m:den>
                  <m:r>
                    <w:rPr>
                      <w:rFonts w:ascii="Cambria Math" w:hAnsi="Cambria Math"/>
                      <w:sz w:val="20"/>
                      <w:szCs w:val="20"/>
                    </w:rPr>
                    <m:t>h</m:t>
                  </m:r>
                </m:den>
              </m:f>
              <m:r>
                <w:rPr>
                  <w:rFonts w:ascii="Cambria Math" w:hAnsi="Cambria Math"/>
                  <w:sz w:val="20"/>
                  <w:szCs w:val="20"/>
                </w:rPr>
                <m:t>∙</m:t>
              </m:r>
              <m:d>
                <m:dPr>
                  <m:begChr m:val="["/>
                  <m:endChr m:val="]"/>
                  <m:ctrlPr>
                    <w:rPr>
                      <w:rFonts w:ascii="Cambria Math" w:eastAsiaTheme="minorHAnsi" w:hAnsi="Cambria Math"/>
                      <w:i/>
                      <w:sz w:val="20"/>
                      <w:szCs w:val="20"/>
                    </w:rPr>
                  </m:ctrlPr>
                </m:dPr>
                <m:e>
                  <m:r>
                    <w:rPr>
                      <w:rFonts w:ascii="Cambria Math" w:hAnsi="Cambria Math"/>
                      <w:sz w:val="20"/>
                      <w:szCs w:val="20"/>
                    </w:rPr>
                    <m:t>1-</m:t>
                  </m:r>
                  <m:sSup>
                    <m:sSupPr>
                      <m:ctrlPr>
                        <w:rPr>
                          <w:rFonts w:ascii="Cambria Math" w:eastAsiaTheme="minorHAnsi" w:hAnsi="Cambria Math"/>
                          <w:i/>
                          <w:sz w:val="20"/>
                          <w:szCs w:val="20"/>
                        </w:rPr>
                      </m:ctrlPr>
                    </m:sSupPr>
                    <m:e>
                      <m:d>
                        <m:dPr>
                          <m:ctrlPr>
                            <w:rPr>
                              <w:rFonts w:ascii="Cambria Math" w:eastAsiaTheme="minorHAnsi" w:hAnsi="Cambria Math"/>
                              <w:i/>
                              <w:sz w:val="20"/>
                              <w:szCs w:val="20"/>
                            </w:rPr>
                          </m:ctrlPr>
                        </m:dPr>
                        <m:e>
                          <m:f>
                            <m:fPr>
                              <m:ctrlPr>
                                <w:rPr>
                                  <w:rFonts w:ascii="Cambria Math" w:eastAsiaTheme="minorHAnsi" w:hAnsi="Cambria Math"/>
                                  <w:i/>
                                  <w:sz w:val="20"/>
                                  <w:szCs w:val="20"/>
                                </w:rPr>
                              </m:ctrlPr>
                            </m:fPr>
                            <m:num>
                              <m:r>
                                <w:rPr>
                                  <w:rFonts w:ascii="Cambria Math" w:hAnsi="Cambria Math"/>
                                  <w:sz w:val="20"/>
                                  <w:szCs w:val="20"/>
                                </w:rPr>
                                <m:t>37.1 bar</m:t>
                              </m:r>
                            </m:num>
                            <m:den>
                              <m:r>
                                <w:rPr>
                                  <w:rFonts w:ascii="Cambria Math" w:hAnsi="Cambria Math"/>
                                  <w:sz w:val="20"/>
                                  <w:szCs w:val="20"/>
                                </w:rPr>
                                <m:t>70 bar</m:t>
                              </m:r>
                            </m:den>
                          </m:f>
                        </m:e>
                      </m:d>
                    </m:e>
                    <m:sup>
                      <m:r>
                        <w:rPr>
                          <w:rFonts w:ascii="Cambria Math" w:hAnsi="Cambria Math"/>
                          <w:sz w:val="20"/>
                          <w:szCs w:val="20"/>
                        </w:rPr>
                        <m:t>0.2</m:t>
                      </m:r>
                      <m:r>
                        <w:rPr>
                          <w:rFonts w:ascii="Cambria Math" w:hAnsi="Cambria Math"/>
                          <w:sz w:val="20"/>
                          <w:szCs w:val="20"/>
                        </w:rPr>
                        <m:t>3</m:t>
                      </m:r>
                    </m:sup>
                  </m:sSup>
                </m:e>
              </m:d>
              <m:r>
                <w:rPr>
                  <w:rFonts w:ascii="Cambria Math" w:hAnsi="Cambria Math"/>
                  <w:sz w:val="20"/>
                  <w:szCs w:val="20"/>
                </w:rPr>
                <m:t>-</m:t>
              </m:r>
              <m:r>
                <w:rPr>
                  <w:rFonts w:ascii="Cambria Math" w:hAnsi="Cambria Math"/>
                  <w:sz w:val="20"/>
                  <w:szCs w:val="20"/>
                </w:rPr>
                <m:t>3.44</m:t>
              </m:r>
              <m:r>
                <w:rPr>
                  <w:rFonts w:ascii="Cambria Math" w:hAnsi="Cambria Math"/>
                  <w:sz w:val="20"/>
                  <w:szCs w:val="20"/>
                </w:rPr>
                <m:t>∙</m:t>
              </m:r>
              <m:r>
                <w:rPr>
                  <w:rFonts w:ascii="Cambria Math" w:hAnsi="Cambria Math"/>
                  <w:sz w:val="20"/>
                  <w:szCs w:val="20"/>
                </w:rPr>
                <m:t>4461</m:t>
              </m:r>
              <m:r>
                <w:rPr>
                  <w:rFonts w:ascii="Cambria Math" w:hAnsi="Cambria Math"/>
                  <w:sz w:val="20"/>
                  <w:szCs w:val="20"/>
                </w:rPr>
                <m:t>.</m:t>
              </m:r>
              <m:r>
                <w:rPr>
                  <w:rFonts w:ascii="Cambria Math" w:hAnsi="Cambria Math"/>
                  <w:sz w:val="20"/>
                  <w:szCs w:val="20"/>
                </w:rPr>
                <m:t>5</m:t>
              </m:r>
              <m:f>
                <m:fPr>
                  <m:ctrlPr>
                    <w:rPr>
                      <w:rFonts w:ascii="Cambria Math" w:hAnsi="Cambria Math"/>
                      <w:i/>
                      <w:sz w:val="20"/>
                      <w:szCs w:val="20"/>
                    </w:rPr>
                  </m:ctrlPr>
                </m:fPr>
                <m:num>
                  <m:r>
                    <w:rPr>
                      <w:rFonts w:ascii="Cambria Math" w:hAnsi="Cambria Math"/>
                      <w:sz w:val="20"/>
                      <w:szCs w:val="20"/>
                    </w:rPr>
                    <m:t>kmol</m:t>
                  </m:r>
                </m:num>
                <m:den>
                  <m:r>
                    <w:rPr>
                      <w:rFonts w:ascii="Cambria Math" w:hAnsi="Cambria Math"/>
                      <w:sz w:val="20"/>
                      <w:szCs w:val="20"/>
                    </w:rPr>
                    <m:t>h</m:t>
                  </m:r>
                </m:den>
              </m:f>
              <m:r>
                <w:rPr>
                  <w:rFonts w:ascii="Cambria Math" w:hAnsi="Cambria Math"/>
                  <w:sz w:val="20"/>
                  <w:szCs w:val="20"/>
                </w:rPr>
                <m:t>∙</m:t>
              </m:r>
              <m:d>
                <m:dPr>
                  <m:begChr m:val="["/>
                  <m:endChr m:val="]"/>
                  <m:ctrlPr>
                    <w:rPr>
                      <w:rFonts w:ascii="Cambria Math" w:eastAsiaTheme="minorHAnsi" w:hAnsi="Cambria Math"/>
                      <w:i/>
                      <w:sz w:val="20"/>
                      <w:szCs w:val="20"/>
                    </w:rPr>
                  </m:ctrlPr>
                </m:dPr>
                <m:e>
                  <m:sSup>
                    <m:sSupPr>
                      <m:ctrlPr>
                        <w:rPr>
                          <w:rFonts w:ascii="Cambria Math" w:eastAsiaTheme="minorHAnsi" w:hAnsi="Cambria Math"/>
                          <w:i/>
                          <w:sz w:val="20"/>
                          <w:szCs w:val="20"/>
                        </w:rPr>
                      </m:ctrlPr>
                    </m:sSupPr>
                    <m:e>
                      <m:d>
                        <m:dPr>
                          <m:ctrlPr>
                            <w:rPr>
                              <w:rFonts w:ascii="Cambria Math" w:eastAsiaTheme="minorHAnsi" w:hAnsi="Cambria Math"/>
                              <w:i/>
                              <w:sz w:val="20"/>
                              <w:szCs w:val="20"/>
                            </w:rPr>
                          </m:ctrlPr>
                        </m:dPr>
                        <m:e>
                          <m:f>
                            <m:fPr>
                              <m:ctrlPr>
                                <w:rPr>
                                  <w:rFonts w:ascii="Cambria Math" w:eastAsiaTheme="minorHAnsi" w:hAnsi="Cambria Math"/>
                                  <w:i/>
                                  <w:sz w:val="20"/>
                                  <w:szCs w:val="20"/>
                                </w:rPr>
                              </m:ctrlPr>
                            </m:fPr>
                            <m:num>
                              <m:r>
                                <w:rPr>
                                  <w:rFonts w:ascii="Cambria Math" w:hAnsi="Cambria Math"/>
                                  <w:sz w:val="20"/>
                                  <w:szCs w:val="20"/>
                                </w:rPr>
                                <m:t>70 bar</m:t>
                              </m:r>
                            </m:num>
                            <m:den>
                              <m:r>
                                <w:rPr>
                                  <w:rFonts w:ascii="Cambria Math" w:hAnsi="Cambria Math"/>
                                  <w:sz w:val="20"/>
                                  <w:szCs w:val="20"/>
                                </w:rPr>
                                <m:t>25 bar</m:t>
                              </m:r>
                            </m:den>
                          </m:f>
                        </m:e>
                      </m:d>
                    </m:e>
                    <m:sup>
                      <m:r>
                        <w:rPr>
                          <w:rFonts w:ascii="Cambria Math" w:hAnsi="Cambria Math"/>
                          <w:sz w:val="20"/>
                          <w:szCs w:val="20"/>
                        </w:rPr>
                        <m:t>0.2</m:t>
                      </m:r>
                      <m:r>
                        <w:rPr>
                          <w:rFonts w:ascii="Cambria Math" w:hAnsi="Cambria Math"/>
                          <w:sz w:val="20"/>
                          <w:szCs w:val="20"/>
                        </w:rPr>
                        <m:t>9</m:t>
                      </m:r>
                    </m:sup>
                  </m:sSup>
                  <m:r>
                    <w:rPr>
                      <w:rFonts w:ascii="Cambria Math" w:hAnsi="Cambria Math"/>
                      <w:sz w:val="20"/>
                      <w:szCs w:val="20"/>
                    </w:rPr>
                    <m:t>-1</m:t>
                  </m:r>
                </m:e>
              </m:d>
            </m:e>
          </m:d>
          <m:r>
            <w:rPr>
              <w:rFonts w:ascii="Cambria Math" w:eastAsiaTheme="minorEastAsia" w:hAnsi="Cambria Math"/>
              <w:sz w:val="20"/>
              <w:szCs w:val="20"/>
            </w:rPr>
            <m:t>=</m:t>
          </m:r>
          <m:r>
            <w:rPr>
              <w:rFonts w:ascii="Cambria Math" w:eastAsiaTheme="minorEastAsia" w:hAnsi="Cambria Math"/>
              <w:sz w:val="20"/>
              <w:szCs w:val="20"/>
            </w:rPr>
            <m:t>-</m:t>
          </m:r>
          <m:r>
            <w:rPr>
              <w:rFonts w:ascii="Cambria Math" w:eastAsiaTheme="minorEastAsia" w:hAnsi="Cambria Math"/>
              <w:sz w:val="20"/>
              <w:szCs w:val="20"/>
            </w:rPr>
            <m:t>9.</m:t>
          </m:r>
          <m:r>
            <w:rPr>
              <w:rFonts w:ascii="Cambria Math" w:eastAsiaTheme="minorEastAsia" w:hAnsi="Cambria Math"/>
              <w:sz w:val="20"/>
              <w:szCs w:val="20"/>
            </w:rPr>
            <m:t>64</m:t>
          </m:r>
          <m:r>
            <w:rPr>
              <w:rFonts w:ascii="Cambria Math" w:hAnsi="Cambria Math"/>
              <w:sz w:val="20"/>
              <w:szCs w:val="20"/>
            </w:rPr>
            <m:t>∙</m:t>
          </m:r>
          <m:sSup>
            <m:sSupPr>
              <m:ctrlPr>
                <w:rPr>
                  <w:rFonts w:ascii="Cambria Math" w:eastAsiaTheme="minorHAnsi" w:hAnsi="Cambria Math"/>
                  <w:i/>
                  <w:sz w:val="20"/>
                  <w:szCs w:val="20"/>
                </w:rPr>
              </m:ctrlPr>
            </m:sSupPr>
            <m:e>
              <m:r>
                <w:rPr>
                  <w:rFonts w:ascii="Cambria Math" w:hAnsi="Cambria Math"/>
                  <w:sz w:val="20"/>
                  <w:szCs w:val="20"/>
                </w:rPr>
                <m:t>10</m:t>
              </m:r>
            </m:e>
            <m:sup>
              <m:r>
                <w:rPr>
                  <w:rFonts w:ascii="Cambria Math" w:hAnsi="Cambria Math"/>
                  <w:sz w:val="20"/>
                  <w:szCs w:val="20"/>
                </w:rPr>
                <m:t>6</m:t>
              </m:r>
            </m:sup>
          </m:sSup>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kJ</m:t>
              </m:r>
            </m:num>
            <m:den>
              <m:r>
                <w:rPr>
                  <w:rFonts w:ascii="Cambria Math" w:hAnsi="Cambria Math"/>
                  <w:sz w:val="20"/>
                  <w:szCs w:val="20"/>
                </w:rPr>
                <m:t>h</m:t>
              </m:r>
            </m:den>
          </m:f>
          <m:r>
            <w:rPr>
              <w:rFonts w:ascii="Cambria Math" w:hAnsi="Cambria Math"/>
              <w:sz w:val="20"/>
              <w:szCs w:val="20"/>
            </w:rPr>
            <m:t>=-</m:t>
          </m:r>
          <m:r>
            <w:rPr>
              <w:rFonts w:ascii="Cambria Math" w:hAnsi="Cambria Math"/>
              <w:sz w:val="20"/>
              <w:szCs w:val="20"/>
            </w:rPr>
            <m:t>2.6</m:t>
          </m:r>
          <m:r>
            <w:rPr>
              <w:rFonts w:ascii="Cambria Math" w:hAnsi="Cambria Math"/>
              <w:sz w:val="20"/>
              <w:szCs w:val="20"/>
            </w:rPr>
            <m:t>8</m:t>
          </m:r>
          <m:r>
            <w:rPr>
              <w:rFonts w:ascii="Cambria Math" w:hAnsi="Cambria Math"/>
              <w:sz w:val="20"/>
              <w:szCs w:val="20"/>
            </w:rPr>
            <m:t xml:space="preserve"> MW</m:t>
          </m:r>
          <m:r>
            <w:rPr>
              <w:rFonts w:ascii="Cambria Math" w:hAnsi="Cambria Math"/>
              <w:sz w:val="20"/>
              <w:szCs w:val="20"/>
            </w:rPr>
            <m:t>h/h</m:t>
          </m:r>
        </m:oMath>
      </m:oMathPara>
    </w:p>
    <w:p w14:paraId="049194FF" w14:textId="6F4060EC" w:rsidR="00083F5E" w:rsidRPr="00EE6A48" w:rsidRDefault="00090069" w:rsidP="00083F5E">
      <w:pPr>
        <w:rPr>
          <w:i/>
          <w:iCs/>
          <w:sz w:val="20"/>
          <w:szCs w:val="20"/>
        </w:rPr>
      </w:pPr>
      <w:r>
        <w:rPr>
          <w:sz w:val="20"/>
          <w:szCs w:val="20"/>
        </w:rPr>
        <w:t>T</w:t>
      </w:r>
      <w:r w:rsidRPr="00F87519">
        <w:rPr>
          <w:sz w:val="20"/>
          <w:szCs w:val="20"/>
        </w:rPr>
        <w:t xml:space="preserve">he electrical demand was converted to primary energy using </w:t>
      </w:r>
      <w:r>
        <w:rPr>
          <w:sz w:val="20"/>
          <w:szCs w:val="20"/>
        </w:rPr>
        <w:t xml:space="preserve">the same </w:t>
      </w:r>
      <w:r w:rsidRPr="00F87519">
        <w:rPr>
          <w:sz w:val="20"/>
          <w:szCs w:val="20"/>
        </w:rPr>
        <w:t>factor of 2.5</w:t>
      </w:r>
      <w:r>
        <w:rPr>
          <w:sz w:val="20"/>
          <w:szCs w:val="20"/>
        </w:rPr>
        <w:t xml:space="preserve"> as above, assuming an efficiency factor of 0.85</w:t>
      </w:r>
      <w:r w:rsidR="00EE6A48">
        <w:rPr>
          <w:sz w:val="20"/>
          <w:szCs w:val="20"/>
        </w:rPr>
        <w:t xml:space="preserve"> </w:t>
      </w:r>
      <w:r w:rsidR="00EE6A48" w:rsidRPr="00EE6A48">
        <w:rPr>
          <w:color w:val="EE0000"/>
          <w:sz w:val="20"/>
          <w:szCs w:val="20"/>
        </w:rPr>
        <w:t>[source!]</w:t>
      </w:r>
      <w:r w:rsidRPr="00EE6A48">
        <w:rPr>
          <w:color w:val="EE0000"/>
          <w:sz w:val="20"/>
          <w:szCs w:val="20"/>
        </w:rPr>
        <w:t xml:space="preserve"> </w:t>
      </w:r>
      <w:r>
        <w:rPr>
          <w:sz w:val="20"/>
          <w:szCs w:val="20"/>
        </w:rPr>
        <w:t xml:space="preserve">for both (expansion and compression machine) and normalization to 339 MWh/h NG feed results in </w:t>
      </w:r>
      <w:r>
        <w:rPr>
          <w:i/>
          <w:iCs/>
          <w:sz w:val="20"/>
          <w:szCs w:val="20"/>
        </w:rPr>
        <w:t>e</w:t>
      </w:r>
      <w:r w:rsidRPr="00090069">
        <w:rPr>
          <w:i/>
          <w:iCs/>
          <w:sz w:val="20"/>
          <w:szCs w:val="20"/>
        </w:rPr>
        <w:t xml:space="preserve">xtra </w:t>
      </w:r>
      <w:r>
        <w:rPr>
          <w:i/>
          <w:iCs/>
          <w:sz w:val="20"/>
          <w:szCs w:val="20"/>
        </w:rPr>
        <w:t>energy</w:t>
      </w:r>
      <w:r w:rsidRPr="00090069">
        <w:rPr>
          <w:i/>
          <w:iCs/>
          <w:sz w:val="20"/>
          <w:szCs w:val="20"/>
        </w:rPr>
        <w:t xml:space="preserve"> </w:t>
      </w:r>
      <w:r>
        <w:rPr>
          <w:i/>
          <w:iCs/>
          <w:sz w:val="20"/>
          <w:szCs w:val="20"/>
        </w:rPr>
        <w:t>costs</w:t>
      </w:r>
      <w:r w:rsidRPr="00090069">
        <w:rPr>
          <w:i/>
          <w:iCs/>
          <w:sz w:val="20"/>
          <w:szCs w:val="20"/>
        </w:rPr>
        <w:t xml:space="preserve"> </w:t>
      </w:r>
      <w:r w:rsidRPr="00EE6A48">
        <w:rPr>
          <w:sz w:val="20"/>
          <w:szCs w:val="20"/>
        </w:rPr>
        <w:t xml:space="preserve">of </w:t>
      </w:r>
      <w:r w:rsidR="00EE6A48" w:rsidRPr="00EE6A48">
        <w:rPr>
          <w:sz w:val="20"/>
          <w:szCs w:val="20"/>
        </w:rPr>
        <w:t>2.3% due to compression. I</w:t>
      </w:r>
      <w:r w:rsidR="00EE6A48" w:rsidRPr="00EE6A48">
        <w:rPr>
          <w:sz w:val="20"/>
          <w:szCs w:val="20"/>
        </w:rPr>
        <w:t>nsufficient</w:t>
      </w:r>
      <w:r w:rsidR="00EE6A48" w:rsidRPr="00E73259">
        <w:rPr>
          <w:sz w:val="20"/>
          <w:szCs w:val="20"/>
        </w:rPr>
        <w:t xml:space="preserve"> to close the gap between electricity and natural gas costs</w:t>
      </w:r>
      <w:r w:rsidR="00EE6A48">
        <w:rPr>
          <w:i/>
          <w:iCs/>
          <w:sz w:val="20"/>
          <w:szCs w:val="20"/>
        </w:rPr>
        <w:t xml:space="preserve">. </w:t>
      </w:r>
    </w:p>
    <w:p w14:paraId="3283C7B7" w14:textId="77777777" w:rsidR="00083F5E" w:rsidRPr="00B44E2A" w:rsidRDefault="00083F5E" w:rsidP="009D0974">
      <w:pPr>
        <w:rPr>
          <w:rFonts w:asciiTheme="minorHAnsi" w:eastAsiaTheme="minorEastAsia" w:hAnsiTheme="minorHAnsi" w:cstheme="minorBidi"/>
          <w:color w:val="EE0000"/>
          <w:sz w:val="20"/>
          <w:szCs w:val="20"/>
        </w:rPr>
      </w:pPr>
    </w:p>
    <w:p w14:paraId="4D009869" w14:textId="77777777" w:rsidR="00AF7FF7" w:rsidRDefault="00AF7FF7" w:rsidP="00DD7131">
      <w:pPr>
        <w:rPr>
          <w:sz w:val="20"/>
          <w:szCs w:val="20"/>
        </w:rPr>
      </w:pPr>
    </w:p>
    <w:p w14:paraId="0D932CDE" w14:textId="5C1E00CF" w:rsidR="00BF3CD6" w:rsidRPr="00BF3CD6" w:rsidRDefault="00BF3CD6" w:rsidP="00DD7131">
      <w:pPr>
        <w:rPr>
          <w:b/>
          <w:bCs/>
          <w:i/>
          <w:iCs/>
          <w:sz w:val="20"/>
          <w:szCs w:val="20"/>
        </w:rPr>
      </w:pPr>
      <w:r w:rsidRPr="00BF3CD6">
        <w:rPr>
          <w:b/>
          <w:bCs/>
          <w:i/>
          <w:iCs/>
          <w:sz w:val="20"/>
          <w:szCs w:val="20"/>
        </w:rPr>
        <w:t>Abatement Effectiveness</w:t>
      </w:r>
      <w:r w:rsidR="00764BCF">
        <w:rPr>
          <w:b/>
          <w:bCs/>
          <w:i/>
          <w:iCs/>
          <w:sz w:val="20"/>
          <w:szCs w:val="20"/>
        </w:rPr>
        <w:t xml:space="preserve"> of eSMR Reformer</w:t>
      </w:r>
    </w:p>
    <w:p w14:paraId="45E62F43" w14:textId="1C897EBA" w:rsidR="0018524F" w:rsidRDefault="00BA2C30" w:rsidP="00DD7131">
      <w:pPr>
        <w:rPr>
          <w:sz w:val="20"/>
          <w:szCs w:val="20"/>
        </w:rPr>
      </w:pPr>
      <w:r w:rsidRPr="00BA2C30">
        <w:rPr>
          <w:sz w:val="20"/>
          <w:szCs w:val="20"/>
        </w:rPr>
        <w:t xml:space="preserve">The </w:t>
      </w:r>
      <w:r w:rsidRPr="00964CCC">
        <w:rPr>
          <w:b/>
          <w:bCs/>
          <w:sz w:val="20"/>
          <w:szCs w:val="20"/>
        </w:rPr>
        <w:t>long-term decarbonization</w:t>
      </w:r>
      <w:r w:rsidRPr="00BA2C30">
        <w:rPr>
          <w:sz w:val="20"/>
          <w:szCs w:val="20"/>
        </w:rPr>
        <w:t xml:space="preserve"> of industrial processes fundamentally </w:t>
      </w:r>
      <w:r w:rsidRPr="00964CCC">
        <w:rPr>
          <w:b/>
          <w:bCs/>
          <w:sz w:val="20"/>
          <w:szCs w:val="20"/>
        </w:rPr>
        <w:t>requires electrification</w:t>
      </w:r>
      <w:r w:rsidRPr="00BA2C30">
        <w:rPr>
          <w:sz w:val="20"/>
          <w:szCs w:val="20"/>
        </w:rPr>
        <w:t xml:space="preserve"> powered by renewable electricity. In this context, eSMR is structurally well-positioned: as grids decarbonize and renewable electricity costs decline, its OPEX penalty diminishes and its carbon footprint improves passively with the grid mix. </w:t>
      </w:r>
      <w:r w:rsidR="00107239">
        <w:rPr>
          <w:sz w:val="20"/>
          <w:szCs w:val="20"/>
        </w:rPr>
        <w:br/>
      </w:r>
      <w:r w:rsidR="00D964A0" w:rsidRPr="00D964A0">
        <w:rPr>
          <w:sz w:val="20"/>
          <w:szCs w:val="20"/>
        </w:rPr>
        <w:t>The ratio of t</w:t>
      </w:r>
      <w:r w:rsidR="00D84592">
        <w:rPr>
          <w:sz w:val="20"/>
          <w:szCs w:val="20"/>
        </w:rPr>
        <w:t xml:space="preserve"> </w:t>
      </w:r>
      <w:r w:rsidR="00D964A0" w:rsidRPr="00D964A0">
        <w:rPr>
          <w:sz w:val="20"/>
          <w:szCs w:val="20"/>
        </w:rPr>
        <w:t xml:space="preserve">CO₂ </w:t>
      </w:r>
      <w:r w:rsidR="00D84592">
        <w:rPr>
          <w:sz w:val="20"/>
          <w:szCs w:val="20"/>
        </w:rPr>
        <w:t xml:space="preserve">abated </w:t>
      </w:r>
      <w:r w:rsidR="00D964A0" w:rsidRPr="00D964A0">
        <w:rPr>
          <w:sz w:val="20"/>
          <w:szCs w:val="20"/>
        </w:rPr>
        <w:t xml:space="preserve">per MWh of </w:t>
      </w:r>
      <w:r w:rsidR="00D84592">
        <w:rPr>
          <w:sz w:val="20"/>
          <w:szCs w:val="20"/>
        </w:rPr>
        <w:t xml:space="preserve">renewable </w:t>
      </w:r>
      <w:r w:rsidR="00D964A0" w:rsidRPr="00D964A0">
        <w:rPr>
          <w:sz w:val="20"/>
          <w:szCs w:val="20"/>
        </w:rPr>
        <w:t>electricity is a common metric for assessing the decarbonization impact of electrification technologies</w:t>
      </w:r>
      <w:r w:rsidR="003B6AAA">
        <w:rPr>
          <w:sz w:val="20"/>
          <w:szCs w:val="20"/>
        </w:rPr>
        <w:t xml:space="preserve">, </w:t>
      </w:r>
      <w:r w:rsidR="003B6AAA" w:rsidRPr="003B6AAA">
        <w:rPr>
          <w:sz w:val="20"/>
          <w:szCs w:val="20"/>
        </w:rPr>
        <w:t xml:space="preserve">regardless of </w:t>
      </w:r>
      <w:r w:rsidR="003B6AAA">
        <w:rPr>
          <w:sz w:val="20"/>
          <w:szCs w:val="20"/>
        </w:rPr>
        <w:t>energy</w:t>
      </w:r>
      <w:r w:rsidR="003B6AAA" w:rsidRPr="003B6AAA">
        <w:rPr>
          <w:sz w:val="20"/>
          <w:szCs w:val="20"/>
        </w:rPr>
        <w:t xml:space="preserve"> price distortions</w:t>
      </w:r>
      <w:r w:rsidR="00D964A0" w:rsidRPr="00D964A0">
        <w:rPr>
          <w:sz w:val="20"/>
          <w:szCs w:val="20"/>
        </w:rPr>
        <w:t xml:space="preserve">. </w:t>
      </w:r>
      <w:r w:rsidR="0018524F">
        <w:rPr>
          <w:sz w:val="20"/>
          <w:szCs w:val="20"/>
        </w:rPr>
        <w:t xml:space="preserve">Under </w:t>
      </w:r>
      <w:r w:rsidR="00026348">
        <w:rPr>
          <w:sz w:val="20"/>
          <w:szCs w:val="20"/>
        </w:rPr>
        <w:t>theoretical upper bound</w:t>
      </w:r>
      <w:r w:rsidR="0018524F">
        <w:rPr>
          <w:sz w:val="20"/>
          <w:szCs w:val="20"/>
        </w:rPr>
        <w:t xml:space="preserve"> assumptions</w:t>
      </w:r>
      <w:r w:rsidR="00E95313">
        <w:rPr>
          <w:rStyle w:val="FootnoteReference"/>
          <w:sz w:val="20"/>
          <w:szCs w:val="20"/>
        </w:rPr>
        <w:footnoteReference w:id="2"/>
      </w:r>
      <w:r w:rsidR="00E95313">
        <w:rPr>
          <w:sz w:val="20"/>
          <w:szCs w:val="20"/>
        </w:rPr>
        <w:t xml:space="preserve"> </w:t>
      </w:r>
      <w:r w:rsidR="00800A7E">
        <w:rPr>
          <w:sz w:val="20"/>
          <w:szCs w:val="20"/>
        </w:rPr>
        <w:t xml:space="preserve">an </w:t>
      </w:r>
      <w:r w:rsidR="00800A7E" w:rsidRPr="00800A7E">
        <w:rPr>
          <w:i/>
          <w:iCs/>
          <w:sz w:val="20"/>
          <w:szCs w:val="20"/>
        </w:rPr>
        <w:t xml:space="preserve">Abatement </w:t>
      </w:r>
      <w:r w:rsidR="00284869">
        <w:rPr>
          <w:i/>
          <w:iCs/>
          <w:sz w:val="20"/>
          <w:szCs w:val="20"/>
        </w:rPr>
        <w:t>Effectiveness</w:t>
      </w:r>
      <w:r w:rsidR="00800A7E">
        <w:rPr>
          <w:sz w:val="20"/>
          <w:szCs w:val="20"/>
        </w:rPr>
        <w:t xml:space="preserve"> of up to </w:t>
      </w:r>
      <w:r w:rsidR="00E95313">
        <w:rPr>
          <w:sz w:val="20"/>
          <w:szCs w:val="20"/>
        </w:rPr>
        <w:t>0.</w:t>
      </w:r>
      <w:r w:rsidR="00D84592">
        <w:rPr>
          <w:sz w:val="20"/>
          <w:szCs w:val="20"/>
        </w:rPr>
        <w:t>24</w:t>
      </w:r>
      <w:r w:rsidR="00354EBF">
        <w:rPr>
          <w:sz w:val="20"/>
          <w:szCs w:val="20"/>
        </w:rPr>
        <w:t> t </w:t>
      </w:r>
      <w:r w:rsidR="00E95313">
        <w:rPr>
          <w:sz w:val="20"/>
          <w:szCs w:val="20"/>
        </w:rPr>
        <w:t>CO</w:t>
      </w:r>
      <w:r w:rsidR="00E95313">
        <w:rPr>
          <w:sz w:val="20"/>
          <w:szCs w:val="20"/>
          <w:vertAlign w:val="subscript"/>
        </w:rPr>
        <w:t>2</w:t>
      </w:r>
      <w:r w:rsidR="00E95313">
        <w:rPr>
          <w:sz w:val="20"/>
          <w:szCs w:val="20"/>
        </w:rPr>
        <w:t xml:space="preserve">/MWh </w:t>
      </w:r>
      <w:r w:rsidR="007F7249">
        <w:rPr>
          <w:sz w:val="20"/>
          <w:szCs w:val="20"/>
        </w:rPr>
        <w:t>is achievable:</w:t>
      </w:r>
    </w:p>
    <w:p w14:paraId="7F797228" w14:textId="62CAAC21" w:rsidR="00834D55" w:rsidRPr="00834D55" w:rsidRDefault="00834D55" w:rsidP="00834D55">
      <w:pPr>
        <w:rPr>
          <w:rFonts w:eastAsiaTheme="minorEastAsia"/>
          <w:sz w:val="20"/>
          <w:szCs w:val="20"/>
        </w:rPr>
      </w:pPr>
      <m:oMathPara>
        <m:oMath>
          <m:r>
            <w:rPr>
              <w:rFonts w:ascii="Cambria Math" w:hAnsi="Cambria Math"/>
              <w:sz w:val="20"/>
              <w:szCs w:val="20"/>
            </w:rPr>
            <m:t>Abatement Effectiveness=</m:t>
          </m:r>
          <m:f>
            <m:fPr>
              <m:ctrlPr>
                <w:rPr>
                  <w:rFonts w:ascii="Cambria Math" w:hAnsi="Cambria Math"/>
                  <w:i/>
                  <w:sz w:val="20"/>
                  <w:szCs w:val="20"/>
                </w:rPr>
              </m:ctrlPr>
            </m:fPr>
            <m:num>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R</m:t>
                      </m:r>
                      <m:r>
                        <w:rPr>
                          <w:rFonts w:ascii="Cambria Math" w:hAnsi="Cambria Math"/>
                          <w:sz w:val="20"/>
                          <w:szCs w:val="20"/>
                        </w:rPr>
                        <m:t>,NG</m:t>
                      </m:r>
                    </m:sub>
                  </m:sSub>
                  <m:r>
                    <w:rPr>
                      <w:rFonts w:ascii="Cambria Math" w:hAnsi="Cambria Math"/>
                      <w:sz w:val="20"/>
                      <w:szCs w:val="20"/>
                    </w:rPr>
                    <m:t>(850°C)</m:t>
                  </m:r>
                </m:num>
                <m:den>
                  <m:sSub>
                    <m:sSubPr>
                      <m:ctrlPr>
                        <w:rPr>
                          <w:rFonts w:ascii="Cambria Math" w:hAnsi="Cambria Math"/>
                          <w:i/>
                          <w:sz w:val="20"/>
                          <w:szCs w:val="20"/>
                        </w:rPr>
                      </m:ctrlPr>
                    </m:sSubPr>
                    <m:e>
                      <m:r>
                        <w:rPr>
                          <w:rFonts w:ascii="Cambria Math" w:hAnsi="Cambria Math"/>
                          <w:sz w:val="20"/>
                          <w:szCs w:val="20"/>
                        </w:rPr>
                        <m:t>η</m:t>
                      </m:r>
                    </m:e>
                    <m:sub>
                      <m:r>
                        <w:rPr>
                          <w:rFonts w:ascii="Cambria Math" w:hAnsi="Cambria Math"/>
                          <w:sz w:val="20"/>
                          <w:szCs w:val="20"/>
                        </w:rPr>
                        <m:t xml:space="preserve">fired </m:t>
                      </m:r>
                      <m:r>
                        <w:rPr>
                          <w:rFonts w:ascii="Cambria Math" w:hAnsi="Cambria Math"/>
                          <w:sz w:val="20"/>
                          <w:szCs w:val="20"/>
                        </w:rPr>
                        <m:t>heater</m:t>
                      </m:r>
                      <m:r>
                        <w:rPr>
                          <w:rFonts w:ascii="Cambria Math" w:hAnsi="Cambria Math"/>
                          <w:sz w:val="20"/>
                          <w:szCs w:val="20"/>
                        </w:rPr>
                        <m:t xml:space="preserve"> </m:t>
                      </m:r>
                    </m:sub>
                  </m:sSub>
                </m:den>
              </m:f>
              <m:r>
                <w:rPr>
                  <w:rFonts w:ascii="Cambria Math" w:hAnsi="Cambria Math"/>
                  <w:sz w:val="20"/>
                  <w:szCs w:val="20"/>
                </w:rPr>
                <m:t>∙</m:t>
              </m:r>
              <m:sSub>
                <m:sSubPr>
                  <m:ctrlPr>
                    <w:rPr>
                      <w:rFonts w:ascii="Cambria Math" w:eastAsiaTheme="minorEastAsia" w:hAnsi="Cambria Math" w:cstheme="minorBidi"/>
                      <w:i/>
                      <w:kern w:val="2"/>
                      <w:sz w:val="20"/>
                      <w:szCs w:val="20"/>
                      <w:lang w:eastAsia="en-US"/>
                      <w14:ligatures w14:val="standardContextual"/>
                    </w:rPr>
                  </m:ctrlPr>
                </m:sSubPr>
                <m:e>
                  <m:r>
                    <w:rPr>
                      <w:rFonts w:ascii="Cambria Math" w:eastAsiaTheme="minorEastAsia" w:hAnsi="Cambria Math"/>
                      <w:sz w:val="20"/>
                      <w:szCs w:val="20"/>
                    </w:rPr>
                    <m:t>E</m:t>
                  </m:r>
                  <m:r>
                    <w:rPr>
                      <w:rFonts w:ascii="Cambria Math" w:eastAsiaTheme="minorEastAsia" w:hAnsi="Cambria Math"/>
                      <w:sz w:val="20"/>
                      <w:szCs w:val="20"/>
                    </w:rPr>
                    <m:t>F</m:t>
                  </m:r>
                </m:e>
                <m:sub>
                  <m:r>
                    <w:rPr>
                      <w:rFonts w:ascii="Cambria Math" w:eastAsiaTheme="minorEastAsia" w:hAnsi="Cambria Math"/>
                      <w:sz w:val="20"/>
                      <w:szCs w:val="20"/>
                    </w:rPr>
                    <m:t>NG</m:t>
                  </m:r>
                </m:sub>
              </m:sSub>
              <m:r>
                <w:rPr>
                  <w:rFonts w:ascii="Cambria Math" w:eastAsiaTheme="minorEastAsia" w:hAnsi="Cambria Math"/>
                  <w:sz w:val="20"/>
                  <w:szCs w:val="20"/>
                </w:rPr>
                <m:t xml:space="preserve"> </m:t>
              </m:r>
            </m:num>
            <m:den>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R</m:t>
                  </m:r>
                  <m:r>
                    <w:rPr>
                      <w:rFonts w:ascii="Cambria Math" w:hAnsi="Cambria Math"/>
                      <w:sz w:val="20"/>
                      <w:szCs w:val="20"/>
                    </w:rPr>
                    <m:t>,el</m:t>
                  </m:r>
                </m:sub>
              </m:sSub>
              <m:r>
                <w:rPr>
                  <w:rFonts w:ascii="Cambria Math" w:hAnsi="Cambria Math"/>
                  <w:sz w:val="20"/>
                  <w:szCs w:val="20"/>
                </w:rPr>
                <m:t>(1100°C)</m:t>
              </m:r>
            </m:den>
          </m:f>
          <m:r>
            <w:rPr>
              <w:rFonts w:ascii="Cambria Math" w:hAnsi="Cambria Math"/>
              <w:sz w:val="20"/>
              <w:szCs w:val="20"/>
            </w:rPr>
            <m:t>=</m:t>
          </m:r>
          <m:f>
            <m:fPr>
              <m:ctrlPr>
                <w:rPr>
                  <w:rFonts w:ascii="Cambria Math" w:hAnsi="Cambria Math"/>
                  <w:i/>
                  <w:sz w:val="20"/>
                  <w:szCs w:val="20"/>
                </w:rPr>
              </m:ctrlPr>
            </m:fPr>
            <m:num>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215.1</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kJ</m:t>
                      </m:r>
                    </m:num>
                    <m:den>
                      <m:r>
                        <w:rPr>
                          <w:rFonts w:ascii="Cambria Math" w:hAnsi="Cambria Math"/>
                          <w:sz w:val="20"/>
                          <w:szCs w:val="20"/>
                        </w:rPr>
                        <m:t>mol</m:t>
                      </m:r>
                      <m:r>
                        <w:rPr>
                          <w:rFonts w:ascii="Cambria Math" w:hAnsi="Cambria Math"/>
                          <w:sz w:val="20"/>
                          <w:szCs w:val="20"/>
                        </w:rPr>
                        <m:t xml:space="preserve"> </m:t>
                      </m:r>
                      <m:r>
                        <w:rPr>
                          <w:rFonts w:ascii="Cambria Math" w:hAnsi="Cambria Math"/>
                          <w:sz w:val="20"/>
                          <w:szCs w:val="20"/>
                        </w:rPr>
                        <m:t>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4 reacted</m:t>
                          </m:r>
                        </m:sub>
                      </m:sSub>
                    </m:den>
                  </m:f>
                </m:num>
                <m:den>
                  <m:r>
                    <w:rPr>
                      <w:rFonts w:ascii="Cambria Math" w:hAnsi="Cambria Math"/>
                      <w:sz w:val="20"/>
                      <w:szCs w:val="20"/>
                    </w:rPr>
                    <m:t>0.85</m:t>
                  </m:r>
                </m:den>
              </m:f>
              <m:r>
                <w:rPr>
                  <w:rFonts w:ascii="Cambria Math" w:eastAsiaTheme="minorEastAsia" w:hAnsi="Cambria Math"/>
                  <w:sz w:val="20"/>
                  <w:szCs w:val="20"/>
                </w:rPr>
                <m:t>∙</m:t>
              </m:r>
              <m:r>
                <w:rPr>
                  <w:rFonts w:ascii="Cambria Math" w:eastAsiaTheme="minorEastAsia" w:hAnsi="Cambria Math"/>
                  <w:sz w:val="20"/>
                  <w:szCs w:val="20"/>
                </w:rPr>
                <m:t>57</m:t>
              </m:r>
              <m:f>
                <m:fPr>
                  <m:ctrlPr>
                    <w:rPr>
                      <w:rFonts w:ascii="Cambria Math" w:eastAsiaTheme="minorEastAsia" w:hAnsi="Cambria Math"/>
                      <w:i/>
                      <w:sz w:val="20"/>
                      <w:szCs w:val="20"/>
                    </w:rPr>
                  </m:ctrlPr>
                </m:fPr>
                <m:num>
                  <m:r>
                    <w:rPr>
                      <w:rFonts w:ascii="Cambria Math" w:eastAsiaTheme="minorEastAsia" w:hAnsi="Cambria Math"/>
                      <w:sz w:val="20"/>
                      <w:szCs w:val="20"/>
                    </w:rPr>
                    <m:t>t C</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2</m:t>
                      </m:r>
                    </m:sub>
                  </m:sSub>
                </m:num>
                <m:den>
                  <m:r>
                    <w:rPr>
                      <w:rFonts w:ascii="Cambria Math" w:eastAsiaTheme="minorEastAsia" w:hAnsi="Cambria Math"/>
                      <w:sz w:val="20"/>
                      <w:szCs w:val="20"/>
                    </w:rPr>
                    <m:t>TJ</m:t>
                  </m:r>
                </m:den>
              </m:f>
              <m:r>
                <w:rPr>
                  <w:rFonts w:ascii="Cambria Math" w:eastAsiaTheme="minorEastAsia" w:hAnsi="Cambria Math"/>
                  <w:sz w:val="20"/>
                  <w:szCs w:val="20"/>
                </w:rPr>
                <m:t>∙</m:t>
              </m:r>
              <m:sSup>
                <m:sSupPr>
                  <m:ctrlPr>
                    <w:rPr>
                      <w:rFonts w:ascii="Cambria Math" w:eastAsiaTheme="minorHAnsi" w:hAnsi="Cambria Math" w:cstheme="minorBidi"/>
                      <w:i/>
                      <w:kern w:val="2"/>
                      <w:sz w:val="20"/>
                      <w:szCs w:val="20"/>
                      <w:lang w:eastAsia="en-US"/>
                      <w14:ligatures w14:val="standardContextual"/>
                    </w:rPr>
                  </m:ctrlPr>
                </m:sSupPr>
                <m:e>
                  <m:r>
                    <w:rPr>
                      <w:rFonts w:ascii="Cambria Math" w:hAnsi="Cambria Math"/>
                      <w:sz w:val="20"/>
                      <w:szCs w:val="20"/>
                    </w:rPr>
                    <m:t>10</m:t>
                  </m:r>
                </m:e>
                <m:sup>
                  <m:r>
                    <w:rPr>
                      <w:rFonts w:ascii="Cambria Math" w:hAnsi="Cambria Math"/>
                      <w:sz w:val="20"/>
                      <w:szCs w:val="20"/>
                    </w:rPr>
                    <m:t>-6</m:t>
                  </m:r>
                </m:sup>
              </m:sSup>
              <m:f>
                <m:fPr>
                  <m:ctrlPr>
                    <w:rPr>
                      <w:rFonts w:ascii="Cambria Math" w:eastAsiaTheme="minorEastAsia" w:hAnsi="Cambria Math" w:cstheme="minorBidi"/>
                      <w:i/>
                      <w:kern w:val="2"/>
                      <w:sz w:val="20"/>
                      <w:szCs w:val="20"/>
                      <w:lang w:eastAsia="en-US"/>
                      <w14:ligatures w14:val="standardContextual"/>
                    </w:rPr>
                  </m:ctrlPr>
                </m:fPr>
                <m:num>
                  <m:r>
                    <w:rPr>
                      <w:rFonts w:ascii="Cambria Math" w:eastAsiaTheme="minorEastAsia" w:hAnsi="Cambria Math"/>
                      <w:sz w:val="20"/>
                      <w:szCs w:val="20"/>
                    </w:rPr>
                    <m:t>TJ</m:t>
                  </m:r>
                </m:num>
                <m:den>
                  <m:r>
                    <w:rPr>
                      <w:rFonts w:ascii="Cambria Math" w:eastAsiaTheme="minorEastAsia" w:hAnsi="Cambria Math"/>
                      <w:sz w:val="20"/>
                      <w:szCs w:val="20"/>
                    </w:rPr>
                    <m:t>MJ</m:t>
                  </m:r>
                </m:den>
              </m:f>
              <m:r>
                <w:rPr>
                  <w:rFonts w:ascii="Cambria Math" w:eastAsiaTheme="minorEastAsia" w:hAnsi="Cambria Math"/>
                  <w:sz w:val="20"/>
                  <w:szCs w:val="20"/>
                </w:rPr>
                <m:t>∙</m:t>
              </m:r>
              <m:r>
                <w:rPr>
                  <w:rFonts w:ascii="Cambria Math" w:hAnsi="Cambria Math"/>
                  <w:sz w:val="20"/>
                  <w:szCs w:val="20"/>
                </w:rPr>
                <m:t>3600</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M</m:t>
                  </m:r>
                  <m:r>
                    <w:rPr>
                      <w:rFonts w:ascii="Cambria Math" w:hAnsi="Cambria Math"/>
                      <w:sz w:val="20"/>
                      <w:szCs w:val="20"/>
                    </w:rPr>
                    <m:t>J</m:t>
                  </m:r>
                </m:num>
                <m:den>
                  <m:r>
                    <w:rPr>
                      <w:rFonts w:ascii="Cambria Math" w:hAnsi="Cambria Math"/>
                      <w:sz w:val="20"/>
                      <w:szCs w:val="20"/>
                    </w:rPr>
                    <m:t>M</m:t>
                  </m:r>
                  <m:r>
                    <w:rPr>
                      <w:rFonts w:ascii="Cambria Math" w:hAnsi="Cambria Math"/>
                      <w:sz w:val="20"/>
                      <w:szCs w:val="20"/>
                    </w:rPr>
                    <m:t>Wh</m:t>
                  </m:r>
                </m:den>
              </m:f>
            </m:num>
            <m:den>
              <m:r>
                <w:rPr>
                  <w:rFonts w:ascii="Cambria Math" w:hAnsi="Cambria Math"/>
                  <w:sz w:val="20"/>
                  <w:szCs w:val="20"/>
                </w:rPr>
                <m:t>220.3</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kJ</m:t>
                  </m:r>
                </m:num>
                <m:den>
                  <m:r>
                    <w:rPr>
                      <w:rFonts w:ascii="Cambria Math" w:hAnsi="Cambria Math"/>
                      <w:sz w:val="20"/>
                      <w:szCs w:val="20"/>
                    </w:rPr>
                    <m:t>mol</m:t>
                  </m:r>
                  <m:r>
                    <w:rPr>
                      <w:rFonts w:ascii="Cambria Math" w:hAnsi="Cambria Math"/>
                      <w:sz w:val="20"/>
                      <w:szCs w:val="20"/>
                    </w:rPr>
                    <m:t xml:space="preserve"> 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4 reacted</m:t>
                      </m:r>
                    </m:sub>
                  </m:sSub>
                </m:den>
              </m:f>
            </m:den>
          </m:f>
          <m:r>
            <w:rPr>
              <w:rFonts w:ascii="Cambria Math" w:hAnsi="Cambria Math"/>
              <w:sz w:val="20"/>
              <w:szCs w:val="20"/>
            </w:rPr>
            <m:t>=</m:t>
          </m:r>
          <m:r>
            <w:rPr>
              <w:rFonts w:ascii="Cambria Math" w:eastAsiaTheme="minorEastAsia" w:hAnsi="Cambria Math"/>
              <w:sz w:val="20"/>
              <w:szCs w:val="20"/>
            </w:rPr>
            <m:t>0</m:t>
          </m:r>
          <m:r>
            <w:rPr>
              <w:rFonts w:ascii="Cambria Math" w:eastAsiaTheme="minorEastAsia" w:hAnsi="Cambria Math"/>
              <w:sz w:val="20"/>
              <w:szCs w:val="20"/>
            </w:rPr>
            <m:t>.24</m:t>
          </m:r>
          <m:f>
            <m:fPr>
              <m:ctrlPr>
                <w:rPr>
                  <w:rFonts w:ascii="Cambria Math" w:eastAsiaTheme="minorEastAsia" w:hAnsi="Cambria Math"/>
                  <w:i/>
                  <w:sz w:val="20"/>
                  <w:szCs w:val="20"/>
                </w:rPr>
              </m:ctrlPr>
            </m:fPr>
            <m:num>
              <m:r>
                <w:rPr>
                  <w:rFonts w:ascii="Cambria Math" w:eastAsiaTheme="minorEastAsia" w:hAnsi="Cambria Math"/>
                  <w:sz w:val="20"/>
                  <w:szCs w:val="20"/>
                </w:rPr>
                <m:t>t C</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2</m:t>
                  </m:r>
                </m:sub>
              </m:sSub>
            </m:num>
            <m:den>
              <m:r>
                <w:rPr>
                  <w:rFonts w:ascii="Cambria Math" w:eastAsiaTheme="minorEastAsia" w:hAnsi="Cambria Math"/>
                  <w:sz w:val="20"/>
                  <w:szCs w:val="20"/>
                </w:rPr>
                <m:t>MWh</m:t>
              </m:r>
            </m:den>
          </m:f>
        </m:oMath>
      </m:oMathPara>
    </w:p>
    <w:p w14:paraId="586569E6" w14:textId="77777777" w:rsidR="00834D55" w:rsidRPr="008955F0" w:rsidRDefault="00834D55" w:rsidP="00DD3DE2">
      <w:pPr>
        <w:rPr>
          <w:rFonts w:eastAsiaTheme="minorEastAsia"/>
          <w:sz w:val="20"/>
          <w:szCs w:val="20"/>
        </w:rPr>
      </w:pPr>
    </w:p>
    <w:p w14:paraId="2C2AF401" w14:textId="337F9B3E" w:rsidR="008955F0" w:rsidRPr="006948FE" w:rsidRDefault="00913245" w:rsidP="00DD3DE2">
      <w:pPr>
        <w:rPr>
          <w:color w:val="00B0F0"/>
          <w:sz w:val="20"/>
          <w:szCs w:val="20"/>
        </w:rPr>
      </w:pPr>
      <w:r w:rsidRPr="006948FE">
        <w:rPr>
          <w:rFonts w:eastAsiaTheme="minorEastAsia"/>
          <w:color w:val="00B0F0"/>
          <w:sz w:val="20"/>
          <w:szCs w:val="20"/>
        </w:rPr>
        <w:t>EF</w:t>
      </w:r>
      <w:r w:rsidR="008955F0" w:rsidRPr="006948FE">
        <w:rPr>
          <w:rFonts w:eastAsiaTheme="minorEastAsia"/>
          <w:color w:val="00B0F0"/>
          <w:sz w:val="20"/>
          <w:szCs w:val="20"/>
        </w:rPr>
        <w:t xml:space="preserve"> source: [</w:t>
      </w:r>
      <w:r w:rsidR="008955F0" w:rsidRPr="006948FE">
        <w:rPr>
          <w:rFonts w:eastAsiaTheme="minorEastAsia"/>
          <w:color w:val="00B0F0"/>
          <w:sz w:val="20"/>
          <w:szCs w:val="20"/>
        </w:rPr>
        <w:t>https://www.umweltbundesamt.de/system/files/medien/479/publikationen/cc_29-2022_emission-factors-fossil-fuels.pdf</w:t>
      </w:r>
      <w:r w:rsidR="008955F0" w:rsidRPr="006948FE">
        <w:rPr>
          <w:rFonts w:eastAsiaTheme="minorEastAsia"/>
          <w:color w:val="00B0F0"/>
          <w:sz w:val="20"/>
          <w:szCs w:val="20"/>
        </w:rPr>
        <w:t>]</w:t>
      </w:r>
    </w:p>
    <w:p w14:paraId="1D05429A" w14:textId="30F38618" w:rsidR="00BD0B36" w:rsidRDefault="00BD0B36" w:rsidP="00DD7131">
      <w:pPr>
        <w:rPr>
          <w:sz w:val="20"/>
          <w:szCs w:val="20"/>
        </w:rPr>
      </w:pPr>
    </w:p>
    <w:p w14:paraId="1E106B50" w14:textId="77777777" w:rsidR="00167D95" w:rsidRPr="00E95313" w:rsidRDefault="00167D95" w:rsidP="00DD7131">
      <w:pPr>
        <w:rPr>
          <w:sz w:val="20"/>
          <w:szCs w:val="20"/>
        </w:rPr>
      </w:pPr>
    </w:p>
    <w:p w14:paraId="78B1A927" w14:textId="29CC0DA8" w:rsidR="00EA0F76" w:rsidRDefault="001A56BA" w:rsidP="00DD7131">
      <w:pPr>
        <w:rPr>
          <w:sz w:val="20"/>
          <w:szCs w:val="20"/>
        </w:rPr>
      </w:pPr>
      <w:r>
        <w:rPr>
          <w:sz w:val="20"/>
          <w:szCs w:val="20"/>
        </w:rPr>
        <w:t xml:space="preserve">Additionally, this concept gives the opportunity to electrify the </w:t>
      </w:r>
      <w:r w:rsidR="00107239">
        <w:rPr>
          <w:sz w:val="20"/>
          <w:szCs w:val="20"/>
        </w:rPr>
        <w:t xml:space="preserve">production of the otherwise exported </w:t>
      </w:r>
      <w:r>
        <w:rPr>
          <w:sz w:val="20"/>
          <w:szCs w:val="20"/>
        </w:rPr>
        <w:t>steam since no</w:t>
      </w:r>
      <w:r w:rsidR="00107239">
        <w:rPr>
          <w:sz w:val="20"/>
          <w:szCs w:val="20"/>
        </w:rPr>
        <w:t xml:space="preserve"> excess</w:t>
      </w:r>
      <w:r>
        <w:rPr>
          <w:sz w:val="20"/>
          <w:szCs w:val="20"/>
        </w:rPr>
        <w:t xml:space="preserve"> steam is produced as co-product (due to reactor internal heat integration)</w:t>
      </w:r>
      <w:r w:rsidR="00D964A0">
        <w:rPr>
          <w:sz w:val="20"/>
          <w:szCs w:val="20"/>
        </w:rPr>
        <w:t xml:space="preserve">. Power to heat is associated with an </w:t>
      </w:r>
      <w:r w:rsidR="00D964A0" w:rsidRPr="00D964A0">
        <w:rPr>
          <w:i/>
          <w:iCs/>
          <w:sz w:val="20"/>
          <w:szCs w:val="20"/>
        </w:rPr>
        <w:t xml:space="preserve">Abatement </w:t>
      </w:r>
      <w:r w:rsidR="00D34F3B">
        <w:rPr>
          <w:i/>
          <w:iCs/>
          <w:sz w:val="20"/>
          <w:szCs w:val="20"/>
        </w:rPr>
        <w:t>Effectiveness</w:t>
      </w:r>
      <w:r w:rsidR="00D964A0">
        <w:rPr>
          <w:sz w:val="20"/>
          <w:szCs w:val="20"/>
        </w:rPr>
        <w:t xml:space="preserve"> of </w:t>
      </w:r>
      <m:oMath>
        <m:r>
          <w:rPr>
            <w:rFonts w:ascii="Cambria Math" w:eastAsiaTheme="minorEastAsia" w:hAnsi="Cambria Math"/>
            <w:sz w:val="20"/>
            <w:szCs w:val="20"/>
          </w:rPr>
          <m:t>0.2</m:t>
        </m:r>
        <m:f>
          <m:fPr>
            <m:ctrlPr>
              <w:rPr>
                <w:rFonts w:ascii="Cambria Math" w:eastAsiaTheme="minorEastAsia" w:hAnsi="Cambria Math"/>
                <w:i/>
                <w:sz w:val="20"/>
                <w:szCs w:val="20"/>
              </w:rPr>
            </m:ctrlPr>
          </m:fPr>
          <m:num>
            <m:r>
              <w:rPr>
                <w:rFonts w:ascii="Cambria Math" w:eastAsiaTheme="minorEastAsia" w:hAnsi="Cambria Math"/>
                <w:sz w:val="20"/>
                <w:szCs w:val="20"/>
              </w:rPr>
              <m:t>t C</m:t>
            </m:r>
            <m:sSub>
              <m:sSubPr>
                <m:ctrlPr>
                  <w:rPr>
                    <w:rFonts w:ascii="Cambria Math" w:eastAsiaTheme="minorEastAsia" w:hAnsi="Cambria Math"/>
                    <w:i/>
                    <w:sz w:val="20"/>
                    <w:szCs w:val="20"/>
                  </w:rPr>
                </m:ctrlPr>
              </m:sSubPr>
              <m:e>
                <m:r>
                  <w:rPr>
                    <w:rFonts w:ascii="Cambria Math" w:eastAsiaTheme="minorEastAsia" w:hAnsi="Cambria Math"/>
                    <w:sz w:val="20"/>
                    <w:szCs w:val="20"/>
                  </w:rPr>
                  <m:t>O</m:t>
                </m:r>
              </m:e>
              <m:sub>
                <m:r>
                  <w:rPr>
                    <w:rFonts w:ascii="Cambria Math" w:eastAsiaTheme="minorEastAsia" w:hAnsi="Cambria Math"/>
                    <w:sz w:val="20"/>
                    <w:szCs w:val="20"/>
                  </w:rPr>
                  <m:t>2</m:t>
                </m:r>
              </m:sub>
            </m:sSub>
          </m:num>
          <m:den>
            <m:r>
              <w:rPr>
                <w:rFonts w:ascii="Cambria Math" w:eastAsiaTheme="minorEastAsia" w:hAnsi="Cambria Math"/>
                <w:sz w:val="20"/>
                <w:szCs w:val="20"/>
              </w:rPr>
              <m:t>MWh</m:t>
            </m:r>
          </m:den>
        </m:f>
      </m:oMath>
      <w:r w:rsidR="00800A7E">
        <w:rPr>
          <w:rFonts w:eastAsiaTheme="minorEastAsia"/>
          <w:sz w:val="20"/>
          <w:szCs w:val="20"/>
        </w:rPr>
        <w:t xml:space="preserve"> </w:t>
      </w:r>
      <w:r w:rsidR="00800A7E" w:rsidRPr="00800A7E">
        <w:rPr>
          <w:rFonts w:eastAsiaTheme="minorEastAsia"/>
          <w:color w:val="EE0000"/>
          <w:sz w:val="20"/>
          <w:szCs w:val="20"/>
        </w:rPr>
        <w:t>[source</w:t>
      </w:r>
      <w:r w:rsidR="00800A7E">
        <w:rPr>
          <w:rFonts w:eastAsiaTheme="minorEastAsia"/>
          <w:color w:val="EE0000"/>
          <w:sz w:val="20"/>
          <w:szCs w:val="20"/>
        </w:rPr>
        <w:t>!</w:t>
      </w:r>
      <w:r w:rsidR="00800A7E" w:rsidRPr="00800A7E">
        <w:rPr>
          <w:rFonts w:eastAsiaTheme="minorEastAsia"/>
          <w:color w:val="EE0000"/>
          <w:sz w:val="20"/>
          <w:szCs w:val="20"/>
        </w:rPr>
        <w:t>]</w:t>
      </w:r>
      <w:r w:rsidR="00800A7E">
        <w:rPr>
          <w:rFonts w:eastAsiaTheme="minorEastAsia"/>
          <w:sz w:val="20"/>
          <w:szCs w:val="20"/>
        </w:rPr>
        <w:t>.</w:t>
      </w:r>
      <w:r>
        <w:rPr>
          <w:sz w:val="20"/>
          <w:szCs w:val="20"/>
        </w:rPr>
        <w:br/>
      </w:r>
      <w:r w:rsidR="00BA2C30" w:rsidRPr="00BA2C30">
        <w:rPr>
          <w:sz w:val="20"/>
          <w:szCs w:val="20"/>
        </w:rPr>
        <w:t xml:space="preserve">However, at </w:t>
      </w:r>
      <w:r w:rsidR="00BA2C30" w:rsidRPr="00701B02">
        <w:rPr>
          <w:b/>
          <w:bCs/>
          <w:sz w:val="20"/>
          <w:szCs w:val="20"/>
        </w:rPr>
        <w:t xml:space="preserve">current electricity-to-gas price ratios </w:t>
      </w:r>
      <w:r w:rsidR="00BA2C30" w:rsidRPr="00BA2C30">
        <w:rPr>
          <w:sz w:val="20"/>
          <w:szCs w:val="20"/>
        </w:rPr>
        <w:t xml:space="preserve">and grid carbon intensities, </w:t>
      </w:r>
      <w:r w:rsidR="00BA2C30" w:rsidRPr="00701B02">
        <w:rPr>
          <w:b/>
          <w:bCs/>
          <w:sz w:val="20"/>
          <w:szCs w:val="20"/>
        </w:rPr>
        <w:t>eSMR remains economically disadvantaged</w:t>
      </w:r>
      <w:r w:rsidR="00BA2C30" w:rsidRPr="00BA2C30">
        <w:rPr>
          <w:sz w:val="20"/>
          <w:szCs w:val="20"/>
        </w:rPr>
        <w:t xml:space="preserve"> and does not yet deliver genuinely low-carbon hydrogen in most geographic contexts.</w:t>
      </w:r>
    </w:p>
    <w:p w14:paraId="1871C29F" w14:textId="77777777" w:rsidR="00EA0F76" w:rsidRDefault="00EA0F76" w:rsidP="00DD7131">
      <w:pPr>
        <w:rPr>
          <w:sz w:val="20"/>
          <w:szCs w:val="20"/>
        </w:rPr>
      </w:pPr>
    </w:p>
    <w:p w14:paraId="774B44AF" w14:textId="77777777" w:rsidR="00C80016" w:rsidRDefault="00C80016" w:rsidP="00DD7131">
      <w:pPr>
        <w:rPr>
          <w:sz w:val="20"/>
          <w:szCs w:val="20"/>
        </w:rPr>
      </w:pPr>
    </w:p>
    <w:p w14:paraId="52501358" w14:textId="25CD938C" w:rsidR="007F7249" w:rsidRPr="00764BCF" w:rsidRDefault="00764BCF" w:rsidP="00DD7131">
      <w:pPr>
        <w:rPr>
          <w:b/>
          <w:bCs/>
          <w:i/>
          <w:iCs/>
          <w:sz w:val="20"/>
          <w:szCs w:val="20"/>
        </w:rPr>
      </w:pPr>
      <w:r w:rsidRPr="00764BCF">
        <w:rPr>
          <w:b/>
          <w:bCs/>
          <w:i/>
          <w:iCs/>
          <w:sz w:val="20"/>
          <w:szCs w:val="20"/>
        </w:rPr>
        <w:t>Conclusion</w:t>
      </w:r>
    </w:p>
    <w:p w14:paraId="6F335C57" w14:textId="77777777" w:rsidR="004148E5" w:rsidRDefault="004148E5" w:rsidP="004148E5">
      <w:pPr>
        <w:rPr>
          <w:sz w:val="20"/>
          <w:szCs w:val="20"/>
        </w:rPr>
      </w:pPr>
      <w:r w:rsidRPr="004148E5">
        <w:rPr>
          <w:sz w:val="20"/>
          <w:szCs w:val="20"/>
        </w:rPr>
        <w:t>This analysis concludes that electrified SMR (eSMR) is unlikely to displace conventional SMR under current economic conditions. The fundamental barrier is the electricity-to-natural gas price differential, which cannot be offset by the environmental benefits of avoided combustion emissions at prevailing or near-term projected carbon prices.</w:t>
      </w:r>
    </w:p>
    <w:p w14:paraId="2F125229" w14:textId="77777777" w:rsidR="00EF1289" w:rsidRPr="004148E5" w:rsidRDefault="00EF1289" w:rsidP="004148E5">
      <w:pPr>
        <w:rPr>
          <w:sz w:val="20"/>
          <w:szCs w:val="20"/>
        </w:rPr>
      </w:pPr>
    </w:p>
    <w:p w14:paraId="206A712A" w14:textId="03EBE2BE" w:rsidR="004148E5" w:rsidRDefault="004148E5" w:rsidP="004148E5">
      <w:pPr>
        <w:rPr>
          <w:sz w:val="20"/>
          <w:szCs w:val="20"/>
        </w:rPr>
      </w:pPr>
      <w:r w:rsidRPr="004148E5">
        <w:rPr>
          <w:sz w:val="20"/>
          <w:szCs w:val="20"/>
        </w:rPr>
        <w:t xml:space="preserve">A more equitable comparison pairs eSMR against conventional SMR equipped with post-combustion CCS. In this context, the higher CO₂ partial pressure inherent to pre-combustion capture configurations </w:t>
      </w:r>
      <w:r w:rsidR="00EF1289">
        <w:rPr>
          <w:sz w:val="20"/>
          <w:szCs w:val="20"/>
        </w:rPr>
        <w:t>–</w:t>
      </w:r>
      <w:r w:rsidRPr="004148E5">
        <w:rPr>
          <w:sz w:val="20"/>
          <w:szCs w:val="20"/>
        </w:rPr>
        <w:t xml:space="preserve"> as in eSMR </w:t>
      </w:r>
      <w:r w:rsidR="00EF1289">
        <w:rPr>
          <w:sz w:val="20"/>
          <w:szCs w:val="20"/>
        </w:rPr>
        <w:t>–</w:t>
      </w:r>
      <w:r w:rsidRPr="004148E5">
        <w:rPr>
          <w:sz w:val="20"/>
          <w:szCs w:val="20"/>
        </w:rPr>
        <w:t xml:space="preserve"> </w:t>
      </w:r>
      <w:r w:rsidRPr="004148E5">
        <w:rPr>
          <w:sz w:val="20"/>
          <w:szCs w:val="20"/>
        </w:rPr>
        <w:lastRenderedPageBreak/>
        <w:t xml:space="preserve">confers a clear thermodynamic advantage over post-combustion processes. This advantage is further amplified when post-combustion capture must treat a </w:t>
      </w:r>
      <w:r w:rsidR="00EF1289">
        <w:rPr>
          <w:sz w:val="20"/>
          <w:szCs w:val="20"/>
        </w:rPr>
        <w:t xml:space="preserve">simple </w:t>
      </w:r>
      <w:r w:rsidRPr="004148E5">
        <w:rPr>
          <w:sz w:val="20"/>
          <w:szCs w:val="20"/>
        </w:rPr>
        <w:t xml:space="preserve">CH₄ combustion-derived flue gas stream, as encountered in ammonia syngas production, rather than a </w:t>
      </w:r>
      <w:r w:rsidR="00EF1289">
        <w:rPr>
          <w:sz w:val="20"/>
          <w:szCs w:val="20"/>
        </w:rPr>
        <w:t>flue gas stream with additional process CO</w:t>
      </w:r>
      <w:r w:rsidR="00EF1289">
        <w:rPr>
          <w:sz w:val="20"/>
          <w:szCs w:val="20"/>
          <w:vertAlign w:val="subscript"/>
        </w:rPr>
        <w:t>2</w:t>
      </w:r>
      <w:r w:rsidRPr="004148E5">
        <w:rPr>
          <w:sz w:val="20"/>
          <w:szCs w:val="20"/>
        </w:rPr>
        <w:t>.</w:t>
      </w:r>
    </w:p>
    <w:p w14:paraId="6872A21C" w14:textId="77777777" w:rsidR="00EF1289" w:rsidRPr="004148E5" w:rsidRDefault="00EF1289" w:rsidP="004148E5">
      <w:pPr>
        <w:rPr>
          <w:sz w:val="20"/>
          <w:szCs w:val="20"/>
        </w:rPr>
      </w:pPr>
    </w:p>
    <w:p w14:paraId="2E841FF7" w14:textId="1A951C1C" w:rsidR="004148E5" w:rsidRDefault="004148E5" w:rsidP="004148E5">
      <w:pPr>
        <w:rPr>
          <w:sz w:val="20"/>
          <w:szCs w:val="20"/>
        </w:rPr>
      </w:pPr>
      <w:r w:rsidRPr="004148E5">
        <w:rPr>
          <w:sz w:val="20"/>
          <w:szCs w:val="20"/>
        </w:rPr>
        <w:t xml:space="preserve">An additional differentiator is the material-limited operating pressure of conventional SMR (~40 bar), whereas the OCMC-based eSMR concept is unconstrained in this regard. Given that natural gas is typically supplied at </w:t>
      </w:r>
      <w:r w:rsidR="00EF1289">
        <w:rPr>
          <w:sz w:val="20"/>
          <w:szCs w:val="20"/>
        </w:rPr>
        <w:t>higher pressures</w:t>
      </w:r>
      <w:r w:rsidRPr="004148E5">
        <w:rPr>
          <w:sz w:val="20"/>
          <w:szCs w:val="20"/>
        </w:rPr>
        <w:t xml:space="preserve"> and downstream synthesis processes require elevated pressures, pre-reaction compression is energetically more favourable than post-reaction compression of the mole-increased product stream. While this pressure advantage is real, its magnitude is smaller than the economic effects analysed above.</w:t>
      </w:r>
    </w:p>
    <w:p w14:paraId="4EA65534" w14:textId="77777777" w:rsidR="00EF1289" w:rsidRPr="004148E5" w:rsidRDefault="00EF1289" w:rsidP="004148E5">
      <w:pPr>
        <w:rPr>
          <w:sz w:val="20"/>
          <w:szCs w:val="20"/>
        </w:rPr>
      </w:pPr>
    </w:p>
    <w:p w14:paraId="1DCB1A0E" w14:textId="67B85CFC" w:rsidR="004148E5" w:rsidRDefault="004148E5" w:rsidP="004148E5">
      <w:pPr>
        <w:rPr>
          <w:sz w:val="20"/>
          <w:szCs w:val="20"/>
        </w:rPr>
      </w:pPr>
      <w:r w:rsidRPr="004148E5">
        <w:rPr>
          <w:sz w:val="20"/>
          <w:szCs w:val="20"/>
        </w:rPr>
        <w:t>Taken together, these considerations suggest that ammonia syngas production represents a more promising near-term application for the OCMC reactor concept than hydrogen-only SMR. This assessment is motivated by three compounding factors:</w:t>
      </w:r>
      <w:r w:rsidR="00EF1289">
        <w:rPr>
          <w:sz w:val="20"/>
          <w:szCs w:val="20"/>
        </w:rPr>
        <w:t xml:space="preserve"> (i)</w:t>
      </w:r>
      <w:r w:rsidRPr="004148E5">
        <w:rPr>
          <w:sz w:val="20"/>
          <w:szCs w:val="20"/>
        </w:rPr>
        <w:t xml:space="preserve"> </w:t>
      </w:r>
      <w:r w:rsidR="00EF1289">
        <w:rPr>
          <w:sz w:val="20"/>
          <w:szCs w:val="20"/>
        </w:rPr>
        <w:t xml:space="preserve">more efficient carbon capturing conditions, </w:t>
      </w:r>
      <w:r w:rsidRPr="004148E5">
        <w:rPr>
          <w:sz w:val="20"/>
          <w:szCs w:val="20"/>
        </w:rPr>
        <w:t>(</w:t>
      </w:r>
      <w:r w:rsidR="00EF1289">
        <w:rPr>
          <w:sz w:val="20"/>
          <w:szCs w:val="20"/>
        </w:rPr>
        <w:t>i</w:t>
      </w:r>
      <w:r w:rsidRPr="004148E5">
        <w:rPr>
          <w:sz w:val="20"/>
          <w:szCs w:val="20"/>
        </w:rPr>
        <w:t>i) the synthesis gas must be compressed to at least 150 bar for ammonia synthesis, amplifying the pre-reaction compression benefit; (ii</w:t>
      </w:r>
      <w:r w:rsidR="00EF1289">
        <w:rPr>
          <w:sz w:val="20"/>
          <w:szCs w:val="20"/>
        </w:rPr>
        <w:t>i</w:t>
      </w:r>
      <w:r w:rsidRPr="004148E5">
        <w:rPr>
          <w:sz w:val="20"/>
          <w:szCs w:val="20"/>
        </w:rPr>
        <w:t>) the reactor concept enables high reaction temperatures (&gt;1000 °C) with external electrical energy input, an advantage not accessible in conventional adiabatic reactor configurations</w:t>
      </w:r>
      <w:r w:rsidR="00EF1289">
        <w:rPr>
          <w:sz w:val="20"/>
          <w:szCs w:val="20"/>
        </w:rPr>
        <w:t xml:space="preserve">, which allows </w:t>
      </w:r>
      <w:r w:rsidR="00EF1289" w:rsidRPr="00EF1289">
        <w:rPr>
          <w:sz w:val="20"/>
          <w:szCs w:val="20"/>
        </w:rPr>
        <w:t>combining two reactors into one</w:t>
      </w:r>
      <w:r w:rsidR="00EF1289">
        <w:rPr>
          <w:sz w:val="20"/>
          <w:szCs w:val="20"/>
        </w:rPr>
        <w:t xml:space="preserve"> and hence a potential for CAPEX reduction </w:t>
      </w:r>
      <w:r w:rsidR="00EF1289" w:rsidRPr="004148E5">
        <w:rPr>
          <w:sz w:val="20"/>
          <w:szCs w:val="20"/>
        </w:rPr>
        <w:t>without fundamental process redesign</w:t>
      </w:r>
      <w:r w:rsidR="00EF1289">
        <w:rPr>
          <w:sz w:val="20"/>
          <w:szCs w:val="20"/>
        </w:rPr>
        <w:t xml:space="preserve"> (as </w:t>
      </w:r>
      <w:r w:rsidRPr="004148E5">
        <w:rPr>
          <w:sz w:val="20"/>
          <w:szCs w:val="20"/>
        </w:rPr>
        <w:t>the process design otherwise remains largely unchanged, relying on commercially proven downstream technologies</w:t>
      </w:r>
      <w:r w:rsidR="00EF1289">
        <w:rPr>
          <w:sz w:val="20"/>
          <w:szCs w:val="20"/>
        </w:rPr>
        <w:t>)</w:t>
      </w:r>
      <w:r w:rsidRPr="004148E5">
        <w:rPr>
          <w:sz w:val="20"/>
          <w:szCs w:val="20"/>
        </w:rPr>
        <w:t>.</w:t>
      </w:r>
    </w:p>
    <w:p w14:paraId="7C067555" w14:textId="77777777" w:rsidR="00EF1289" w:rsidRPr="004148E5" w:rsidRDefault="00EF1289" w:rsidP="004148E5">
      <w:pPr>
        <w:rPr>
          <w:sz w:val="20"/>
          <w:szCs w:val="20"/>
        </w:rPr>
      </w:pPr>
    </w:p>
    <w:p w14:paraId="13B33DF7" w14:textId="6F232736" w:rsidR="004148E5" w:rsidRPr="004148E5" w:rsidRDefault="004148E5" w:rsidP="004148E5">
      <w:pPr>
        <w:rPr>
          <w:sz w:val="20"/>
          <w:szCs w:val="20"/>
        </w:rPr>
      </w:pPr>
      <w:r w:rsidRPr="004148E5">
        <w:rPr>
          <w:sz w:val="20"/>
          <w:szCs w:val="20"/>
        </w:rPr>
        <w:t xml:space="preserve">A comprehensive techno-economic analysis (TEA) of the ammonia syngas case would allow quantitative evaluation of the compounding benefits </w:t>
      </w:r>
      <w:r w:rsidR="00EF1289">
        <w:rPr>
          <w:sz w:val="20"/>
          <w:szCs w:val="20"/>
        </w:rPr>
        <w:t>–</w:t>
      </w:r>
      <w:r w:rsidRPr="004148E5">
        <w:rPr>
          <w:sz w:val="20"/>
          <w:szCs w:val="20"/>
        </w:rPr>
        <w:t xml:space="preserve"> improved CO₂ capture efficiency, reduced compression costs, and potential CAPEX savings </w:t>
      </w:r>
      <w:r w:rsidR="00EF1289">
        <w:rPr>
          <w:sz w:val="20"/>
          <w:szCs w:val="20"/>
        </w:rPr>
        <w:t>–</w:t>
      </w:r>
      <w:r w:rsidRPr="004148E5">
        <w:rPr>
          <w:sz w:val="20"/>
          <w:szCs w:val="20"/>
        </w:rPr>
        <w:t xml:space="preserve"> against the persistent electricity cost penalty. </w:t>
      </w:r>
      <w:r w:rsidR="00C80016" w:rsidRPr="00C80016">
        <w:rPr>
          <w:sz w:val="20"/>
          <w:szCs w:val="20"/>
        </w:rPr>
        <w:t xml:space="preserve">While TEA studies on eSMR for hydrogen production have reported a wide range of outcomes depending on electricity prices and carbon pricing assumptions </w:t>
      </w:r>
      <w:r w:rsidR="00C80016" w:rsidRPr="00C80016">
        <w:rPr>
          <w:color w:val="EE0000"/>
          <w:sz w:val="20"/>
          <w:szCs w:val="20"/>
        </w:rPr>
        <w:t>[e.g., Song et al., 2022; Wismann et al., 2022; Do et al., 2023]</w:t>
      </w:r>
      <w:r w:rsidR="00C80016" w:rsidRPr="00C80016">
        <w:rPr>
          <w:sz w:val="20"/>
          <w:szCs w:val="20"/>
        </w:rPr>
        <w:t>, dedicated assessments for electrified ammonia syngas production remain notably scarce.</w:t>
      </w:r>
    </w:p>
    <w:p w14:paraId="1BF52705" w14:textId="77777777" w:rsidR="004148E5" w:rsidRPr="004148E5" w:rsidRDefault="004148E5" w:rsidP="00DD7131">
      <w:pPr>
        <w:rPr>
          <w:sz w:val="20"/>
          <w:szCs w:val="20"/>
        </w:rPr>
      </w:pPr>
    </w:p>
    <w:p w14:paraId="7AF416A7" w14:textId="77777777" w:rsidR="004148E5" w:rsidRDefault="004148E5" w:rsidP="00DD7131">
      <w:pPr>
        <w:rPr>
          <w:color w:val="EE0000"/>
          <w:sz w:val="20"/>
          <w:szCs w:val="20"/>
        </w:rPr>
      </w:pPr>
    </w:p>
    <w:p w14:paraId="4E6EF8A7" w14:textId="66B1AB37" w:rsidR="00964CCC" w:rsidRDefault="00964CCC">
      <w:pPr>
        <w:rPr>
          <w:sz w:val="20"/>
          <w:szCs w:val="20"/>
        </w:rPr>
      </w:pPr>
      <w:r>
        <w:rPr>
          <w:sz w:val="20"/>
          <w:szCs w:val="20"/>
        </w:rPr>
        <w:br w:type="page"/>
      </w:r>
    </w:p>
    <w:p w14:paraId="49024F19" w14:textId="77777777" w:rsidR="00EA0F76" w:rsidRDefault="00EA0F76" w:rsidP="00DD7131">
      <w:pPr>
        <w:rPr>
          <w:sz w:val="20"/>
          <w:szCs w:val="20"/>
        </w:rPr>
      </w:pPr>
    </w:p>
    <w:p w14:paraId="2E7A8858" w14:textId="0BEC579D" w:rsidR="00B5363C" w:rsidRPr="00DD7131" w:rsidRDefault="00EA0F76" w:rsidP="00DD7131">
      <w:pPr>
        <w:rPr>
          <w:sz w:val="20"/>
          <w:szCs w:val="20"/>
        </w:rPr>
      </w:pPr>
      <w:r>
        <w:rPr>
          <w:sz w:val="20"/>
          <w:szCs w:val="20"/>
        </w:rPr>
        <w:t>Sources:</w:t>
      </w:r>
    </w:p>
    <w:p w14:paraId="064EEC85" w14:textId="01DAE491" w:rsidR="00374DAB" w:rsidRDefault="004A3FD9" w:rsidP="00374DAB">
      <w:pPr>
        <w:rPr>
          <w:sz w:val="20"/>
          <w:szCs w:val="20"/>
        </w:rPr>
      </w:pPr>
      <w:r>
        <w:rPr>
          <w:sz w:val="20"/>
          <w:szCs w:val="20"/>
        </w:rPr>
        <w:t xml:space="preserve">[1] </w:t>
      </w:r>
      <w:hyperlink r:id="rId8" w:history="1">
        <w:r w:rsidRPr="00F301BA">
          <w:rPr>
            <w:rStyle w:val="Hyperlink"/>
            <w:sz w:val="20"/>
            <w:szCs w:val="20"/>
          </w:rPr>
          <w:t>https://iea.blob.core.windows.net/assets/9e3a3493-b9a6-4b7d-b499-7ca48e357561/The_Future_of_Hydrogen.pdf</w:t>
        </w:r>
      </w:hyperlink>
    </w:p>
    <w:p w14:paraId="189A9A21" w14:textId="56781DBD" w:rsidR="004A3FD9" w:rsidRDefault="004A3FD9" w:rsidP="00374DAB">
      <w:pPr>
        <w:rPr>
          <w:sz w:val="20"/>
          <w:szCs w:val="20"/>
        </w:rPr>
      </w:pPr>
      <w:r>
        <w:rPr>
          <w:sz w:val="20"/>
          <w:szCs w:val="20"/>
        </w:rPr>
        <w:t xml:space="preserve">[2] </w:t>
      </w:r>
      <w:hyperlink r:id="rId9" w:history="1">
        <w:r w:rsidRPr="00F301BA">
          <w:rPr>
            <w:rStyle w:val="Hyperlink"/>
            <w:sz w:val="20"/>
            <w:szCs w:val="20"/>
          </w:rPr>
          <w:t>https://www.sintef.no/globalassets/project/elegancy/deliverables/elegancy_d5.2.2_rotterdam_h2-production_integration.pdf</w:t>
        </w:r>
      </w:hyperlink>
    </w:p>
    <w:p w14:paraId="21A0C6C5" w14:textId="2DCD66F2" w:rsidR="00ED5564" w:rsidRDefault="00ED5564" w:rsidP="00374DAB">
      <w:pPr>
        <w:rPr>
          <w:sz w:val="20"/>
          <w:szCs w:val="20"/>
        </w:rPr>
      </w:pPr>
      <w:r>
        <w:rPr>
          <w:sz w:val="20"/>
          <w:szCs w:val="20"/>
        </w:rPr>
        <w:t>[3</w:t>
      </w:r>
      <w:r w:rsidR="00B5363C">
        <w:rPr>
          <w:sz w:val="20"/>
          <w:szCs w:val="20"/>
        </w:rPr>
        <w:t>]</w:t>
      </w:r>
      <w:r>
        <w:rPr>
          <w:sz w:val="20"/>
          <w:szCs w:val="20"/>
        </w:rPr>
        <w:t xml:space="preserve"> </w:t>
      </w:r>
      <w:hyperlink r:id="rId10" w:history="1">
        <w:r w:rsidRPr="00F301BA">
          <w:rPr>
            <w:rStyle w:val="Hyperlink"/>
            <w:sz w:val="20"/>
            <w:szCs w:val="20"/>
          </w:rPr>
          <w:t>https://onlinelibrary.wiley.com/doi/epdf/10.1002/cite.202100164</w:t>
        </w:r>
      </w:hyperlink>
    </w:p>
    <w:p w14:paraId="3171895C" w14:textId="36BCAB41" w:rsidR="004A3FD9" w:rsidRDefault="00857E2A" w:rsidP="00374DAB">
      <w:pPr>
        <w:rPr>
          <w:sz w:val="20"/>
          <w:szCs w:val="20"/>
        </w:rPr>
      </w:pPr>
      <w:r>
        <w:rPr>
          <w:sz w:val="20"/>
          <w:szCs w:val="20"/>
        </w:rPr>
        <w:t>[4</w:t>
      </w:r>
      <w:r w:rsidR="00ED5564">
        <w:rPr>
          <w:sz w:val="20"/>
          <w:szCs w:val="20"/>
        </w:rPr>
        <w:t>]</w:t>
      </w:r>
      <w:r>
        <w:rPr>
          <w:sz w:val="20"/>
          <w:szCs w:val="20"/>
        </w:rPr>
        <w:t xml:space="preserve"> </w:t>
      </w:r>
      <w:hyperlink r:id="rId11" w:history="1">
        <w:r w:rsidRPr="00F301BA">
          <w:rPr>
            <w:rStyle w:val="Hyperlink"/>
            <w:sz w:val="20"/>
            <w:szCs w:val="20"/>
          </w:rPr>
          <w:t>https://ieefa.org/resources/europes-electricity-prices-are-still-tied-gas-making-geopolitics-structural-vulnerability</w:t>
        </w:r>
      </w:hyperlink>
    </w:p>
    <w:p w14:paraId="4E09EFCE" w14:textId="77CB3E3E" w:rsidR="00857E2A" w:rsidRDefault="00B16DBC" w:rsidP="00374DAB">
      <w:pPr>
        <w:rPr>
          <w:sz w:val="20"/>
          <w:szCs w:val="20"/>
        </w:rPr>
      </w:pPr>
      <w:r>
        <w:rPr>
          <w:sz w:val="20"/>
          <w:szCs w:val="20"/>
        </w:rPr>
        <w:t xml:space="preserve">[5] </w:t>
      </w:r>
      <w:hyperlink r:id="rId12" w:history="1">
        <w:r w:rsidRPr="00F301BA">
          <w:rPr>
            <w:rStyle w:val="Hyperlink"/>
            <w:sz w:val="20"/>
            <w:szCs w:val="20"/>
          </w:rPr>
          <w:t>https://www.iea.org/data-and-statistics/charts/estimated-final-electricity-price-for-large-industrial-customers-in-energy-intensive-industries-2019-2024</w:t>
        </w:r>
      </w:hyperlink>
    </w:p>
    <w:p w14:paraId="0EF27265" w14:textId="10473390" w:rsidR="00B16DBC" w:rsidRDefault="00B16DBC" w:rsidP="00374DAB">
      <w:pPr>
        <w:rPr>
          <w:sz w:val="20"/>
          <w:szCs w:val="20"/>
        </w:rPr>
      </w:pPr>
      <w:r>
        <w:rPr>
          <w:sz w:val="20"/>
          <w:szCs w:val="20"/>
        </w:rPr>
        <w:t xml:space="preserve">[6] </w:t>
      </w:r>
      <w:hyperlink r:id="rId13" w:history="1">
        <w:r w:rsidRPr="00F301BA">
          <w:rPr>
            <w:rStyle w:val="Hyperlink"/>
            <w:sz w:val="20"/>
            <w:szCs w:val="20"/>
          </w:rPr>
          <w:t>https://www.iea.org/data-and-statistics/charts/industry-end-user-prices-for-natural-gas-in-selected-countries-2019-march-2023</w:t>
        </w:r>
      </w:hyperlink>
    </w:p>
    <w:p w14:paraId="40014716" w14:textId="366ADD41" w:rsidR="00B16DBC" w:rsidRDefault="00807E3A" w:rsidP="00374DAB">
      <w:pPr>
        <w:rPr>
          <w:sz w:val="20"/>
          <w:szCs w:val="20"/>
        </w:rPr>
      </w:pPr>
      <w:r>
        <w:rPr>
          <w:sz w:val="20"/>
          <w:szCs w:val="20"/>
        </w:rPr>
        <w:t xml:space="preserve">[7] </w:t>
      </w:r>
      <w:hyperlink r:id="rId14" w:history="1">
        <w:r w:rsidRPr="00F301BA">
          <w:rPr>
            <w:rStyle w:val="Hyperlink"/>
            <w:sz w:val="20"/>
            <w:szCs w:val="20"/>
          </w:rPr>
          <w:t>https://www.iea.org/countries/china/energy-mix</w:t>
        </w:r>
      </w:hyperlink>
    </w:p>
    <w:p w14:paraId="1E066FAF" w14:textId="618A680D" w:rsidR="00EA0F76" w:rsidRDefault="00810481" w:rsidP="00374DAB">
      <w:pPr>
        <w:rPr>
          <w:sz w:val="20"/>
          <w:szCs w:val="20"/>
        </w:rPr>
      </w:pPr>
      <w:r>
        <w:rPr>
          <w:sz w:val="20"/>
          <w:szCs w:val="20"/>
        </w:rPr>
        <w:t>[8]</w:t>
      </w:r>
      <w:r w:rsidR="00EA0F76" w:rsidRPr="00EA0F76">
        <w:t xml:space="preserve"> </w:t>
      </w:r>
      <w:hyperlink r:id="rId15" w:history="1">
        <w:r w:rsidR="00EA0F76" w:rsidRPr="00F301BA">
          <w:rPr>
            <w:rStyle w:val="Hyperlink"/>
            <w:sz w:val="20"/>
            <w:szCs w:val="20"/>
          </w:rPr>
          <w:t>https://ieefa.org/resources/understanding-competitive-landscape-chinas-lng-market</w:t>
        </w:r>
      </w:hyperlink>
    </w:p>
    <w:p w14:paraId="531157BD" w14:textId="4C2FD056" w:rsidR="00EA0F76" w:rsidRDefault="00EA0F76" w:rsidP="00374DAB">
      <w:pPr>
        <w:rPr>
          <w:sz w:val="20"/>
          <w:szCs w:val="20"/>
        </w:rPr>
      </w:pPr>
      <w:r>
        <w:rPr>
          <w:sz w:val="20"/>
          <w:szCs w:val="20"/>
        </w:rPr>
        <w:t xml:space="preserve">[9] </w:t>
      </w:r>
      <w:hyperlink r:id="rId16" w:history="1">
        <w:r w:rsidRPr="00F301BA">
          <w:rPr>
            <w:rStyle w:val="Hyperlink"/>
            <w:sz w:val="20"/>
            <w:szCs w:val="20"/>
          </w:rPr>
          <w:t>https://www.sciencedirect.com/science/article/pii/S0301421521002500</w:t>
        </w:r>
      </w:hyperlink>
    </w:p>
    <w:p w14:paraId="7BE99D42" w14:textId="39ECF8CB" w:rsidR="00807E3A" w:rsidRPr="00A222E2" w:rsidRDefault="00810481" w:rsidP="00374DAB">
      <w:pPr>
        <w:rPr>
          <w:sz w:val="20"/>
          <w:szCs w:val="20"/>
        </w:rPr>
      </w:pPr>
      <w:r w:rsidRPr="00A222E2">
        <w:rPr>
          <w:sz w:val="20"/>
          <w:szCs w:val="20"/>
        </w:rPr>
        <w:t>[</w:t>
      </w:r>
      <w:r w:rsidR="00EA0F76" w:rsidRPr="00A222E2">
        <w:rPr>
          <w:sz w:val="20"/>
          <w:szCs w:val="20"/>
        </w:rPr>
        <w:t>10</w:t>
      </w:r>
      <w:r w:rsidRPr="00A222E2">
        <w:rPr>
          <w:sz w:val="20"/>
          <w:szCs w:val="20"/>
        </w:rPr>
        <w:t xml:space="preserve">] </w:t>
      </w:r>
      <w:hyperlink r:id="rId17" w:history="1">
        <w:r w:rsidRPr="00A222E2">
          <w:rPr>
            <w:rStyle w:val="Hyperlink"/>
            <w:sz w:val="20"/>
            <w:szCs w:val="20"/>
          </w:rPr>
          <w:t>https://www.iea.org/reports/electricity-2025/emissions</w:t>
        </w:r>
      </w:hyperlink>
    </w:p>
    <w:p w14:paraId="113EB4F8" w14:textId="357C5B9F" w:rsidR="00A222E2" w:rsidRPr="00A222E2" w:rsidRDefault="00A222E2" w:rsidP="00374DAB">
      <w:pPr>
        <w:rPr>
          <w:sz w:val="20"/>
          <w:szCs w:val="20"/>
        </w:rPr>
      </w:pPr>
      <w:r w:rsidRPr="00A222E2">
        <w:rPr>
          <w:sz w:val="20"/>
          <w:szCs w:val="20"/>
        </w:rPr>
        <w:t xml:space="preserve">[11] </w:t>
      </w:r>
      <w:hyperlink r:id="rId18" w:history="1">
        <w:r w:rsidRPr="00A222E2">
          <w:rPr>
            <w:rStyle w:val="Hyperlink"/>
            <w:sz w:val="20"/>
            <w:szCs w:val="20"/>
          </w:rPr>
          <w:t>https://ieaghg.org/publications/techno-economic-evaluation-of-smr-based-standalone-merchant-hydrogen-plant-with-ccs/</w:t>
        </w:r>
      </w:hyperlink>
    </w:p>
    <w:p w14:paraId="5AB2EA52" w14:textId="17195678" w:rsidR="00A222E2" w:rsidRDefault="005D5E58" w:rsidP="00374DAB">
      <w:pPr>
        <w:rPr>
          <w:color w:val="00B0F0"/>
          <w:sz w:val="20"/>
          <w:szCs w:val="20"/>
        </w:rPr>
      </w:pPr>
      <w:r w:rsidRPr="005D5E58">
        <w:rPr>
          <w:sz w:val="20"/>
          <w:szCs w:val="20"/>
        </w:rPr>
        <w:t xml:space="preserve">[12] </w:t>
      </w:r>
      <w:hyperlink r:id="rId19" w:history="1">
        <w:r w:rsidRPr="00797635">
          <w:rPr>
            <w:rStyle w:val="Hyperlink"/>
            <w:sz w:val="20"/>
            <w:szCs w:val="20"/>
          </w:rPr>
          <w:t>https://doi.org/10.1177/02670836241262199</w:t>
        </w:r>
      </w:hyperlink>
    </w:p>
    <w:p w14:paraId="7CC58AF2" w14:textId="77777777" w:rsidR="005D5E58" w:rsidRDefault="005D5E58" w:rsidP="00374DAB">
      <w:pPr>
        <w:rPr>
          <w:sz w:val="20"/>
          <w:szCs w:val="20"/>
        </w:rPr>
      </w:pPr>
    </w:p>
    <w:p w14:paraId="60F7303E" w14:textId="77777777" w:rsidR="0058623B" w:rsidRDefault="0058623B" w:rsidP="00374DAB">
      <w:pPr>
        <w:rPr>
          <w:sz w:val="20"/>
          <w:szCs w:val="20"/>
        </w:rPr>
      </w:pPr>
    </w:p>
    <w:p w14:paraId="2E52AAD1" w14:textId="1A88D619" w:rsidR="0058623B" w:rsidRDefault="0029376A" w:rsidP="00374DAB">
      <w:pPr>
        <w:rPr>
          <w:sz w:val="20"/>
          <w:szCs w:val="20"/>
        </w:rPr>
      </w:pPr>
      <w:r>
        <w:rPr>
          <w:sz w:val="20"/>
          <w:szCs w:val="20"/>
        </w:rPr>
        <w:t>Appendix</w:t>
      </w:r>
      <w:r w:rsidR="0058623B">
        <w:rPr>
          <w:sz w:val="20"/>
          <w:szCs w:val="20"/>
        </w:rPr>
        <w:t>:</w:t>
      </w:r>
    </w:p>
    <w:p w14:paraId="6922BDDB" w14:textId="3EF58B53" w:rsidR="00F87519" w:rsidRDefault="00F87519" w:rsidP="00374DAB">
      <w:pPr>
        <w:rPr>
          <w:sz w:val="20"/>
          <w:szCs w:val="20"/>
        </w:rPr>
      </w:pPr>
    </w:p>
    <w:p w14:paraId="7A263938" w14:textId="2BE22708" w:rsidR="00F87519" w:rsidRDefault="00F87519" w:rsidP="00374DAB">
      <w:pPr>
        <w:rPr>
          <w:sz w:val="20"/>
          <w:szCs w:val="20"/>
        </w:rPr>
      </w:pPr>
      <w:r w:rsidRPr="00F87519">
        <w:rPr>
          <w:sz w:val="20"/>
          <w:szCs w:val="20"/>
        </w:rPr>
        <w:drawing>
          <wp:inline distT="0" distB="0" distL="0" distR="0" wp14:anchorId="1E002594" wp14:editId="1A74E3F4">
            <wp:extent cx="5731510" cy="2089785"/>
            <wp:effectExtent l="0" t="0" r="0" b="5715"/>
            <wp:docPr id="60234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40838" name=""/>
                    <pic:cNvPicPr/>
                  </pic:nvPicPr>
                  <pic:blipFill>
                    <a:blip r:embed="rId20"/>
                    <a:stretch>
                      <a:fillRect/>
                    </a:stretch>
                  </pic:blipFill>
                  <pic:spPr>
                    <a:xfrm>
                      <a:off x="0" y="0"/>
                      <a:ext cx="5731510" cy="2089785"/>
                    </a:xfrm>
                    <a:prstGeom prst="rect">
                      <a:avLst/>
                    </a:prstGeom>
                  </pic:spPr>
                </pic:pic>
              </a:graphicData>
            </a:graphic>
          </wp:inline>
        </w:drawing>
      </w:r>
    </w:p>
    <w:p w14:paraId="65B0701D" w14:textId="450FF3FA" w:rsidR="00800A7E" w:rsidRDefault="00800A7E">
      <w:pPr>
        <w:rPr>
          <w:sz w:val="20"/>
          <w:szCs w:val="20"/>
        </w:rPr>
      </w:pPr>
      <w:r>
        <w:rPr>
          <w:sz w:val="20"/>
          <w:szCs w:val="20"/>
        </w:rPr>
        <w:br w:type="page"/>
      </w:r>
    </w:p>
    <w:p w14:paraId="100FA261" w14:textId="1EFE5F7D" w:rsidR="00810481" w:rsidRDefault="00800A7E" w:rsidP="00374DAB">
      <w:pPr>
        <w:rPr>
          <w:sz w:val="20"/>
          <w:szCs w:val="20"/>
        </w:rPr>
      </w:pPr>
      <w:r>
        <w:rPr>
          <w:sz w:val="20"/>
          <w:szCs w:val="20"/>
        </w:rPr>
        <w:lastRenderedPageBreak/>
        <w:t>First draft:</w:t>
      </w:r>
    </w:p>
    <w:p w14:paraId="7F1C8B90" w14:textId="77777777" w:rsidR="00800A7E" w:rsidRPr="00DD7131" w:rsidRDefault="00800A7E" w:rsidP="00800A7E">
      <w:pPr>
        <w:rPr>
          <w:sz w:val="20"/>
          <w:szCs w:val="20"/>
        </w:rPr>
      </w:pPr>
      <w:r w:rsidRPr="00DD7131">
        <w:rPr>
          <w:sz w:val="20"/>
          <w:szCs w:val="20"/>
        </w:rPr>
        <w:t>CAPEX vs OPEX</w:t>
      </w:r>
    </w:p>
    <w:p w14:paraId="052304FC" w14:textId="77777777" w:rsidR="00800A7E" w:rsidRPr="00DD7131" w:rsidRDefault="00800A7E" w:rsidP="00800A7E">
      <w:pPr>
        <w:rPr>
          <w:sz w:val="20"/>
          <w:szCs w:val="20"/>
        </w:rPr>
      </w:pPr>
    </w:p>
    <w:p w14:paraId="2B82D9CA" w14:textId="77777777" w:rsidR="00800A7E" w:rsidRPr="00DD7131" w:rsidRDefault="00800A7E" w:rsidP="00800A7E">
      <w:pPr>
        <w:rPr>
          <w:sz w:val="20"/>
          <w:szCs w:val="20"/>
        </w:rPr>
      </w:pPr>
    </w:p>
    <w:p w14:paraId="55E9F498" w14:textId="77777777" w:rsidR="00800A7E" w:rsidRPr="00DD7131" w:rsidRDefault="00800A7E" w:rsidP="00800A7E">
      <w:pPr>
        <w:rPr>
          <w:sz w:val="20"/>
          <w:szCs w:val="20"/>
        </w:rPr>
      </w:pPr>
      <w:r w:rsidRPr="00DD7131">
        <w:rPr>
          <w:sz w:val="20"/>
          <w:szCs w:val="20"/>
        </w:rPr>
        <w:t>eSMR vs SMR</w:t>
      </w:r>
    </w:p>
    <w:p w14:paraId="0B595FBC" w14:textId="77777777" w:rsidR="00800A7E" w:rsidRPr="00DD7131" w:rsidRDefault="00800A7E" w:rsidP="00800A7E">
      <w:pPr>
        <w:rPr>
          <w:sz w:val="20"/>
          <w:szCs w:val="20"/>
        </w:rPr>
      </w:pPr>
      <w:r w:rsidRPr="00DD7131">
        <w:rPr>
          <w:sz w:val="20"/>
          <w:szCs w:val="20"/>
        </w:rPr>
        <w:t>Comparison of the SMR process as an electrified process with the conventinal process on a block flow diagramm level, leads to the result, that energy delivered by natural gas is replaced by electrical energy, but energy consumption itself is not reduced significantly. This brings us straigthforwardly to the conclusion, that due to energy prices being on a way higher level than NG prices, this process can’t be implemented economically more viable than the incumbent proess.</w:t>
      </w:r>
    </w:p>
    <w:p w14:paraId="7EBA7414" w14:textId="77777777" w:rsidR="00800A7E" w:rsidRPr="00DD7131" w:rsidRDefault="00800A7E" w:rsidP="00800A7E">
      <w:pPr>
        <w:rPr>
          <w:sz w:val="20"/>
          <w:szCs w:val="20"/>
        </w:rPr>
      </w:pPr>
    </w:p>
    <w:p w14:paraId="520419BA" w14:textId="77777777" w:rsidR="00800A7E" w:rsidRPr="00DD7131" w:rsidRDefault="00800A7E" w:rsidP="00800A7E">
      <w:pPr>
        <w:rPr>
          <w:sz w:val="20"/>
          <w:szCs w:val="20"/>
        </w:rPr>
      </w:pPr>
      <w:r w:rsidRPr="00DD7131">
        <w:rPr>
          <w:sz w:val="20"/>
          <w:szCs w:val="20"/>
        </w:rPr>
        <w:t xml:space="preserve">To explain that in further depth, let’s have a look into the process concepts step by step, starting with the PSA and its off gas integration, before go through the process downstreamly. </w:t>
      </w:r>
    </w:p>
    <w:p w14:paraId="025BD528" w14:textId="77777777" w:rsidR="00800A7E" w:rsidRPr="00DD7131" w:rsidRDefault="00800A7E" w:rsidP="00800A7E">
      <w:pPr>
        <w:pStyle w:val="ListParagraph"/>
        <w:numPr>
          <w:ilvl w:val="0"/>
          <w:numId w:val="1"/>
        </w:numPr>
        <w:rPr>
          <w:sz w:val="20"/>
          <w:szCs w:val="20"/>
        </w:rPr>
      </w:pPr>
      <w:r w:rsidRPr="00DD7131">
        <w:rPr>
          <w:sz w:val="20"/>
          <w:szCs w:val="20"/>
        </w:rPr>
        <w:t>Both concepts use a PSA for final product purification, resulting in pure hydrogen as product and all other molecules in the off gas. The incumbent process fires the H2-rich off gas in the reformer, while in the eSMR concept a purge is necessary to get rid of the nitrogen introduced with our feed. The recycle is choosen to be just large enough to produce the steam required for the process independently, the rest is recycled to the reactor to maximize yield.</w:t>
      </w:r>
    </w:p>
    <w:p w14:paraId="180D182E" w14:textId="77777777" w:rsidR="00800A7E" w:rsidRPr="00DD7131" w:rsidRDefault="00800A7E" w:rsidP="00800A7E">
      <w:pPr>
        <w:pStyle w:val="ListParagraph"/>
        <w:numPr>
          <w:ilvl w:val="0"/>
          <w:numId w:val="1"/>
        </w:numPr>
        <w:rPr>
          <w:sz w:val="20"/>
          <w:szCs w:val="20"/>
        </w:rPr>
      </w:pPr>
      <w:r w:rsidRPr="00DD7131">
        <w:rPr>
          <w:sz w:val="20"/>
          <w:szCs w:val="20"/>
        </w:rPr>
        <w:t>Both processes perform the same reaction set to yield the product of interest. Consequently, both feeds exists of natural gas and steam, aditionally the electrified process feeds the mentioned recycle stream.</w:t>
      </w:r>
    </w:p>
    <w:p w14:paraId="49655C7A" w14:textId="77777777" w:rsidR="00800A7E" w:rsidRPr="00DD7131" w:rsidRDefault="00800A7E" w:rsidP="00800A7E">
      <w:pPr>
        <w:pStyle w:val="ListParagraph"/>
        <w:numPr>
          <w:ilvl w:val="0"/>
          <w:numId w:val="1"/>
        </w:numPr>
        <w:rPr>
          <w:sz w:val="20"/>
          <w:szCs w:val="20"/>
        </w:rPr>
      </w:pPr>
      <w:r w:rsidRPr="00DD7131">
        <w:rPr>
          <w:sz w:val="20"/>
          <w:szCs w:val="20"/>
        </w:rPr>
        <w:t>The outlet stream leaves the reformer at temperatures of 850°C or 1100°C respectively. Both temperatures are higher than the material constraints of standard heat exchangers (500-600°C), which means feed preheating by our product stream is not possible. In the incumbent process the last 200-300°C temperature increase is therefore reached by NG firing. The product stream is instead used to produce steam, for the process as well as export. On the contrary the eSMR reactor concept allows a reactor internal heat integration, which allows heat integration from product to educt stream even on this high of a temperature level.</w:t>
      </w:r>
    </w:p>
    <w:p w14:paraId="509994E7" w14:textId="77777777" w:rsidR="00800A7E" w:rsidRPr="00DD7131" w:rsidRDefault="00800A7E" w:rsidP="00800A7E">
      <w:pPr>
        <w:pStyle w:val="ListParagraph"/>
        <w:numPr>
          <w:ilvl w:val="0"/>
          <w:numId w:val="1"/>
        </w:numPr>
        <w:rPr>
          <w:sz w:val="20"/>
          <w:szCs w:val="20"/>
        </w:rPr>
      </w:pPr>
      <w:r w:rsidRPr="00DD7131">
        <w:rPr>
          <w:sz w:val="20"/>
          <w:szCs w:val="20"/>
        </w:rPr>
        <w:t>Both concepts include a WGS reaction step for hydrogen yield maximization.</w:t>
      </w:r>
    </w:p>
    <w:p w14:paraId="2EF240EE" w14:textId="77777777" w:rsidR="00800A7E" w:rsidRPr="00DD7131" w:rsidRDefault="00800A7E" w:rsidP="00800A7E">
      <w:pPr>
        <w:pStyle w:val="ListParagraph"/>
        <w:numPr>
          <w:ilvl w:val="0"/>
          <w:numId w:val="1"/>
        </w:numPr>
        <w:rPr>
          <w:sz w:val="20"/>
          <w:szCs w:val="20"/>
        </w:rPr>
      </w:pPr>
      <w:r w:rsidRPr="00DD7131">
        <w:rPr>
          <w:sz w:val="20"/>
          <w:szCs w:val="20"/>
        </w:rPr>
        <w:t xml:space="preserve">In the electrified process carbon will be removed from the cycle by the purge, or if the enrichment is too high in that case via an additional carbon capture unit is necessary. </w:t>
      </w:r>
    </w:p>
    <w:p w14:paraId="1EB1AA3A" w14:textId="77777777" w:rsidR="00800A7E" w:rsidRPr="00DD7131" w:rsidRDefault="00800A7E" w:rsidP="00800A7E">
      <w:pPr>
        <w:rPr>
          <w:sz w:val="20"/>
          <w:szCs w:val="20"/>
        </w:rPr>
      </w:pPr>
      <w:r w:rsidRPr="00DD7131">
        <w:rPr>
          <w:sz w:val="20"/>
          <w:szCs w:val="20"/>
        </w:rPr>
        <w:t xml:space="preserve">The difference can be broken down to higher NG demand of the incumbent process for preheating and reaction enthalpy reasons, which ultimately is compleately converted to steam (assuming an ideal heat integration) and hence a steam export is created. Reaction enthalpy for the products of interest is the same in both processes. Consequently, the higher NG demand can be attributed solely to preheating, in addition any losses (flue gas losses and insulation losses of the firebox and radiant section, 6-10% of fired energy and 1-5% respectively) must be covered. Practically sorted, it needs to be highlighted, that typical integrated plants have overall a deficit in their steam balance, which is offset by steam production most often from natural gas firing. Concluding from this, that it makes no difference (neglecting minior differences in conversion efficiency) whether steam is produced from NG on purpose or as a byproduct from SMR. Hence, the only difference are higher losses through flue gas and potentially through insulation (due to smaller reactor design). Even if assuming the electrified process as ideal with no losses, a economic competitive edge is not given due to about xxx% higher electricity prices compared to NG. </w:t>
      </w:r>
    </w:p>
    <w:p w14:paraId="20DC3CA7" w14:textId="77777777" w:rsidR="00800A7E" w:rsidRPr="00DD7131" w:rsidRDefault="00800A7E" w:rsidP="00800A7E">
      <w:pPr>
        <w:rPr>
          <w:sz w:val="20"/>
          <w:szCs w:val="20"/>
        </w:rPr>
      </w:pPr>
      <w:r w:rsidRPr="00DD7131">
        <w:rPr>
          <w:sz w:val="20"/>
          <w:szCs w:val="20"/>
        </w:rPr>
        <w:t xml:space="preserve">An additional difference occures, if a carbon capture unit is introduced. In that case carbon is removed from a CO2-rich gas stream downstream of the shift reactor. But even assuming an ideal 100% conversion in the reformer and the shift reactor, the CO2 content cannot exceed 20%, according to the combined SMR and WGS reaction </w:t>
      </w:r>
    </w:p>
    <w:p w14:paraId="3C0F9461" w14:textId="77777777" w:rsidR="00800A7E" w:rsidRPr="00DD7131" w:rsidRDefault="00800A7E" w:rsidP="00800A7E">
      <w:pPr>
        <w:rPr>
          <w:rFonts w:eastAsiaTheme="minorEastAsia"/>
          <w:sz w:val="20"/>
          <w:szCs w:val="20"/>
        </w:rPr>
      </w:pPr>
      <m:oMathPara>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 xml:space="preserve">+4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oMath>
      </m:oMathPara>
    </w:p>
    <w:p w14:paraId="3CBC328B" w14:textId="77777777" w:rsidR="00800A7E" w:rsidRPr="00DD7131" w:rsidRDefault="00800A7E" w:rsidP="00800A7E">
      <w:pPr>
        <w:rPr>
          <w:rFonts w:eastAsiaTheme="minorEastAsia"/>
          <w:sz w:val="20"/>
          <w:szCs w:val="20"/>
        </w:rPr>
      </w:pPr>
      <w:r w:rsidRPr="00DD7131">
        <w:rPr>
          <w:rFonts w:eastAsiaTheme="minorEastAsia"/>
          <w:sz w:val="20"/>
          <w:szCs w:val="20"/>
        </w:rPr>
        <w:t>This is a similar content as in combustion flue gasses (sources). Which leads to the conclusion, that a carbon capture as part of the electrified process concept is associated with the same effort as the flue gas carbon capture. And from the fact that flue gas carbon capture is not widely commercialised, not even in regions with high carbon taxes (e.g., European Union), it can be concluded that its just not economically viable.</w:t>
      </w:r>
    </w:p>
    <w:p w14:paraId="1AEBC827" w14:textId="77777777" w:rsidR="00800A7E" w:rsidRPr="00DD7131" w:rsidRDefault="00800A7E" w:rsidP="00800A7E">
      <w:pPr>
        <w:rPr>
          <w:rFonts w:eastAsiaTheme="minorEastAsia"/>
          <w:sz w:val="20"/>
          <w:szCs w:val="20"/>
        </w:rPr>
      </w:pPr>
    </w:p>
    <w:p w14:paraId="626A48D9" w14:textId="77777777" w:rsidR="00800A7E" w:rsidRPr="00DD7131" w:rsidRDefault="00800A7E" w:rsidP="00800A7E">
      <w:pPr>
        <w:rPr>
          <w:rFonts w:eastAsiaTheme="minorEastAsia"/>
          <w:sz w:val="20"/>
          <w:szCs w:val="20"/>
        </w:rPr>
      </w:pPr>
    </w:p>
    <w:p w14:paraId="22798E04" w14:textId="77777777" w:rsidR="00800A7E" w:rsidRPr="00DD7131" w:rsidRDefault="00800A7E" w:rsidP="00800A7E">
      <w:pPr>
        <w:rPr>
          <w:sz w:val="20"/>
          <w:szCs w:val="20"/>
        </w:rPr>
      </w:pPr>
    </w:p>
    <w:p w14:paraId="24FFA9A9" w14:textId="2C49F97C" w:rsidR="00800A7E" w:rsidRDefault="00800A7E" w:rsidP="00800A7E">
      <w:pPr>
        <w:rPr>
          <w:sz w:val="20"/>
          <w:szCs w:val="20"/>
        </w:rPr>
      </w:pPr>
      <w:r w:rsidRPr="00DD7131">
        <w:rPr>
          <w:sz w:val="20"/>
          <w:szCs w:val="20"/>
        </w:rPr>
        <w:t>Recycle mostly of CO, total amount of recycle could be reduced if a second low temp shift reactor would be added, but for economics it doesn makes a difference on the level of the current analysis.</w:t>
      </w:r>
    </w:p>
    <w:p w14:paraId="4AA5FE64" w14:textId="77777777" w:rsidR="00222285" w:rsidRDefault="00222285" w:rsidP="00800A7E">
      <w:pPr>
        <w:rPr>
          <w:sz w:val="20"/>
          <w:szCs w:val="20"/>
        </w:rPr>
      </w:pPr>
    </w:p>
    <w:p w14:paraId="414CE99A" w14:textId="77777777" w:rsidR="00222285" w:rsidRDefault="00222285" w:rsidP="00800A7E">
      <w:pPr>
        <w:rPr>
          <w:sz w:val="20"/>
          <w:szCs w:val="20"/>
        </w:rPr>
      </w:pPr>
    </w:p>
    <w:p w14:paraId="21F29F0B" w14:textId="77777777" w:rsidR="00222285" w:rsidRDefault="00222285" w:rsidP="00222285">
      <w:pPr>
        <w:rPr>
          <w:sz w:val="20"/>
          <w:szCs w:val="20"/>
        </w:rPr>
      </w:pPr>
      <w:r>
        <w:rPr>
          <w:sz w:val="20"/>
          <w:szCs w:val="20"/>
        </w:rPr>
        <w:t xml:space="preserve">Another CCS-related separation technology is </w:t>
      </w:r>
      <w:r>
        <w:rPr>
          <w:b/>
          <w:bCs/>
          <w:sz w:val="20"/>
          <w:szCs w:val="20"/>
        </w:rPr>
        <w:t>o</w:t>
      </w:r>
      <w:r w:rsidRPr="00701B02">
        <w:rPr>
          <w:b/>
          <w:bCs/>
          <w:sz w:val="20"/>
          <w:szCs w:val="20"/>
        </w:rPr>
        <w:t>xyfuel combustio</w:t>
      </w:r>
      <w:r>
        <w:rPr>
          <w:b/>
          <w:bCs/>
          <w:sz w:val="20"/>
          <w:szCs w:val="20"/>
        </w:rPr>
        <w:t xml:space="preserve">n </w:t>
      </w:r>
      <w:r w:rsidRPr="00BF3CD6">
        <w:rPr>
          <w:sz w:val="20"/>
          <w:szCs w:val="20"/>
        </w:rPr>
        <w:t>[Ullmann’s Carbon Dioxide, S.27</w:t>
      </w:r>
      <w:r>
        <w:rPr>
          <w:sz w:val="20"/>
          <w:szCs w:val="20"/>
        </w:rPr>
        <w:t>]</w:t>
      </w:r>
      <w:r>
        <w:rPr>
          <w:b/>
          <w:bCs/>
          <w:sz w:val="20"/>
          <w:szCs w:val="20"/>
        </w:rPr>
        <w:t xml:space="preserve">, </w:t>
      </w:r>
      <w:r w:rsidRPr="00BD27B7">
        <w:rPr>
          <w:sz w:val="20"/>
          <w:szCs w:val="20"/>
        </w:rPr>
        <w:t>which shows better efficiency than post- and pre-combustion at high capture rates</w:t>
      </w:r>
      <w:r>
        <w:rPr>
          <w:sz w:val="20"/>
          <w:szCs w:val="20"/>
        </w:rPr>
        <w:t xml:space="preserve"> (&gt;92%) </w:t>
      </w:r>
      <w:r w:rsidRPr="007A0E20">
        <w:rPr>
          <w:color w:val="EE0000"/>
          <w:sz w:val="20"/>
          <w:szCs w:val="20"/>
        </w:rPr>
        <w:lastRenderedPageBreak/>
        <w:t>[https://doi.org/10.1016/j.jece.2021.105777</w:t>
      </w:r>
      <w:r>
        <w:rPr>
          <w:color w:val="EE0000"/>
          <w:sz w:val="20"/>
          <w:szCs w:val="20"/>
        </w:rPr>
        <w:t xml:space="preserve">; </w:t>
      </w:r>
      <w:r w:rsidRPr="00FD6E78">
        <w:rPr>
          <w:color w:val="EE0000"/>
          <w:sz w:val="20"/>
          <w:szCs w:val="20"/>
        </w:rPr>
        <w:t>https://doi.org/10.1021/acsomega.3c05034</w:t>
      </w:r>
      <w:r w:rsidRPr="007A0E20">
        <w:rPr>
          <w:color w:val="EE0000"/>
          <w:sz w:val="20"/>
          <w:szCs w:val="20"/>
        </w:rPr>
        <w:t>]</w:t>
      </w:r>
      <w:r w:rsidRPr="00BD27B7">
        <w:rPr>
          <w:sz w:val="20"/>
          <w:szCs w:val="20"/>
        </w:rPr>
        <w:t>.</w:t>
      </w:r>
      <w:r>
        <w:rPr>
          <w:b/>
          <w:bCs/>
          <w:sz w:val="20"/>
          <w:szCs w:val="20"/>
        </w:rPr>
        <w:t xml:space="preserve"> This technology</w:t>
      </w:r>
      <w:r w:rsidRPr="00BF3CD6">
        <w:rPr>
          <w:sz w:val="20"/>
          <w:szCs w:val="20"/>
        </w:rPr>
        <w:t>,</w:t>
      </w:r>
      <w:r>
        <w:rPr>
          <w:sz w:val="20"/>
          <w:szCs w:val="20"/>
        </w:rPr>
        <w:t xml:space="preserve"> by contrast,</w:t>
      </w:r>
      <w:r w:rsidRPr="00701B02">
        <w:rPr>
          <w:sz w:val="20"/>
          <w:szCs w:val="20"/>
        </w:rPr>
        <w:t xml:space="preserve"> yields a nearly </w:t>
      </w:r>
      <w:r w:rsidRPr="00701B02">
        <w:rPr>
          <w:b/>
          <w:bCs/>
          <w:sz w:val="20"/>
          <w:szCs w:val="20"/>
        </w:rPr>
        <w:t>pure CO₂ flue gas</w:t>
      </w:r>
      <w:r>
        <w:rPr>
          <w:b/>
          <w:bCs/>
          <w:sz w:val="20"/>
          <w:szCs w:val="20"/>
        </w:rPr>
        <w:t xml:space="preserve"> </w:t>
      </w:r>
      <w:r w:rsidRPr="00701B02">
        <w:rPr>
          <w:sz w:val="20"/>
          <w:szCs w:val="20"/>
        </w:rPr>
        <w:t>with minimal separation effort</w:t>
      </w:r>
      <w:r>
        <w:rPr>
          <w:sz w:val="20"/>
          <w:szCs w:val="20"/>
        </w:rPr>
        <w:t xml:space="preserve">, </w:t>
      </w:r>
      <w:r w:rsidRPr="00701B02">
        <w:rPr>
          <w:sz w:val="20"/>
          <w:szCs w:val="20"/>
        </w:rPr>
        <w:t>but</w:t>
      </w:r>
      <w:r>
        <w:rPr>
          <w:sz w:val="20"/>
          <w:szCs w:val="20"/>
        </w:rPr>
        <w:t xml:space="preserve"> </w:t>
      </w:r>
      <w:r w:rsidRPr="00701B02">
        <w:rPr>
          <w:sz w:val="20"/>
          <w:szCs w:val="20"/>
        </w:rPr>
        <w:t>has not reached commercial maturity</w:t>
      </w:r>
      <w:r>
        <w:rPr>
          <w:sz w:val="20"/>
          <w:szCs w:val="20"/>
        </w:rPr>
        <w:t xml:space="preserve"> due to </w:t>
      </w:r>
      <w:r w:rsidRPr="008F30BA">
        <w:rPr>
          <w:sz w:val="20"/>
          <w:szCs w:val="20"/>
        </w:rPr>
        <w:t>unfavorable economic</w:t>
      </w:r>
      <w:r>
        <w:rPr>
          <w:sz w:val="20"/>
          <w:szCs w:val="20"/>
        </w:rPr>
        <w:t xml:space="preserve">s. </w:t>
      </w:r>
      <w:r w:rsidRPr="00701B02">
        <w:rPr>
          <w:sz w:val="20"/>
          <w:szCs w:val="20"/>
        </w:rPr>
        <w:t xml:space="preserve">The economic viability of this concept is highly sensitive to prevailing </w:t>
      </w:r>
      <w:r w:rsidRPr="00701B02">
        <w:rPr>
          <w:b/>
          <w:bCs/>
          <w:sz w:val="20"/>
          <w:szCs w:val="20"/>
        </w:rPr>
        <w:t>carbon pricing</w:t>
      </w:r>
      <w:r w:rsidRPr="00701B02">
        <w:rPr>
          <w:sz w:val="20"/>
          <w:szCs w:val="20"/>
        </w:rPr>
        <w:t>.</w:t>
      </w:r>
      <w:r>
        <w:rPr>
          <w:sz w:val="20"/>
          <w:szCs w:val="20"/>
        </w:rPr>
        <w:t xml:space="preserve"> According to the combustion reaction of NG with oxgen</w:t>
      </w:r>
    </w:p>
    <w:p w14:paraId="73CC1CB2" w14:textId="77777777" w:rsidR="00222285" w:rsidRPr="00C77CA1" w:rsidRDefault="00222285" w:rsidP="00222285">
      <w:pPr>
        <w:rPr>
          <w:rFonts w:eastAsiaTheme="minorEastAsia"/>
          <w:sz w:val="20"/>
          <w:szCs w:val="20"/>
        </w:rPr>
      </w:pPr>
      <m:oMathPara>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m:t>
          </m:r>
        </m:oMath>
      </m:oMathPara>
    </w:p>
    <w:p w14:paraId="7875BF3D" w14:textId="77777777" w:rsidR="00222285" w:rsidRDefault="00222285" w:rsidP="00222285">
      <w:pPr>
        <w:rPr>
          <w:sz w:val="20"/>
          <w:szCs w:val="20"/>
        </w:rPr>
      </w:pPr>
      <m:oMathPara>
        <m:oMath>
          <m:sSub>
            <m:sSubPr>
              <m:ctrlPr>
                <w:rPr>
                  <w:rFonts w:ascii="Cambria Math" w:hAnsi="Cambria Math"/>
                  <w:i/>
                  <w:sz w:val="20"/>
                  <w:szCs w:val="20"/>
                </w:rPr>
              </m:ctrlPr>
            </m:sSubPr>
            <m:e>
              <m:r>
                <w:rPr>
                  <w:rFonts w:ascii="Cambria Math" w:hAnsi="Cambria Math"/>
                  <w:sz w:val="20"/>
                  <w:szCs w:val="20"/>
                </w:rPr>
                <m:t>M</m:t>
              </m:r>
            </m:e>
            <m:sub>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sub>
          </m:sSub>
          <m:r>
            <w:rPr>
              <w:rFonts w:ascii="Cambria Math" w:eastAsiaTheme="minorEastAsia" w:hAnsi="Cambria Math"/>
              <w:sz w:val="20"/>
              <w:szCs w:val="20"/>
            </w:rPr>
            <m:t>=2∙</m:t>
          </m:r>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sub>
              </m:sSub>
            </m:num>
            <m:den>
              <m:sSub>
                <m:sSubPr>
                  <m:ctrlPr>
                    <w:rPr>
                      <w:rFonts w:ascii="Cambria Math" w:hAnsi="Cambria Math"/>
                      <w:i/>
                      <w:sz w:val="20"/>
                      <w:szCs w:val="20"/>
                    </w:rPr>
                  </m:ctrlPr>
                </m:sSubPr>
                <m:e>
                  <m:r>
                    <w:rPr>
                      <w:rFonts w:ascii="Cambria Math" w:hAnsi="Cambria Math"/>
                      <w:sz w:val="20"/>
                      <w:szCs w:val="20"/>
                    </w:rPr>
                    <m:t>MW</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sub>
              </m:sSub>
            </m:den>
          </m:f>
          <m:r>
            <w:rPr>
              <w:rFonts w:ascii="Cambria Math" w:eastAsiaTheme="minorEastAsia" w:hAnsi="Cambria Math"/>
              <w:sz w:val="20"/>
              <w:szCs w:val="20"/>
            </w:rPr>
            <m:t>∙</m:t>
          </m:r>
          <m:sSub>
            <m:sSubPr>
              <m:ctrlPr>
                <w:rPr>
                  <w:rFonts w:ascii="Cambria Math" w:hAnsi="Cambria Math"/>
                  <w:i/>
                  <w:sz w:val="20"/>
                  <w:szCs w:val="20"/>
                </w:rPr>
              </m:ctrlPr>
            </m:sSubPr>
            <m:e>
              <m:r>
                <w:rPr>
                  <w:rFonts w:ascii="Cambria Math" w:hAnsi="Cambria Math"/>
                  <w:sz w:val="20"/>
                  <w:szCs w:val="20"/>
                </w:rPr>
                <m:t>MW</m:t>
              </m:r>
            </m:e>
            <m:sub>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sub>
          </m:sSub>
          <m:r>
            <w:rPr>
              <w:rFonts w:ascii="Cambria Math" w:eastAsiaTheme="minorEastAsia" w:hAnsi="Cambria Math"/>
              <w:sz w:val="20"/>
              <w:szCs w:val="20"/>
            </w:rPr>
            <m:t>=2∙</m:t>
          </m:r>
          <m:f>
            <m:fPr>
              <m:ctrlPr>
                <w:rPr>
                  <w:rFonts w:ascii="Cambria Math" w:hAnsi="Cambria Math"/>
                  <w:i/>
                  <w:sz w:val="20"/>
                  <w:szCs w:val="20"/>
                </w:rPr>
              </m:ctrlPr>
            </m:fPr>
            <m:num>
              <m:r>
                <w:rPr>
                  <w:rFonts w:ascii="Cambria Math" w:hAnsi="Cambria Math"/>
                  <w:sz w:val="20"/>
                  <w:szCs w:val="20"/>
                </w:rPr>
                <m:t>1t</m:t>
              </m:r>
            </m:num>
            <m:den>
              <m:r>
                <w:rPr>
                  <w:rFonts w:ascii="Cambria Math" w:hAnsi="Cambria Math"/>
                  <w:sz w:val="20"/>
                  <w:szCs w:val="20"/>
                </w:rPr>
                <m:t>44</m:t>
              </m:r>
              <m:f>
                <m:fPr>
                  <m:type m:val="lin"/>
                  <m:ctrlPr>
                    <w:rPr>
                      <w:rFonts w:ascii="Cambria Math" w:hAnsi="Cambria Math"/>
                      <w:i/>
                      <w:sz w:val="20"/>
                      <w:szCs w:val="20"/>
                    </w:rPr>
                  </m:ctrlPr>
                </m:fPr>
                <m:num>
                  <m:r>
                    <w:rPr>
                      <w:rFonts w:ascii="Cambria Math" w:hAnsi="Cambria Math"/>
                      <w:sz w:val="20"/>
                      <w:szCs w:val="20"/>
                    </w:rPr>
                    <m:t>g</m:t>
                  </m:r>
                </m:num>
                <m:den>
                  <m:r>
                    <w:rPr>
                      <w:rFonts w:ascii="Cambria Math" w:hAnsi="Cambria Math"/>
                      <w:sz w:val="20"/>
                      <w:szCs w:val="20"/>
                    </w:rPr>
                    <m:t>mol</m:t>
                  </m:r>
                </m:den>
              </m:f>
            </m:den>
          </m:f>
          <m:r>
            <w:rPr>
              <w:rFonts w:ascii="Cambria Math" w:eastAsiaTheme="minorEastAsia" w:hAnsi="Cambria Math"/>
              <w:sz w:val="20"/>
              <w:szCs w:val="20"/>
            </w:rPr>
            <m:t>∙</m:t>
          </m:r>
          <m:r>
            <w:rPr>
              <w:rFonts w:ascii="Cambria Math" w:hAnsi="Cambria Math"/>
              <w:sz w:val="20"/>
              <w:szCs w:val="20"/>
            </w:rPr>
            <m:t>32</m:t>
          </m:r>
          <m:f>
            <m:fPr>
              <m:type m:val="lin"/>
              <m:ctrlPr>
                <w:rPr>
                  <w:rFonts w:ascii="Cambria Math" w:hAnsi="Cambria Math"/>
                  <w:i/>
                  <w:sz w:val="20"/>
                  <w:szCs w:val="20"/>
                </w:rPr>
              </m:ctrlPr>
            </m:fPr>
            <m:num>
              <m:r>
                <w:rPr>
                  <w:rFonts w:ascii="Cambria Math" w:hAnsi="Cambria Math"/>
                  <w:sz w:val="20"/>
                  <w:szCs w:val="20"/>
                </w:rPr>
                <m:t>g</m:t>
              </m:r>
            </m:num>
            <m:den>
              <m:r>
                <w:rPr>
                  <w:rFonts w:ascii="Cambria Math" w:hAnsi="Cambria Math"/>
                  <w:sz w:val="20"/>
                  <w:szCs w:val="20"/>
                </w:rPr>
                <m:t>mol</m:t>
              </m:r>
            </m:den>
          </m:f>
          <m:r>
            <w:rPr>
              <w:rFonts w:ascii="Cambria Math" w:hAnsi="Cambria Math"/>
              <w:sz w:val="20"/>
              <w:szCs w:val="20"/>
            </w:rPr>
            <m:t>=1.</m:t>
          </m:r>
          <m:acc>
            <m:accPr>
              <m:chr m:val="̅"/>
              <m:ctrlPr>
                <w:rPr>
                  <w:rFonts w:ascii="Cambria Math" w:hAnsi="Cambria Math"/>
                  <w:i/>
                  <w:sz w:val="20"/>
                  <w:szCs w:val="20"/>
                </w:rPr>
              </m:ctrlPr>
            </m:accPr>
            <m:e>
              <m:r>
                <w:rPr>
                  <w:rFonts w:ascii="Cambria Math" w:hAnsi="Cambria Math"/>
                  <w:sz w:val="20"/>
                  <w:szCs w:val="20"/>
                </w:rPr>
                <m:t>45</m:t>
              </m:r>
            </m:e>
          </m:acc>
          <m:r>
            <w:rPr>
              <w:rFonts w:ascii="Cambria Math" w:eastAsiaTheme="minorEastAsia" w:hAnsi="Cambria Math"/>
              <w:sz w:val="20"/>
              <w:szCs w:val="20"/>
            </w:rPr>
            <m:t>t</m:t>
          </m:r>
        </m:oMath>
      </m:oMathPara>
    </w:p>
    <w:p w14:paraId="58367AA0" w14:textId="77777777" w:rsidR="00222285" w:rsidRDefault="00222285" w:rsidP="00222285">
      <w:pPr>
        <w:rPr>
          <w:sz w:val="20"/>
          <w:szCs w:val="20"/>
        </w:rPr>
      </w:pPr>
      <w:r>
        <w:rPr>
          <w:sz w:val="20"/>
          <w:szCs w:val="20"/>
        </w:rPr>
        <w:t>at least 1.45 t O</w:t>
      </w:r>
      <w:r>
        <w:rPr>
          <w:sz w:val="20"/>
          <w:szCs w:val="20"/>
          <w:vertAlign w:val="subscript"/>
        </w:rPr>
        <w:t>2</w:t>
      </w:r>
      <w:r>
        <w:rPr>
          <w:sz w:val="20"/>
          <w:szCs w:val="20"/>
        </w:rPr>
        <w:t xml:space="preserve"> needs to be produced per 1 t CO</w:t>
      </w:r>
      <w:r>
        <w:rPr>
          <w:sz w:val="20"/>
          <w:szCs w:val="20"/>
          <w:vertAlign w:val="subscript"/>
        </w:rPr>
        <w:t>2</w:t>
      </w:r>
      <w:r>
        <w:rPr>
          <w:sz w:val="20"/>
          <w:szCs w:val="20"/>
        </w:rPr>
        <w:t>. At an associated energy demand of 200 kWh/t O</w:t>
      </w:r>
      <w:r>
        <w:rPr>
          <w:sz w:val="20"/>
          <w:szCs w:val="20"/>
          <w:vertAlign w:val="subscript"/>
        </w:rPr>
        <w:t>2</w:t>
      </w:r>
      <w:r>
        <w:rPr>
          <w:sz w:val="20"/>
          <w:szCs w:val="20"/>
        </w:rPr>
        <w:t xml:space="preserve"> </w:t>
      </w:r>
      <w:r w:rsidRPr="005F4C28">
        <w:rPr>
          <w:color w:val="EE0000"/>
          <w:sz w:val="20"/>
          <w:szCs w:val="20"/>
        </w:rPr>
        <w:t xml:space="preserve">[https://doi.org/10.1016/j.jclpro.2021.128476] </w:t>
      </w:r>
      <w:r>
        <w:rPr>
          <w:sz w:val="20"/>
          <w:szCs w:val="20"/>
        </w:rPr>
        <w:t xml:space="preserve">and an assumed electricity price of 0.20 €/kWh (Germany </w:t>
      </w:r>
      <w:r w:rsidRPr="002A1605">
        <w:rPr>
          <w:color w:val="EE0000"/>
          <w:sz w:val="20"/>
          <w:szCs w:val="20"/>
        </w:rPr>
        <w:t>[https://www.smard.de/page/en/topic-article/5892/216044/industrial-electricity-price-trends]</w:t>
      </w:r>
      <w:r>
        <w:rPr>
          <w:sz w:val="20"/>
          <w:szCs w:val="20"/>
        </w:rPr>
        <w:t>) this leads to oxygen production costs of 58 €/t CO</w:t>
      </w:r>
      <w:r>
        <w:rPr>
          <w:sz w:val="20"/>
          <w:szCs w:val="20"/>
          <w:vertAlign w:val="subscript"/>
        </w:rPr>
        <w:t>2</w:t>
      </w:r>
      <w:r>
        <w:rPr>
          <w:sz w:val="20"/>
          <w:szCs w:val="20"/>
        </w:rPr>
        <w:t>, which is already almost as high as current carbon certificates. Aditionally, futher costs for and makes oxyfuel combustion economically not viable at current carbon prices.</w:t>
      </w:r>
    </w:p>
    <w:p w14:paraId="3D0B2285" w14:textId="77777777" w:rsidR="00222285" w:rsidRDefault="00222285" w:rsidP="00222285">
      <w:pPr>
        <w:rPr>
          <w:sz w:val="20"/>
          <w:szCs w:val="20"/>
        </w:rPr>
      </w:pPr>
      <w:r>
        <w:rPr>
          <w:sz w:val="20"/>
          <w:szCs w:val="20"/>
        </w:rPr>
        <w:t>In retrofit concepts (low temperature design) air-N</w:t>
      </w:r>
      <w:r>
        <w:rPr>
          <w:sz w:val="20"/>
          <w:szCs w:val="20"/>
          <w:vertAlign w:val="subscript"/>
        </w:rPr>
        <w:t>2</w:t>
      </w:r>
      <w:r>
        <w:rPr>
          <w:sz w:val="20"/>
          <w:szCs w:val="20"/>
        </w:rPr>
        <w:t xml:space="preserve"> is substituted by CO</w:t>
      </w:r>
      <w:r>
        <w:rPr>
          <w:sz w:val="20"/>
          <w:szCs w:val="20"/>
          <w:vertAlign w:val="subscript"/>
        </w:rPr>
        <w:t>2</w:t>
      </w:r>
      <w:r>
        <w:rPr>
          <w:sz w:val="20"/>
          <w:szCs w:val="20"/>
        </w:rPr>
        <w:t xml:space="preserve"> to moderate peak flame temperatures through flue gas recycle. In contrast, temperatures of &gt;2000°C are reached in high temperature design </w:t>
      </w:r>
      <w:r w:rsidRPr="00F532E0">
        <w:rPr>
          <w:color w:val="EE0000"/>
          <w:sz w:val="20"/>
          <w:szCs w:val="20"/>
        </w:rPr>
        <w:t>[source]</w:t>
      </w:r>
      <w:r>
        <w:rPr>
          <w:sz w:val="20"/>
          <w:szCs w:val="20"/>
        </w:rPr>
        <w:t xml:space="preserve">, which is way above the material limitation of the OCMC reactor design. Furthermore, this concept doesn’t leverage the main innovation (electrical energy input) of the OCMC design and hence realization with other materials obvious, </w:t>
      </w:r>
      <w:r w:rsidRPr="00222285">
        <w:rPr>
          <w:sz w:val="20"/>
          <w:szCs w:val="20"/>
        </w:rPr>
        <w:t>what this concept rules out for further investigation</w:t>
      </w:r>
      <w:r>
        <w:rPr>
          <w:sz w:val="20"/>
          <w:szCs w:val="20"/>
        </w:rPr>
        <w:t>.</w:t>
      </w:r>
    </w:p>
    <w:p w14:paraId="6F380C59" w14:textId="77777777" w:rsidR="00222285" w:rsidRDefault="00222285" w:rsidP="00222285">
      <w:pPr>
        <w:rPr>
          <w:sz w:val="20"/>
          <w:szCs w:val="20"/>
        </w:rPr>
      </w:pPr>
    </w:p>
    <w:p w14:paraId="543EAFD6" w14:textId="77777777" w:rsidR="00222285" w:rsidRPr="00EE4A0F" w:rsidRDefault="00222285" w:rsidP="00222285">
      <w:pPr>
        <w:rPr>
          <w:color w:val="EE0000"/>
          <w:sz w:val="20"/>
          <w:szCs w:val="20"/>
        </w:rPr>
      </w:pPr>
      <w:r w:rsidRPr="007A0E20">
        <w:rPr>
          <w:sz w:val="20"/>
          <w:szCs w:val="20"/>
        </w:rPr>
        <w:t>leads to</w:t>
      </w:r>
      <w:r>
        <w:rPr>
          <w:b/>
          <w:bCs/>
          <w:sz w:val="20"/>
          <w:szCs w:val="20"/>
        </w:rPr>
        <w:t xml:space="preserve"> higher flame temperatures</w:t>
      </w:r>
      <w:r w:rsidRPr="00701B02">
        <w:rPr>
          <w:sz w:val="20"/>
          <w:szCs w:val="20"/>
        </w:rPr>
        <w:t xml:space="preserve"> </w:t>
      </w:r>
      <w:r>
        <w:rPr>
          <w:sz w:val="20"/>
          <w:szCs w:val="20"/>
        </w:rPr>
        <w:t xml:space="preserve">and </w:t>
      </w:r>
      <w:r w:rsidRPr="007A0E20">
        <w:rPr>
          <w:color w:val="EE0000"/>
          <w:sz w:val="20"/>
          <w:szCs w:val="20"/>
        </w:rPr>
        <w:t xml:space="preserve">hence </w:t>
      </w:r>
      <w:r w:rsidRPr="00701B02">
        <w:rPr>
          <w:sz w:val="20"/>
          <w:szCs w:val="20"/>
        </w:rPr>
        <w:t>The OCM</w:t>
      </w:r>
      <w:r>
        <w:rPr>
          <w:sz w:val="20"/>
          <w:szCs w:val="20"/>
        </w:rPr>
        <w:t>C</w:t>
      </w:r>
      <w:r w:rsidRPr="00701B02">
        <w:rPr>
          <w:sz w:val="20"/>
          <w:szCs w:val="20"/>
        </w:rPr>
        <w:t xml:space="preserve"> reactor concept overcomes these constraints, leaving the SMR process unchanged while requiring an air separation unit (ASU) instead of a carbon capture unit </w:t>
      </w:r>
      <w:r>
        <w:rPr>
          <w:sz w:val="20"/>
          <w:szCs w:val="20"/>
        </w:rPr>
        <w:t>–</w:t>
      </w:r>
      <w:r w:rsidRPr="00701B02">
        <w:rPr>
          <w:sz w:val="20"/>
          <w:szCs w:val="20"/>
        </w:rPr>
        <w:t xml:space="preserve"> at the cost of increased specific electricity demand.</w:t>
      </w:r>
      <w:r>
        <w:rPr>
          <w:sz w:val="20"/>
          <w:szCs w:val="20"/>
        </w:rPr>
        <w:t xml:space="preserve">. </w:t>
      </w:r>
      <w:r w:rsidRPr="00EE4A0F">
        <w:rPr>
          <w:color w:val="EE0000"/>
          <w:sz w:val="20"/>
          <w:szCs w:val="20"/>
        </w:rPr>
        <w:t xml:space="preserve">Was dafür spricht, dass die tchnologie nicht primär an den materiallimitationen scheitert sondern tendenziell an den generellen OPEX economics mit zu teurer O2 Produktion und die OCMC Technologie entsprechend keinen untersuchenswerten Unterschied macht. </w:t>
      </w:r>
      <w:r>
        <w:rPr>
          <w:color w:val="EE0000"/>
          <w:sz w:val="20"/>
          <w:szCs w:val="20"/>
        </w:rPr>
        <w:t xml:space="preserve">Höhere Flammtemperaturen werden durch einen flue gas recycle gemanaged und sind keine technische Limitierung. Vielleicht auch unterschied zwischen neudesign und retrofitting. Aber Berretta meinte Temperatur wäre das Problem. </w:t>
      </w:r>
    </w:p>
    <w:p w14:paraId="324F295D" w14:textId="77777777" w:rsidR="00222285" w:rsidRDefault="00222285" w:rsidP="00800A7E">
      <w:pPr>
        <w:rPr>
          <w:sz w:val="20"/>
          <w:szCs w:val="20"/>
        </w:rPr>
      </w:pPr>
    </w:p>
    <w:p w14:paraId="0FF05333" w14:textId="77777777" w:rsidR="00D84592" w:rsidRDefault="00D84592" w:rsidP="00800A7E">
      <w:pPr>
        <w:rPr>
          <w:sz w:val="20"/>
          <w:szCs w:val="20"/>
        </w:rPr>
      </w:pPr>
    </w:p>
    <w:p w14:paraId="037FFE19" w14:textId="77777777" w:rsidR="00D84592" w:rsidRPr="001046D7" w:rsidRDefault="00D84592" w:rsidP="00D84592">
      <w:pPr>
        <w:rPr>
          <w:rFonts w:eastAsiaTheme="minorEastAsia"/>
          <w:color w:val="EE0000"/>
          <w:sz w:val="20"/>
          <w:szCs w:val="20"/>
        </w:rPr>
      </w:pPr>
      <m:oMathPara>
        <m:oMath>
          <m:r>
            <w:rPr>
              <w:rFonts w:ascii="Cambria Math" w:hAnsi="Cambria Math"/>
              <w:color w:val="EE0000"/>
              <w:sz w:val="20"/>
              <w:szCs w:val="20"/>
            </w:rPr>
            <m:t>Abatement Effectiveness=</m:t>
          </m:r>
          <m:f>
            <m:fPr>
              <m:ctrlPr>
                <w:rPr>
                  <w:rFonts w:ascii="Cambria Math" w:hAnsi="Cambria Math"/>
                  <w:i/>
                  <w:color w:val="EE0000"/>
                  <w:sz w:val="20"/>
                  <w:szCs w:val="20"/>
                </w:rPr>
              </m:ctrlPr>
            </m:fPr>
            <m:num>
              <m:r>
                <w:rPr>
                  <w:rFonts w:ascii="Cambria Math" w:hAnsi="Cambria Math"/>
                  <w:color w:val="EE0000"/>
                  <w:sz w:val="20"/>
                  <w:szCs w:val="20"/>
                </w:rPr>
                <m:t>1</m:t>
              </m:r>
            </m:num>
            <m:den>
              <m:f>
                <m:fPr>
                  <m:ctrlPr>
                    <w:rPr>
                      <w:rFonts w:ascii="Cambria Math" w:hAnsi="Cambria Math"/>
                      <w:i/>
                      <w:color w:val="EE0000"/>
                      <w:sz w:val="20"/>
                      <w:szCs w:val="20"/>
                    </w:rPr>
                  </m:ctrlPr>
                </m:fPr>
                <m:num>
                  <m:r>
                    <w:rPr>
                      <w:rFonts w:ascii="Cambria Math" w:hAnsi="Cambria Math"/>
                      <w:color w:val="EE0000"/>
                      <w:sz w:val="20"/>
                      <w:szCs w:val="20"/>
                    </w:rPr>
                    <m:t>∆</m:t>
                  </m:r>
                  <m:sSub>
                    <m:sSubPr>
                      <m:ctrlPr>
                        <w:rPr>
                          <w:rFonts w:ascii="Cambria Math" w:hAnsi="Cambria Math"/>
                          <w:i/>
                          <w:color w:val="EE0000"/>
                          <w:sz w:val="20"/>
                          <w:szCs w:val="20"/>
                        </w:rPr>
                      </m:ctrlPr>
                    </m:sSubPr>
                    <m:e>
                      <m:r>
                        <w:rPr>
                          <w:rFonts w:ascii="Cambria Math" w:hAnsi="Cambria Math"/>
                          <w:color w:val="EE0000"/>
                          <w:sz w:val="20"/>
                          <w:szCs w:val="20"/>
                        </w:rPr>
                        <m:t>H</m:t>
                      </m:r>
                    </m:e>
                    <m:sub>
                      <m:r>
                        <w:rPr>
                          <w:rFonts w:ascii="Cambria Math" w:hAnsi="Cambria Math"/>
                          <w:color w:val="EE0000"/>
                          <w:sz w:val="20"/>
                          <w:szCs w:val="20"/>
                        </w:rPr>
                        <m:t>R</m:t>
                      </m:r>
                    </m:sub>
                  </m:sSub>
                  <m:r>
                    <w:rPr>
                      <w:rFonts w:ascii="Cambria Math" w:hAnsi="Cambria Math"/>
                      <w:color w:val="EE0000"/>
                      <w:sz w:val="20"/>
                      <w:szCs w:val="20"/>
                    </w:rPr>
                    <m:t>(T)</m:t>
                  </m:r>
                </m:num>
                <m:den>
                  <m:sSub>
                    <m:sSubPr>
                      <m:ctrlPr>
                        <w:rPr>
                          <w:rFonts w:ascii="Cambria Math" w:hAnsi="Cambria Math"/>
                          <w:i/>
                          <w:color w:val="EE0000"/>
                          <w:sz w:val="20"/>
                          <w:szCs w:val="20"/>
                        </w:rPr>
                      </m:ctrlPr>
                    </m:sSubPr>
                    <m:e>
                      <m:r>
                        <w:rPr>
                          <w:rFonts w:ascii="Cambria Math" w:hAnsi="Cambria Math"/>
                          <w:color w:val="EE0000"/>
                          <w:sz w:val="20"/>
                          <w:szCs w:val="20"/>
                        </w:rPr>
                        <m:t>η</m:t>
                      </m:r>
                    </m:e>
                    <m:sub>
                      <m:r>
                        <w:rPr>
                          <w:rFonts w:ascii="Cambria Math" w:hAnsi="Cambria Math"/>
                          <w:color w:val="EE0000"/>
                          <w:sz w:val="20"/>
                          <w:szCs w:val="20"/>
                        </w:rPr>
                        <m:t xml:space="preserve">fired energy, conventinal </m:t>
                      </m:r>
                    </m:sub>
                  </m:sSub>
                </m:den>
              </m:f>
              <m:r>
                <w:rPr>
                  <w:rFonts w:ascii="Cambria Math" w:eastAsiaTheme="minorEastAsia" w:hAnsi="Cambria Math"/>
                  <w:color w:val="EE0000"/>
                  <w:sz w:val="20"/>
                  <w:szCs w:val="20"/>
                </w:rPr>
                <m:t>∙Combustion Emissions</m:t>
              </m:r>
            </m:den>
          </m:f>
          <m:r>
            <w:rPr>
              <w:rFonts w:ascii="Cambria Math" w:hAnsi="Cambria Math"/>
              <w:color w:val="EE0000"/>
              <w:sz w:val="20"/>
              <w:szCs w:val="20"/>
            </w:rPr>
            <m:t>=</m:t>
          </m:r>
          <m:f>
            <m:fPr>
              <m:ctrlPr>
                <w:rPr>
                  <w:rFonts w:ascii="Cambria Math" w:hAnsi="Cambria Math"/>
                  <w:i/>
                  <w:color w:val="EE0000"/>
                  <w:sz w:val="20"/>
                  <w:szCs w:val="20"/>
                </w:rPr>
              </m:ctrlPr>
            </m:fPr>
            <m:num>
              <m:r>
                <w:rPr>
                  <w:rFonts w:ascii="Cambria Math" w:hAnsi="Cambria Math"/>
                  <w:color w:val="EE0000"/>
                  <w:sz w:val="20"/>
                  <w:szCs w:val="20"/>
                </w:rPr>
                <m:t>1</m:t>
              </m:r>
            </m:num>
            <m:den>
              <m:f>
                <m:fPr>
                  <m:ctrlPr>
                    <w:rPr>
                      <w:rFonts w:ascii="Cambria Math" w:hAnsi="Cambria Math"/>
                      <w:i/>
                      <w:color w:val="EE0000"/>
                      <w:sz w:val="20"/>
                      <w:szCs w:val="20"/>
                    </w:rPr>
                  </m:ctrlPr>
                </m:fPr>
                <m:num>
                  <m:r>
                    <w:rPr>
                      <w:rFonts w:ascii="Cambria Math" w:hAnsi="Cambria Math"/>
                      <w:color w:val="EE0000"/>
                      <w:sz w:val="20"/>
                      <w:szCs w:val="20"/>
                    </w:rPr>
                    <m:t>4.7</m:t>
                  </m:r>
                  <m:f>
                    <m:fPr>
                      <m:ctrlPr>
                        <w:rPr>
                          <w:rFonts w:ascii="Cambria Math" w:hAnsi="Cambria Math"/>
                          <w:i/>
                          <w:color w:val="EE0000"/>
                          <w:sz w:val="20"/>
                          <w:szCs w:val="20"/>
                        </w:rPr>
                      </m:ctrlPr>
                    </m:fPr>
                    <m:num>
                      <m:r>
                        <w:rPr>
                          <w:rFonts w:ascii="Cambria Math" w:hAnsi="Cambria Math"/>
                          <w:color w:val="EE0000"/>
                          <w:sz w:val="20"/>
                          <w:szCs w:val="20"/>
                        </w:rPr>
                        <m:t>MWh</m:t>
                      </m:r>
                    </m:num>
                    <m:den>
                      <m:r>
                        <w:rPr>
                          <w:rFonts w:ascii="Cambria Math" w:hAnsi="Cambria Math"/>
                          <w:color w:val="EE0000"/>
                          <w:sz w:val="20"/>
                          <w:szCs w:val="20"/>
                        </w:rPr>
                        <m:t>t C</m:t>
                      </m:r>
                      <m:sSub>
                        <m:sSubPr>
                          <m:ctrlPr>
                            <w:rPr>
                              <w:rFonts w:ascii="Cambria Math" w:hAnsi="Cambria Math"/>
                              <w:i/>
                              <w:color w:val="EE0000"/>
                              <w:sz w:val="20"/>
                              <w:szCs w:val="20"/>
                            </w:rPr>
                          </m:ctrlPr>
                        </m:sSubPr>
                        <m:e>
                          <m:r>
                            <w:rPr>
                              <w:rFonts w:ascii="Cambria Math" w:hAnsi="Cambria Math"/>
                              <w:color w:val="EE0000"/>
                              <w:sz w:val="20"/>
                              <w:szCs w:val="20"/>
                            </w:rPr>
                            <m:t>H</m:t>
                          </m:r>
                        </m:e>
                        <m:sub>
                          <m:r>
                            <w:rPr>
                              <w:rFonts w:ascii="Cambria Math" w:hAnsi="Cambria Math"/>
                              <w:color w:val="EE0000"/>
                              <w:sz w:val="20"/>
                              <w:szCs w:val="20"/>
                            </w:rPr>
                            <m:t>4</m:t>
                          </m:r>
                        </m:sub>
                      </m:sSub>
                    </m:den>
                  </m:f>
                </m:num>
                <m:den>
                  <m:r>
                    <w:rPr>
                      <w:rFonts w:ascii="Cambria Math" w:hAnsi="Cambria Math"/>
                      <w:color w:val="EE0000"/>
                      <w:sz w:val="20"/>
                      <w:szCs w:val="20"/>
                    </w:rPr>
                    <m:t>0.85</m:t>
                  </m:r>
                </m:den>
              </m:f>
              <m:r>
                <w:rPr>
                  <w:rFonts w:ascii="Cambria Math" w:eastAsiaTheme="minorEastAsia" w:hAnsi="Cambria Math"/>
                  <w:color w:val="EE0000"/>
                  <w:sz w:val="20"/>
                  <w:szCs w:val="20"/>
                </w:rPr>
                <m:t>∙</m:t>
              </m:r>
              <m:f>
                <m:fPr>
                  <m:ctrlPr>
                    <w:rPr>
                      <w:rFonts w:ascii="Cambria Math" w:eastAsiaTheme="minorEastAsia" w:hAnsi="Cambria Math"/>
                      <w:i/>
                      <w:color w:val="EE0000"/>
                      <w:sz w:val="20"/>
                      <w:szCs w:val="20"/>
                    </w:rPr>
                  </m:ctrlPr>
                </m:fPr>
                <m:num>
                  <m:r>
                    <w:rPr>
                      <w:rFonts w:ascii="Cambria Math" w:eastAsiaTheme="minorEastAsia" w:hAnsi="Cambria Math"/>
                      <w:color w:val="EE0000"/>
                      <w:sz w:val="20"/>
                      <w:szCs w:val="20"/>
                    </w:rPr>
                    <m:t>44</m:t>
                  </m:r>
                </m:num>
                <m:den>
                  <m:r>
                    <w:rPr>
                      <w:rFonts w:ascii="Cambria Math" w:eastAsiaTheme="minorEastAsia" w:hAnsi="Cambria Math"/>
                      <w:color w:val="EE0000"/>
                      <w:sz w:val="20"/>
                      <w:szCs w:val="20"/>
                    </w:rPr>
                    <m:t>16</m:t>
                  </m:r>
                </m:den>
              </m:f>
              <m:f>
                <m:fPr>
                  <m:ctrlPr>
                    <w:rPr>
                      <w:rFonts w:ascii="Cambria Math" w:eastAsiaTheme="minorEastAsia" w:hAnsi="Cambria Math"/>
                      <w:i/>
                      <w:color w:val="EE0000"/>
                      <w:sz w:val="20"/>
                      <w:szCs w:val="20"/>
                    </w:rPr>
                  </m:ctrlPr>
                </m:fPr>
                <m:num>
                  <m:r>
                    <w:rPr>
                      <w:rFonts w:ascii="Cambria Math" w:eastAsiaTheme="minorEastAsia" w:hAnsi="Cambria Math"/>
                      <w:color w:val="EE0000"/>
                      <w:sz w:val="20"/>
                      <w:szCs w:val="20"/>
                    </w:rPr>
                    <m:t>t C</m:t>
                  </m:r>
                  <m:sSub>
                    <m:sSubPr>
                      <m:ctrlPr>
                        <w:rPr>
                          <w:rFonts w:ascii="Cambria Math" w:eastAsiaTheme="minorEastAsia" w:hAnsi="Cambria Math"/>
                          <w:i/>
                          <w:color w:val="EE0000"/>
                          <w:sz w:val="20"/>
                          <w:szCs w:val="20"/>
                        </w:rPr>
                      </m:ctrlPr>
                    </m:sSubPr>
                    <m:e>
                      <m:r>
                        <w:rPr>
                          <w:rFonts w:ascii="Cambria Math" w:eastAsiaTheme="minorEastAsia" w:hAnsi="Cambria Math"/>
                          <w:color w:val="EE0000"/>
                          <w:sz w:val="20"/>
                          <w:szCs w:val="20"/>
                        </w:rPr>
                        <m:t>O</m:t>
                      </m:r>
                    </m:e>
                    <m:sub>
                      <m:r>
                        <w:rPr>
                          <w:rFonts w:ascii="Cambria Math" w:eastAsiaTheme="minorEastAsia" w:hAnsi="Cambria Math"/>
                          <w:color w:val="EE0000"/>
                          <w:sz w:val="20"/>
                          <w:szCs w:val="20"/>
                        </w:rPr>
                        <m:t>2</m:t>
                      </m:r>
                    </m:sub>
                  </m:sSub>
                </m:num>
                <m:den>
                  <m:r>
                    <w:rPr>
                      <w:rFonts w:ascii="Cambria Math" w:eastAsiaTheme="minorEastAsia" w:hAnsi="Cambria Math"/>
                      <w:color w:val="EE0000"/>
                      <w:sz w:val="20"/>
                      <w:szCs w:val="20"/>
                    </w:rPr>
                    <m:t>t C</m:t>
                  </m:r>
                  <m:sSub>
                    <m:sSubPr>
                      <m:ctrlPr>
                        <w:rPr>
                          <w:rFonts w:ascii="Cambria Math" w:eastAsiaTheme="minorEastAsia" w:hAnsi="Cambria Math"/>
                          <w:i/>
                          <w:color w:val="EE0000"/>
                          <w:sz w:val="20"/>
                          <w:szCs w:val="20"/>
                        </w:rPr>
                      </m:ctrlPr>
                    </m:sSubPr>
                    <m:e>
                      <m:r>
                        <w:rPr>
                          <w:rFonts w:ascii="Cambria Math" w:eastAsiaTheme="minorEastAsia" w:hAnsi="Cambria Math"/>
                          <w:color w:val="EE0000"/>
                          <w:sz w:val="20"/>
                          <w:szCs w:val="20"/>
                        </w:rPr>
                        <m:t>H</m:t>
                      </m:r>
                    </m:e>
                    <m:sub>
                      <m:r>
                        <w:rPr>
                          <w:rFonts w:ascii="Cambria Math" w:eastAsiaTheme="minorEastAsia" w:hAnsi="Cambria Math"/>
                          <w:color w:val="EE0000"/>
                          <w:sz w:val="20"/>
                          <w:szCs w:val="20"/>
                        </w:rPr>
                        <m:t>4</m:t>
                      </m:r>
                    </m:sub>
                  </m:sSub>
                </m:den>
              </m:f>
            </m:den>
          </m:f>
          <m:r>
            <w:rPr>
              <w:rFonts w:ascii="Cambria Math" w:hAnsi="Cambria Math"/>
              <w:color w:val="EE0000"/>
              <w:sz w:val="20"/>
              <w:szCs w:val="20"/>
            </w:rPr>
            <m:t>=</m:t>
          </m:r>
          <m:r>
            <w:rPr>
              <w:rFonts w:ascii="Cambria Math" w:eastAsiaTheme="minorEastAsia" w:hAnsi="Cambria Math"/>
              <w:color w:val="EE0000"/>
              <w:sz w:val="20"/>
              <w:szCs w:val="20"/>
            </w:rPr>
            <m:t>0.09</m:t>
          </m:r>
          <m:f>
            <m:fPr>
              <m:ctrlPr>
                <w:rPr>
                  <w:rFonts w:ascii="Cambria Math" w:eastAsiaTheme="minorEastAsia" w:hAnsi="Cambria Math"/>
                  <w:i/>
                  <w:color w:val="EE0000"/>
                  <w:sz w:val="20"/>
                  <w:szCs w:val="20"/>
                </w:rPr>
              </m:ctrlPr>
            </m:fPr>
            <m:num>
              <m:r>
                <w:rPr>
                  <w:rFonts w:ascii="Cambria Math" w:eastAsiaTheme="minorEastAsia" w:hAnsi="Cambria Math"/>
                  <w:color w:val="EE0000"/>
                  <w:sz w:val="20"/>
                  <w:szCs w:val="20"/>
                </w:rPr>
                <m:t>t C</m:t>
              </m:r>
              <m:sSub>
                <m:sSubPr>
                  <m:ctrlPr>
                    <w:rPr>
                      <w:rFonts w:ascii="Cambria Math" w:eastAsiaTheme="minorEastAsia" w:hAnsi="Cambria Math"/>
                      <w:i/>
                      <w:color w:val="EE0000"/>
                      <w:sz w:val="20"/>
                      <w:szCs w:val="20"/>
                    </w:rPr>
                  </m:ctrlPr>
                </m:sSubPr>
                <m:e>
                  <m:r>
                    <w:rPr>
                      <w:rFonts w:ascii="Cambria Math" w:eastAsiaTheme="minorEastAsia" w:hAnsi="Cambria Math"/>
                      <w:color w:val="EE0000"/>
                      <w:sz w:val="20"/>
                      <w:szCs w:val="20"/>
                    </w:rPr>
                    <m:t>O</m:t>
                  </m:r>
                </m:e>
                <m:sub>
                  <m:r>
                    <w:rPr>
                      <w:rFonts w:ascii="Cambria Math" w:eastAsiaTheme="minorEastAsia" w:hAnsi="Cambria Math"/>
                      <w:color w:val="EE0000"/>
                      <w:sz w:val="20"/>
                      <w:szCs w:val="20"/>
                    </w:rPr>
                    <m:t>2</m:t>
                  </m:r>
                </m:sub>
              </m:sSub>
            </m:num>
            <m:den>
              <m:r>
                <w:rPr>
                  <w:rFonts w:ascii="Cambria Math" w:eastAsiaTheme="minorEastAsia" w:hAnsi="Cambria Math"/>
                  <w:color w:val="EE0000"/>
                  <w:sz w:val="20"/>
                  <w:szCs w:val="20"/>
                </w:rPr>
                <m:t>MWh</m:t>
              </m:r>
            </m:den>
          </m:f>
        </m:oMath>
      </m:oMathPara>
    </w:p>
    <w:p w14:paraId="6043ACDE" w14:textId="77777777" w:rsidR="00D84592" w:rsidRPr="001046D7" w:rsidRDefault="00D84592" w:rsidP="00D84592">
      <w:pPr>
        <w:rPr>
          <w:rFonts w:eastAsiaTheme="minorEastAsia"/>
          <w:color w:val="EE0000"/>
          <w:sz w:val="20"/>
          <w:szCs w:val="20"/>
        </w:rPr>
      </w:pPr>
      <m:oMathPara>
        <m:oMath>
          <m:r>
            <w:rPr>
              <w:rFonts w:ascii="Cambria Math" w:hAnsi="Cambria Math"/>
              <w:color w:val="EE0000"/>
              <w:sz w:val="20"/>
              <w:szCs w:val="20"/>
            </w:rPr>
            <m:t>Abatement Effectiveness=</m:t>
          </m:r>
          <m:f>
            <m:fPr>
              <m:ctrlPr>
                <w:rPr>
                  <w:rFonts w:ascii="Cambria Math" w:hAnsi="Cambria Math"/>
                  <w:i/>
                  <w:color w:val="EE0000"/>
                  <w:sz w:val="20"/>
                  <w:szCs w:val="20"/>
                </w:rPr>
              </m:ctrlPr>
            </m:fPr>
            <m:num>
              <m:f>
                <m:fPr>
                  <m:ctrlPr>
                    <w:rPr>
                      <w:rFonts w:ascii="Cambria Math" w:eastAsiaTheme="minorHAnsi" w:hAnsi="Cambria Math" w:cstheme="minorBidi"/>
                      <w:i/>
                      <w:color w:val="EE0000"/>
                      <w:kern w:val="2"/>
                      <w:sz w:val="20"/>
                      <w:szCs w:val="20"/>
                      <w:lang w:eastAsia="en-US"/>
                      <w14:ligatures w14:val="standardContextual"/>
                    </w:rPr>
                  </m:ctrlPr>
                </m:fPr>
                <m:num>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m:t>
                      </m:r>
                      <m:sSub>
                        <m:sSubPr>
                          <m:ctrlPr>
                            <w:rPr>
                              <w:rFonts w:ascii="Cambria Math" w:hAnsi="Cambria Math"/>
                              <w:i/>
                              <w:color w:val="EE0000"/>
                              <w:sz w:val="20"/>
                              <w:szCs w:val="20"/>
                            </w:rPr>
                          </m:ctrlPr>
                        </m:sSubPr>
                        <m:e>
                          <m:r>
                            <w:rPr>
                              <w:rFonts w:ascii="Cambria Math" w:hAnsi="Cambria Math"/>
                              <w:color w:val="EE0000"/>
                              <w:sz w:val="20"/>
                              <w:szCs w:val="20"/>
                            </w:rPr>
                            <m:t>H</m:t>
                          </m:r>
                        </m:e>
                        <m:sub>
                          <m:r>
                            <w:rPr>
                              <w:rFonts w:ascii="Cambria Math" w:hAnsi="Cambria Math"/>
                              <w:color w:val="EE0000"/>
                              <w:sz w:val="20"/>
                              <w:szCs w:val="20"/>
                            </w:rPr>
                            <m:t>R</m:t>
                          </m:r>
                        </m:sub>
                      </m:sSub>
                      <m:r>
                        <w:rPr>
                          <w:rFonts w:ascii="Cambria Math" w:hAnsi="Cambria Math"/>
                          <w:color w:val="EE0000"/>
                          <w:sz w:val="20"/>
                          <w:szCs w:val="20"/>
                        </w:rPr>
                        <m:t>(850°C)</m:t>
                      </m:r>
                    </m:num>
                    <m:den>
                      <m:sSub>
                        <m:sSubPr>
                          <m:ctrlPr>
                            <w:rPr>
                              <w:rFonts w:ascii="Cambria Math" w:hAnsi="Cambria Math"/>
                              <w:i/>
                              <w:color w:val="EE0000"/>
                              <w:sz w:val="20"/>
                              <w:szCs w:val="20"/>
                            </w:rPr>
                          </m:ctrlPr>
                        </m:sSubPr>
                        <m:e>
                          <m:r>
                            <w:rPr>
                              <w:rFonts w:ascii="Cambria Math" w:hAnsi="Cambria Math"/>
                              <w:color w:val="EE0000"/>
                              <w:sz w:val="20"/>
                              <w:szCs w:val="20"/>
                            </w:rPr>
                            <m:t>η</m:t>
                          </m:r>
                        </m:e>
                        <m:sub>
                          <m:r>
                            <w:rPr>
                              <w:rFonts w:ascii="Cambria Math" w:hAnsi="Cambria Math"/>
                              <w:color w:val="EE0000"/>
                              <w:sz w:val="20"/>
                              <w:szCs w:val="20"/>
                            </w:rPr>
                            <m:t xml:space="preserve">fired energy, conventinal </m:t>
                          </m:r>
                        </m:sub>
                      </m:sSub>
                    </m:den>
                  </m:f>
                </m:num>
                <m:den>
                  <m:sSub>
                    <m:sSubPr>
                      <m:ctrlPr>
                        <w:rPr>
                          <w:rFonts w:ascii="Cambria Math" w:eastAsiaTheme="minorHAnsi" w:hAnsi="Cambria Math" w:cstheme="minorBidi"/>
                          <w:i/>
                          <w:color w:val="EE0000"/>
                          <w:kern w:val="2"/>
                          <w:sz w:val="20"/>
                          <w:szCs w:val="20"/>
                          <w:lang w:eastAsia="en-US"/>
                          <w14:ligatures w14:val="standardContextual"/>
                        </w:rPr>
                      </m:ctrlPr>
                    </m:sSubPr>
                    <m:e>
                      <m:r>
                        <w:rPr>
                          <w:rFonts w:ascii="Cambria Math" w:hAnsi="Cambria Math"/>
                          <w:color w:val="EE0000"/>
                          <w:sz w:val="20"/>
                          <w:szCs w:val="20"/>
                        </w:rPr>
                        <m:t>LHV</m:t>
                      </m:r>
                    </m:e>
                    <m:sub>
                      <m:r>
                        <w:rPr>
                          <w:rFonts w:ascii="Cambria Math" w:hAnsi="Cambria Math"/>
                          <w:color w:val="EE0000"/>
                          <w:sz w:val="20"/>
                          <w:szCs w:val="20"/>
                        </w:rPr>
                        <m:t>NG</m:t>
                      </m:r>
                    </m:sub>
                  </m:sSub>
                </m:den>
              </m:f>
              <m:r>
                <w:rPr>
                  <w:rFonts w:ascii="Cambria Math" w:hAnsi="Cambria Math"/>
                  <w:color w:val="EE0000"/>
                  <w:sz w:val="20"/>
                  <w:szCs w:val="20"/>
                </w:rPr>
                <m:t>∙</m:t>
              </m:r>
              <m:r>
                <w:rPr>
                  <w:rFonts w:ascii="Cambria Math" w:eastAsiaTheme="minorEastAsia" w:hAnsi="Cambria Math"/>
                  <w:color w:val="EE0000"/>
                  <w:sz w:val="20"/>
                  <w:szCs w:val="20"/>
                </w:rPr>
                <m:t>Emission Factor</m:t>
              </m:r>
            </m:num>
            <m:den>
              <m:r>
                <w:rPr>
                  <w:rFonts w:ascii="Cambria Math" w:hAnsi="Cambria Math"/>
                  <w:color w:val="EE0000"/>
                  <w:sz w:val="20"/>
                  <w:szCs w:val="20"/>
                </w:rPr>
                <m:t>∆</m:t>
              </m:r>
              <m:sSub>
                <m:sSubPr>
                  <m:ctrlPr>
                    <w:rPr>
                      <w:rFonts w:ascii="Cambria Math" w:hAnsi="Cambria Math"/>
                      <w:i/>
                      <w:color w:val="EE0000"/>
                      <w:sz w:val="20"/>
                      <w:szCs w:val="20"/>
                    </w:rPr>
                  </m:ctrlPr>
                </m:sSubPr>
                <m:e>
                  <m:r>
                    <w:rPr>
                      <w:rFonts w:ascii="Cambria Math" w:hAnsi="Cambria Math"/>
                      <w:color w:val="EE0000"/>
                      <w:sz w:val="20"/>
                      <w:szCs w:val="20"/>
                    </w:rPr>
                    <m:t>H</m:t>
                  </m:r>
                </m:e>
                <m:sub>
                  <m:r>
                    <w:rPr>
                      <w:rFonts w:ascii="Cambria Math" w:hAnsi="Cambria Math"/>
                      <w:color w:val="EE0000"/>
                      <w:sz w:val="20"/>
                      <w:szCs w:val="20"/>
                    </w:rPr>
                    <m:t>R</m:t>
                  </m:r>
                </m:sub>
              </m:sSub>
              <m:r>
                <w:rPr>
                  <w:rFonts w:ascii="Cambria Math" w:hAnsi="Cambria Math"/>
                  <w:color w:val="EE0000"/>
                  <w:sz w:val="20"/>
                  <w:szCs w:val="20"/>
                </w:rPr>
                <m:t>(1100°C)</m:t>
              </m:r>
            </m:den>
          </m:f>
          <m:r>
            <w:rPr>
              <w:rFonts w:ascii="Cambria Math" w:hAnsi="Cambria Math"/>
              <w:color w:val="EE0000"/>
              <w:sz w:val="20"/>
              <w:szCs w:val="20"/>
            </w:rPr>
            <m:t>=</m:t>
          </m:r>
          <m:f>
            <m:fPr>
              <m:ctrlPr>
                <w:rPr>
                  <w:rFonts w:ascii="Cambria Math" w:hAnsi="Cambria Math"/>
                  <w:i/>
                  <w:color w:val="EE0000"/>
                  <w:sz w:val="20"/>
                  <w:szCs w:val="20"/>
                </w:rPr>
              </m:ctrlPr>
            </m:fPr>
            <m:num>
              <m:f>
                <m:fPr>
                  <m:ctrlPr>
                    <w:rPr>
                      <w:rFonts w:ascii="Cambria Math" w:eastAsiaTheme="minorHAnsi" w:hAnsi="Cambria Math" w:cstheme="minorBidi"/>
                      <w:i/>
                      <w:color w:val="EE0000"/>
                      <w:kern w:val="2"/>
                      <w:sz w:val="20"/>
                      <w:szCs w:val="20"/>
                      <w:lang w:eastAsia="en-US"/>
                      <w14:ligatures w14:val="standardContextual"/>
                    </w:rPr>
                  </m:ctrlPr>
                </m:fPr>
                <m:num>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m:t>
                      </m:r>
                      <m:sSub>
                        <m:sSubPr>
                          <m:ctrlPr>
                            <w:rPr>
                              <w:rFonts w:ascii="Cambria Math" w:hAnsi="Cambria Math"/>
                              <w:i/>
                              <w:color w:val="EE0000"/>
                              <w:sz w:val="20"/>
                              <w:szCs w:val="20"/>
                            </w:rPr>
                          </m:ctrlPr>
                        </m:sSubPr>
                        <m:e>
                          <m:r>
                            <w:rPr>
                              <w:rFonts w:ascii="Cambria Math" w:hAnsi="Cambria Math"/>
                              <w:color w:val="EE0000"/>
                              <w:sz w:val="20"/>
                              <w:szCs w:val="20"/>
                            </w:rPr>
                            <m:t>H</m:t>
                          </m:r>
                        </m:e>
                        <m:sub>
                          <m:r>
                            <w:rPr>
                              <w:rFonts w:ascii="Cambria Math" w:hAnsi="Cambria Math"/>
                              <w:color w:val="EE0000"/>
                              <w:sz w:val="20"/>
                              <w:szCs w:val="20"/>
                            </w:rPr>
                            <m:t>R</m:t>
                          </m:r>
                        </m:sub>
                      </m:sSub>
                      <m:r>
                        <w:rPr>
                          <w:rFonts w:ascii="Cambria Math" w:hAnsi="Cambria Math"/>
                          <w:color w:val="EE0000"/>
                          <w:sz w:val="20"/>
                          <w:szCs w:val="20"/>
                        </w:rPr>
                        <m:t>(850°C)</m:t>
                      </m:r>
                    </m:num>
                    <m:den>
                      <m:r>
                        <w:rPr>
                          <w:rFonts w:ascii="Cambria Math" w:hAnsi="Cambria Math"/>
                          <w:color w:val="EE0000"/>
                          <w:sz w:val="20"/>
                          <w:szCs w:val="20"/>
                        </w:rPr>
                        <m:t>0.85</m:t>
                      </m:r>
                    </m:den>
                  </m:f>
                </m:num>
                <m:den>
                  <m:r>
                    <w:rPr>
                      <w:rFonts w:ascii="Cambria Math" w:hAnsi="Cambria Math"/>
                      <w:color w:val="EE0000"/>
                      <w:sz w:val="20"/>
                      <w:szCs w:val="20"/>
                    </w:rPr>
                    <m:t>37</m:t>
                  </m:r>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MJ</m:t>
                      </m:r>
                    </m:num>
                    <m:den>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m</m:t>
                          </m:r>
                        </m:e>
                        <m:sup>
                          <m:r>
                            <w:rPr>
                              <w:rFonts w:ascii="Cambria Math" w:hAnsi="Cambria Math"/>
                              <w:color w:val="EE0000"/>
                              <w:sz w:val="20"/>
                              <w:szCs w:val="20"/>
                            </w:rPr>
                            <m:t>3</m:t>
                          </m:r>
                        </m:sup>
                      </m:sSup>
                      <m:r>
                        <w:rPr>
                          <w:rFonts w:ascii="Cambria Math" w:hAnsi="Cambria Math"/>
                          <w:color w:val="EE0000"/>
                          <w:sz w:val="20"/>
                          <w:szCs w:val="20"/>
                        </w:rPr>
                        <m:t xml:space="preserve"> NG</m:t>
                      </m:r>
                    </m:den>
                  </m:f>
                  <m:r>
                    <w:rPr>
                      <w:rFonts w:ascii="Cambria Math" w:hAnsi="Cambria Math"/>
                      <w:color w:val="EE0000"/>
                      <w:sz w:val="20"/>
                      <w:szCs w:val="20"/>
                    </w:rPr>
                    <m:t>∙</m:t>
                  </m:r>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0.2778∙</m:t>
                      </m:r>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10</m:t>
                          </m:r>
                        </m:e>
                        <m:sup>
                          <m:r>
                            <w:rPr>
                              <w:rFonts w:ascii="Cambria Math" w:hAnsi="Cambria Math"/>
                              <w:color w:val="EE0000"/>
                              <w:sz w:val="20"/>
                              <w:szCs w:val="20"/>
                            </w:rPr>
                            <m:t>-3</m:t>
                          </m:r>
                        </m:sup>
                      </m:sSup>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MWh</m:t>
                          </m:r>
                        </m:num>
                        <m:den>
                          <m:r>
                            <w:rPr>
                              <w:rFonts w:ascii="Cambria Math" w:hAnsi="Cambria Math"/>
                              <w:color w:val="EE0000"/>
                              <w:sz w:val="20"/>
                              <w:szCs w:val="20"/>
                            </w:rPr>
                            <m:t>MJ</m:t>
                          </m:r>
                        </m:den>
                      </m:f>
                    </m:num>
                    <m:den>
                      <m:r>
                        <w:rPr>
                          <w:rFonts w:ascii="Cambria Math" w:hAnsi="Cambria Math"/>
                          <w:color w:val="EE0000"/>
                          <w:sz w:val="20"/>
                          <w:szCs w:val="20"/>
                        </w:rPr>
                        <m:t>0.79∙</m:t>
                      </m:r>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10</m:t>
                          </m:r>
                        </m:e>
                        <m:sup>
                          <m:r>
                            <w:rPr>
                              <w:rFonts w:ascii="Cambria Math" w:hAnsi="Cambria Math"/>
                              <w:color w:val="EE0000"/>
                              <w:sz w:val="20"/>
                              <w:szCs w:val="20"/>
                            </w:rPr>
                            <m:t>-3</m:t>
                          </m:r>
                        </m:sup>
                      </m:sSup>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t NG</m:t>
                          </m:r>
                        </m:num>
                        <m:den>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m</m:t>
                              </m:r>
                            </m:e>
                            <m:sup>
                              <m:r>
                                <w:rPr>
                                  <w:rFonts w:ascii="Cambria Math" w:hAnsi="Cambria Math"/>
                                  <w:color w:val="EE0000"/>
                                  <w:sz w:val="20"/>
                                  <w:szCs w:val="20"/>
                                </w:rPr>
                                <m:t>3</m:t>
                              </m:r>
                            </m:sup>
                          </m:sSup>
                          <m:r>
                            <w:rPr>
                              <w:rFonts w:ascii="Cambria Math" w:hAnsi="Cambria Math"/>
                              <w:color w:val="EE0000"/>
                              <w:sz w:val="20"/>
                              <w:szCs w:val="20"/>
                            </w:rPr>
                            <m:t xml:space="preserve"> NG</m:t>
                          </m:r>
                        </m:den>
                      </m:f>
                    </m:den>
                  </m:f>
                </m:den>
              </m:f>
              <m:r>
                <w:rPr>
                  <w:rFonts w:ascii="Cambria Math" w:hAnsi="Cambria Math"/>
                  <w:color w:val="EE0000"/>
                  <w:sz w:val="20"/>
                  <w:szCs w:val="20"/>
                </w:rPr>
                <m:t>∙</m:t>
              </m:r>
              <m:r>
                <w:rPr>
                  <w:rFonts w:ascii="Cambria Math" w:eastAsiaTheme="minorEastAsia" w:hAnsi="Cambria Math"/>
                  <w:color w:val="EE0000"/>
                  <w:sz w:val="20"/>
                  <w:szCs w:val="20"/>
                </w:rPr>
                <m:t>57</m:t>
              </m:r>
              <m:f>
                <m:fPr>
                  <m:ctrlPr>
                    <w:rPr>
                      <w:rFonts w:ascii="Cambria Math" w:eastAsiaTheme="minorEastAsia" w:hAnsi="Cambria Math"/>
                      <w:i/>
                      <w:color w:val="EE0000"/>
                      <w:sz w:val="20"/>
                      <w:szCs w:val="20"/>
                    </w:rPr>
                  </m:ctrlPr>
                </m:fPr>
                <m:num>
                  <m:r>
                    <w:rPr>
                      <w:rFonts w:ascii="Cambria Math" w:eastAsiaTheme="minorEastAsia" w:hAnsi="Cambria Math"/>
                      <w:color w:val="EE0000"/>
                      <w:sz w:val="20"/>
                      <w:szCs w:val="20"/>
                    </w:rPr>
                    <m:t>t C</m:t>
                  </m:r>
                  <m:sSub>
                    <m:sSubPr>
                      <m:ctrlPr>
                        <w:rPr>
                          <w:rFonts w:ascii="Cambria Math" w:eastAsiaTheme="minorEastAsia" w:hAnsi="Cambria Math"/>
                          <w:i/>
                          <w:color w:val="EE0000"/>
                          <w:sz w:val="20"/>
                          <w:szCs w:val="20"/>
                        </w:rPr>
                      </m:ctrlPr>
                    </m:sSubPr>
                    <m:e>
                      <m:r>
                        <w:rPr>
                          <w:rFonts w:ascii="Cambria Math" w:eastAsiaTheme="minorEastAsia" w:hAnsi="Cambria Math"/>
                          <w:color w:val="EE0000"/>
                          <w:sz w:val="20"/>
                          <w:szCs w:val="20"/>
                        </w:rPr>
                        <m:t>O</m:t>
                      </m:r>
                    </m:e>
                    <m:sub>
                      <m:r>
                        <w:rPr>
                          <w:rFonts w:ascii="Cambria Math" w:eastAsiaTheme="minorEastAsia" w:hAnsi="Cambria Math"/>
                          <w:color w:val="EE0000"/>
                          <w:sz w:val="20"/>
                          <w:szCs w:val="20"/>
                        </w:rPr>
                        <m:t>2</m:t>
                      </m:r>
                    </m:sub>
                  </m:sSub>
                </m:num>
                <m:den>
                  <m:r>
                    <w:rPr>
                      <w:rFonts w:ascii="Cambria Math" w:eastAsiaTheme="minorEastAsia" w:hAnsi="Cambria Math"/>
                      <w:color w:val="EE0000"/>
                      <w:sz w:val="20"/>
                      <w:szCs w:val="20"/>
                    </w:rPr>
                    <m:t>TJ</m:t>
                  </m:r>
                </m:den>
              </m:f>
              <m:r>
                <w:rPr>
                  <w:rFonts w:ascii="Cambria Math" w:eastAsiaTheme="minorEastAsia" w:hAnsi="Cambria Math"/>
                  <w:color w:val="EE0000"/>
                  <w:sz w:val="20"/>
                  <w:szCs w:val="20"/>
                </w:rPr>
                <m:t>∙</m:t>
              </m:r>
              <m:f>
                <m:fPr>
                  <m:ctrlPr>
                    <w:rPr>
                      <w:rFonts w:ascii="Cambria Math" w:eastAsiaTheme="minorHAnsi" w:hAnsi="Cambria Math" w:cstheme="minorBidi"/>
                      <w:i/>
                      <w:color w:val="EE0000"/>
                      <w:kern w:val="2"/>
                      <w:sz w:val="20"/>
                      <w:szCs w:val="20"/>
                      <w:lang w:eastAsia="en-US"/>
                      <w14:ligatures w14:val="standardContextual"/>
                    </w:rPr>
                  </m:ctrlPr>
                </m:fPr>
                <m:num>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10</m:t>
                      </m:r>
                    </m:e>
                    <m:sup>
                      <m:r>
                        <w:rPr>
                          <w:rFonts w:ascii="Cambria Math" w:hAnsi="Cambria Math"/>
                          <w:color w:val="EE0000"/>
                          <w:sz w:val="20"/>
                          <w:szCs w:val="20"/>
                        </w:rPr>
                        <m:t>-6</m:t>
                      </m:r>
                    </m:sup>
                  </m:sSup>
                  <m:f>
                    <m:fPr>
                      <m:ctrlPr>
                        <w:rPr>
                          <w:rFonts w:ascii="Cambria Math" w:eastAsiaTheme="minorEastAsia" w:hAnsi="Cambria Math" w:cstheme="minorBidi"/>
                          <w:i/>
                          <w:color w:val="EE0000"/>
                          <w:kern w:val="2"/>
                          <w:sz w:val="20"/>
                          <w:szCs w:val="20"/>
                          <w:lang w:eastAsia="en-US"/>
                          <w14:ligatures w14:val="standardContextual"/>
                        </w:rPr>
                      </m:ctrlPr>
                    </m:fPr>
                    <m:num>
                      <m:r>
                        <w:rPr>
                          <w:rFonts w:ascii="Cambria Math" w:eastAsiaTheme="minorEastAsia" w:hAnsi="Cambria Math"/>
                          <w:color w:val="EE0000"/>
                          <w:sz w:val="20"/>
                          <w:szCs w:val="20"/>
                        </w:rPr>
                        <m:t>TJ</m:t>
                      </m:r>
                    </m:num>
                    <m:den>
                      <m:r>
                        <w:rPr>
                          <w:rFonts w:ascii="Cambria Math" w:eastAsiaTheme="minorEastAsia" w:hAnsi="Cambria Math"/>
                          <w:color w:val="EE0000"/>
                          <w:sz w:val="20"/>
                          <w:szCs w:val="20"/>
                        </w:rPr>
                        <m:t>MJ</m:t>
                      </m:r>
                    </m:den>
                  </m:f>
                  <m:r>
                    <w:rPr>
                      <w:rFonts w:ascii="Cambria Math" w:eastAsiaTheme="minorEastAsia" w:hAnsi="Cambria Math"/>
                      <w:color w:val="EE0000"/>
                      <w:sz w:val="20"/>
                      <w:szCs w:val="20"/>
                    </w:rPr>
                    <m:t>∙</m:t>
                  </m:r>
                  <m:r>
                    <w:rPr>
                      <w:rFonts w:ascii="Cambria Math" w:hAnsi="Cambria Math"/>
                      <w:color w:val="EE0000"/>
                      <w:sz w:val="20"/>
                      <w:szCs w:val="20"/>
                    </w:rPr>
                    <m:t>37</m:t>
                  </m:r>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MJ</m:t>
                      </m:r>
                    </m:num>
                    <m:den>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m</m:t>
                          </m:r>
                        </m:e>
                        <m:sup>
                          <m:r>
                            <w:rPr>
                              <w:rFonts w:ascii="Cambria Math" w:hAnsi="Cambria Math"/>
                              <w:color w:val="EE0000"/>
                              <w:sz w:val="20"/>
                              <w:szCs w:val="20"/>
                            </w:rPr>
                            <m:t>3</m:t>
                          </m:r>
                        </m:sup>
                      </m:sSup>
                      <m:r>
                        <w:rPr>
                          <w:rFonts w:ascii="Cambria Math" w:hAnsi="Cambria Math"/>
                          <w:color w:val="EE0000"/>
                          <w:sz w:val="20"/>
                          <w:szCs w:val="20"/>
                        </w:rPr>
                        <m:t xml:space="preserve"> NG</m:t>
                      </m:r>
                    </m:den>
                  </m:f>
                </m:num>
                <m:den>
                  <m:r>
                    <w:rPr>
                      <w:rFonts w:ascii="Cambria Math" w:hAnsi="Cambria Math"/>
                      <w:color w:val="EE0000"/>
                      <w:sz w:val="20"/>
                      <w:szCs w:val="20"/>
                    </w:rPr>
                    <m:t>0.79∙</m:t>
                  </m:r>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10</m:t>
                      </m:r>
                    </m:e>
                    <m:sup>
                      <m:r>
                        <w:rPr>
                          <w:rFonts w:ascii="Cambria Math" w:hAnsi="Cambria Math"/>
                          <w:color w:val="EE0000"/>
                          <w:sz w:val="20"/>
                          <w:szCs w:val="20"/>
                        </w:rPr>
                        <m:t>-3</m:t>
                      </m:r>
                    </m:sup>
                  </m:sSup>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t NG</m:t>
                      </m:r>
                    </m:num>
                    <m:den>
                      <m:sSup>
                        <m:sSupPr>
                          <m:ctrlPr>
                            <w:rPr>
                              <w:rFonts w:ascii="Cambria Math" w:eastAsiaTheme="minorHAnsi" w:hAnsi="Cambria Math" w:cstheme="minorBidi"/>
                              <w:i/>
                              <w:color w:val="EE0000"/>
                              <w:kern w:val="2"/>
                              <w:sz w:val="20"/>
                              <w:szCs w:val="20"/>
                              <w:lang w:eastAsia="en-US"/>
                              <w14:ligatures w14:val="standardContextual"/>
                            </w:rPr>
                          </m:ctrlPr>
                        </m:sSupPr>
                        <m:e>
                          <m:r>
                            <w:rPr>
                              <w:rFonts w:ascii="Cambria Math" w:hAnsi="Cambria Math"/>
                              <w:color w:val="EE0000"/>
                              <w:sz w:val="20"/>
                              <w:szCs w:val="20"/>
                            </w:rPr>
                            <m:t>m</m:t>
                          </m:r>
                        </m:e>
                        <m:sup>
                          <m:r>
                            <w:rPr>
                              <w:rFonts w:ascii="Cambria Math" w:hAnsi="Cambria Math"/>
                              <w:color w:val="EE0000"/>
                              <w:sz w:val="20"/>
                              <w:szCs w:val="20"/>
                            </w:rPr>
                            <m:t>3</m:t>
                          </m:r>
                        </m:sup>
                      </m:sSup>
                      <m:r>
                        <w:rPr>
                          <w:rFonts w:ascii="Cambria Math" w:hAnsi="Cambria Math"/>
                          <w:color w:val="EE0000"/>
                          <w:sz w:val="20"/>
                          <w:szCs w:val="20"/>
                        </w:rPr>
                        <m:t xml:space="preserve"> NG</m:t>
                      </m:r>
                    </m:den>
                  </m:f>
                </m:den>
              </m:f>
            </m:num>
            <m:den>
              <m:r>
                <w:rPr>
                  <w:rFonts w:ascii="Cambria Math" w:hAnsi="Cambria Math"/>
                  <w:color w:val="EE0000"/>
                  <w:sz w:val="20"/>
                  <w:szCs w:val="20"/>
                </w:rPr>
                <m:t>∆</m:t>
              </m:r>
              <m:sSub>
                <m:sSubPr>
                  <m:ctrlPr>
                    <w:rPr>
                      <w:rFonts w:ascii="Cambria Math" w:hAnsi="Cambria Math"/>
                      <w:i/>
                      <w:color w:val="EE0000"/>
                      <w:sz w:val="20"/>
                      <w:szCs w:val="20"/>
                    </w:rPr>
                  </m:ctrlPr>
                </m:sSubPr>
                <m:e>
                  <m:r>
                    <w:rPr>
                      <w:rFonts w:ascii="Cambria Math" w:hAnsi="Cambria Math"/>
                      <w:color w:val="EE0000"/>
                      <w:sz w:val="20"/>
                      <w:szCs w:val="20"/>
                    </w:rPr>
                    <m:t>H</m:t>
                  </m:r>
                </m:e>
                <m:sub>
                  <m:r>
                    <w:rPr>
                      <w:rFonts w:ascii="Cambria Math" w:hAnsi="Cambria Math"/>
                      <w:color w:val="EE0000"/>
                      <w:sz w:val="20"/>
                      <w:szCs w:val="20"/>
                    </w:rPr>
                    <m:t>R</m:t>
                  </m:r>
                </m:sub>
              </m:sSub>
              <m:r>
                <w:rPr>
                  <w:rFonts w:ascii="Cambria Math" w:hAnsi="Cambria Math"/>
                  <w:color w:val="EE0000"/>
                  <w:sz w:val="20"/>
                  <w:szCs w:val="20"/>
                </w:rPr>
                <m:t>(1100°C)</m:t>
              </m:r>
            </m:den>
          </m:f>
          <m:r>
            <w:rPr>
              <w:rFonts w:ascii="Cambria Math" w:hAnsi="Cambria Math"/>
              <w:color w:val="EE0000"/>
              <w:sz w:val="20"/>
              <w:szCs w:val="20"/>
            </w:rPr>
            <m:t>=</m:t>
          </m:r>
          <m:f>
            <m:fPr>
              <m:ctrlPr>
                <w:rPr>
                  <w:rFonts w:ascii="Cambria Math" w:hAnsi="Cambria Math"/>
                  <w:i/>
                  <w:color w:val="EE0000"/>
                  <w:sz w:val="20"/>
                  <w:szCs w:val="20"/>
                </w:rPr>
              </m:ctrlPr>
            </m:fPr>
            <m:num>
              <m:f>
                <m:fPr>
                  <m:ctrlPr>
                    <w:rPr>
                      <w:rFonts w:ascii="Cambria Math" w:eastAsiaTheme="minorHAnsi" w:hAnsi="Cambria Math" w:cstheme="minorBidi"/>
                      <w:i/>
                      <w:color w:val="EE0000"/>
                      <w:kern w:val="2"/>
                      <w:sz w:val="20"/>
                      <w:szCs w:val="20"/>
                      <w:lang w:eastAsia="en-US"/>
                      <w14:ligatures w14:val="standardContextual"/>
                    </w:rPr>
                  </m:ctrlPr>
                </m:fPr>
                <m:num>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sz w:val="20"/>
                          <w:szCs w:val="20"/>
                        </w:rPr>
                        <m:t>215.1</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kJ</m:t>
                          </m:r>
                        </m:num>
                        <m:den>
                          <m:r>
                            <w:rPr>
                              <w:rFonts w:ascii="Cambria Math" w:hAnsi="Cambria Math"/>
                              <w:sz w:val="20"/>
                              <w:szCs w:val="20"/>
                            </w:rPr>
                            <m:t>mol 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4 reacted</m:t>
                              </m:r>
                            </m:sub>
                          </m:sSub>
                        </m:den>
                      </m:f>
                    </m:num>
                    <m:den>
                      <m:r>
                        <w:rPr>
                          <w:rFonts w:ascii="Cambria Math" w:hAnsi="Cambria Math"/>
                          <w:color w:val="EE0000"/>
                          <w:sz w:val="20"/>
                          <w:szCs w:val="20"/>
                        </w:rPr>
                        <m:t>0.85</m:t>
                      </m:r>
                    </m:den>
                  </m:f>
                </m:num>
                <m:den>
                  <m:r>
                    <w:rPr>
                      <w:rFonts w:ascii="Cambria Math" w:hAnsi="Cambria Math"/>
                      <w:color w:val="EE0000"/>
                      <w:sz w:val="20"/>
                      <w:szCs w:val="20"/>
                    </w:rPr>
                    <m:t xml:space="preserve">13.01 </m:t>
                  </m:r>
                  <m:f>
                    <m:fPr>
                      <m:ctrlPr>
                        <w:rPr>
                          <w:rFonts w:ascii="Cambria Math" w:eastAsiaTheme="minorHAnsi" w:hAnsi="Cambria Math" w:cstheme="minorBidi"/>
                          <w:i/>
                          <w:color w:val="EE0000"/>
                          <w:kern w:val="2"/>
                          <w:sz w:val="20"/>
                          <w:szCs w:val="20"/>
                          <w:lang w:eastAsia="en-US"/>
                          <w14:ligatures w14:val="standardContextual"/>
                        </w:rPr>
                      </m:ctrlPr>
                    </m:fPr>
                    <m:num>
                      <m:r>
                        <w:rPr>
                          <w:rFonts w:ascii="Cambria Math" w:hAnsi="Cambria Math"/>
                          <w:color w:val="EE0000"/>
                          <w:sz w:val="20"/>
                          <w:szCs w:val="20"/>
                        </w:rPr>
                        <m:t>MWh</m:t>
                      </m:r>
                    </m:num>
                    <m:den>
                      <m:r>
                        <w:rPr>
                          <w:rFonts w:ascii="Cambria Math" w:hAnsi="Cambria Math"/>
                          <w:color w:val="EE0000"/>
                          <w:sz w:val="20"/>
                          <w:szCs w:val="20"/>
                        </w:rPr>
                        <m:t>t NG</m:t>
                      </m:r>
                    </m:den>
                  </m:f>
                </m:den>
              </m:f>
              <m:r>
                <w:rPr>
                  <w:rFonts w:ascii="Cambria Math" w:hAnsi="Cambria Math"/>
                  <w:color w:val="EE0000"/>
                  <w:sz w:val="20"/>
                  <w:szCs w:val="20"/>
                </w:rPr>
                <m:t>∙</m:t>
              </m:r>
              <m:r>
                <w:rPr>
                  <w:rFonts w:ascii="Cambria Math" w:eastAsiaTheme="minorEastAsia" w:hAnsi="Cambria Math"/>
                  <w:color w:val="EE0000"/>
                  <w:sz w:val="20"/>
                  <w:szCs w:val="20"/>
                </w:rPr>
                <m:t>2.67</m:t>
              </m:r>
              <m:f>
                <m:fPr>
                  <m:ctrlPr>
                    <w:rPr>
                      <w:rFonts w:ascii="Cambria Math" w:eastAsiaTheme="minorEastAsia" w:hAnsi="Cambria Math"/>
                      <w:i/>
                      <w:color w:val="EE0000"/>
                      <w:sz w:val="20"/>
                      <w:szCs w:val="20"/>
                    </w:rPr>
                  </m:ctrlPr>
                </m:fPr>
                <m:num>
                  <m:r>
                    <w:rPr>
                      <w:rFonts w:ascii="Cambria Math" w:eastAsiaTheme="minorEastAsia" w:hAnsi="Cambria Math"/>
                      <w:color w:val="EE0000"/>
                      <w:sz w:val="20"/>
                      <w:szCs w:val="20"/>
                    </w:rPr>
                    <m:t>t C</m:t>
                  </m:r>
                  <m:sSub>
                    <m:sSubPr>
                      <m:ctrlPr>
                        <w:rPr>
                          <w:rFonts w:ascii="Cambria Math" w:eastAsiaTheme="minorEastAsia" w:hAnsi="Cambria Math"/>
                          <w:i/>
                          <w:color w:val="EE0000"/>
                          <w:sz w:val="20"/>
                          <w:szCs w:val="20"/>
                        </w:rPr>
                      </m:ctrlPr>
                    </m:sSubPr>
                    <m:e>
                      <m:r>
                        <w:rPr>
                          <w:rFonts w:ascii="Cambria Math" w:eastAsiaTheme="minorEastAsia" w:hAnsi="Cambria Math"/>
                          <w:color w:val="EE0000"/>
                          <w:sz w:val="20"/>
                          <w:szCs w:val="20"/>
                        </w:rPr>
                        <m:t>O</m:t>
                      </m:r>
                    </m:e>
                    <m:sub>
                      <m:r>
                        <w:rPr>
                          <w:rFonts w:ascii="Cambria Math" w:eastAsiaTheme="minorEastAsia" w:hAnsi="Cambria Math"/>
                          <w:color w:val="EE0000"/>
                          <w:sz w:val="20"/>
                          <w:szCs w:val="20"/>
                        </w:rPr>
                        <m:t>2</m:t>
                      </m:r>
                    </m:sub>
                  </m:sSub>
                </m:num>
                <m:den>
                  <m:r>
                    <w:rPr>
                      <w:rFonts w:ascii="Cambria Math" w:eastAsiaTheme="minorEastAsia" w:hAnsi="Cambria Math"/>
                      <w:color w:val="EE0000"/>
                      <w:sz w:val="20"/>
                      <w:szCs w:val="20"/>
                    </w:rPr>
                    <m:t>t NG</m:t>
                  </m:r>
                </m:den>
              </m:f>
            </m:num>
            <m:den>
              <m:r>
                <w:rPr>
                  <w:rFonts w:ascii="Cambria Math" w:hAnsi="Cambria Math"/>
                  <w:sz w:val="20"/>
                  <w:szCs w:val="20"/>
                </w:rPr>
                <m:t>220.3</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kJ</m:t>
                  </m:r>
                </m:num>
                <m:den>
                  <m:r>
                    <w:rPr>
                      <w:rFonts w:ascii="Cambria Math" w:hAnsi="Cambria Math"/>
                      <w:sz w:val="20"/>
                      <w:szCs w:val="20"/>
                    </w:rPr>
                    <m:t>mol C</m:t>
                  </m:r>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H</m:t>
                      </m:r>
                    </m:e>
                    <m:sub>
                      <m:r>
                        <w:rPr>
                          <w:rFonts w:ascii="Cambria Math" w:hAnsi="Cambria Math"/>
                          <w:sz w:val="20"/>
                          <w:szCs w:val="20"/>
                        </w:rPr>
                        <m:t>4 reacted</m:t>
                      </m:r>
                    </m:sub>
                  </m:sSub>
                </m:den>
              </m:f>
            </m:den>
          </m:f>
          <m:r>
            <w:rPr>
              <w:rFonts w:ascii="Cambria Math" w:hAnsi="Cambria Math"/>
              <w:color w:val="EE0000"/>
              <w:sz w:val="20"/>
              <w:szCs w:val="20"/>
            </w:rPr>
            <m:t>=</m:t>
          </m:r>
          <m:r>
            <w:rPr>
              <w:rFonts w:ascii="Cambria Math" w:eastAsiaTheme="minorEastAsia" w:hAnsi="Cambria Math"/>
              <w:color w:val="EE0000"/>
              <w:sz w:val="20"/>
              <w:szCs w:val="20"/>
            </w:rPr>
            <m:t>0</m:t>
          </m:r>
          <m:f>
            <m:fPr>
              <m:ctrlPr>
                <w:rPr>
                  <w:rFonts w:ascii="Cambria Math" w:eastAsiaTheme="minorEastAsia" w:hAnsi="Cambria Math"/>
                  <w:i/>
                  <w:color w:val="EE0000"/>
                  <w:sz w:val="20"/>
                  <w:szCs w:val="20"/>
                </w:rPr>
              </m:ctrlPr>
            </m:fPr>
            <m:num>
              <m:r>
                <w:rPr>
                  <w:rFonts w:ascii="Cambria Math" w:eastAsiaTheme="minorEastAsia" w:hAnsi="Cambria Math"/>
                  <w:color w:val="EE0000"/>
                  <w:sz w:val="20"/>
                  <w:szCs w:val="20"/>
                </w:rPr>
                <m:t>t C</m:t>
              </m:r>
              <m:sSub>
                <m:sSubPr>
                  <m:ctrlPr>
                    <w:rPr>
                      <w:rFonts w:ascii="Cambria Math" w:eastAsiaTheme="minorEastAsia" w:hAnsi="Cambria Math"/>
                      <w:i/>
                      <w:color w:val="EE0000"/>
                      <w:sz w:val="20"/>
                      <w:szCs w:val="20"/>
                    </w:rPr>
                  </m:ctrlPr>
                </m:sSubPr>
                <m:e>
                  <m:r>
                    <w:rPr>
                      <w:rFonts w:ascii="Cambria Math" w:eastAsiaTheme="minorEastAsia" w:hAnsi="Cambria Math"/>
                      <w:color w:val="EE0000"/>
                      <w:sz w:val="20"/>
                      <w:szCs w:val="20"/>
                    </w:rPr>
                    <m:t>O</m:t>
                  </m:r>
                </m:e>
                <m:sub>
                  <m:r>
                    <w:rPr>
                      <w:rFonts w:ascii="Cambria Math" w:eastAsiaTheme="minorEastAsia" w:hAnsi="Cambria Math"/>
                      <w:color w:val="EE0000"/>
                      <w:sz w:val="20"/>
                      <w:szCs w:val="20"/>
                    </w:rPr>
                    <m:t>2</m:t>
                  </m:r>
                </m:sub>
              </m:sSub>
            </m:num>
            <m:den>
              <m:r>
                <w:rPr>
                  <w:rFonts w:ascii="Cambria Math" w:eastAsiaTheme="minorEastAsia" w:hAnsi="Cambria Math"/>
                  <w:color w:val="EE0000"/>
                  <w:sz w:val="20"/>
                  <w:szCs w:val="20"/>
                </w:rPr>
                <m:t>MWh</m:t>
              </m:r>
            </m:den>
          </m:f>
        </m:oMath>
      </m:oMathPara>
    </w:p>
    <w:p w14:paraId="57EB9355" w14:textId="77777777" w:rsidR="00D84592" w:rsidRDefault="00D84592" w:rsidP="00800A7E">
      <w:pPr>
        <w:rPr>
          <w:sz w:val="20"/>
          <w:szCs w:val="20"/>
        </w:rPr>
      </w:pPr>
    </w:p>
    <w:p w14:paraId="342D7EF5" w14:textId="77777777" w:rsidR="00DD2441" w:rsidRDefault="00DD2441" w:rsidP="00800A7E">
      <w:pPr>
        <w:rPr>
          <w:sz w:val="20"/>
          <w:szCs w:val="20"/>
        </w:rPr>
      </w:pPr>
    </w:p>
    <w:p w14:paraId="67062EB8" w14:textId="77777777" w:rsidR="00DD2441" w:rsidRPr="000053AA" w:rsidRDefault="00DD2441" w:rsidP="00DD2441">
      <w:pPr>
        <w:rPr>
          <w:sz w:val="20"/>
          <w:szCs w:val="20"/>
        </w:rPr>
      </w:pPr>
      <w:r w:rsidRPr="000053AA">
        <w:rPr>
          <w:sz w:val="20"/>
          <w:szCs w:val="20"/>
        </w:rPr>
        <w:t xml:space="preserve">Since eSMR produces near-zero direct CO₂ emissions, a fair comparison requires an equally low-carbon reference </w:t>
      </w:r>
      <w:r>
        <w:rPr>
          <w:sz w:val="20"/>
          <w:szCs w:val="20"/>
        </w:rPr>
        <w:t>–</w:t>
      </w:r>
      <w:r w:rsidRPr="000053AA">
        <w:rPr>
          <w:sz w:val="20"/>
          <w:szCs w:val="20"/>
        </w:rPr>
        <w:t xml:space="preserve"> namely, conventional SMR equipped with flue gas carbon capture.</w:t>
      </w:r>
    </w:p>
    <w:p w14:paraId="733B4200" w14:textId="77777777" w:rsidR="00DD2441" w:rsidRPr="00A84BD4" w:rsidRDefault="00DD2441" w:rsidP="00DD2441">
      <w:pPr>
        <w:rPr>
          <w:rFonts w:eastAsiaTheme="minorEastAsia"/>
          <w:sz w:val="20"/>
          <w:szCs w:val="20"/>
        </w:rPr>
      </w:pPr>
      <w:r w:rsidRPr="00DD7131">
        <w:rPr>
          <w:sz w:val="20"/>
          <w:szCs w:val="20"/>
        </w:rPr>
        <w:t>In th</w:t>
      </w:r>
      <w:r>
        <w:rPr>
          <w:sz w:val="20"/>
          <w:szCs w:val="20"/>
        </w:rPr>
        <w:t>e eSMR process</w:t>
      </w:r>
      <w:r w:rsidRPr="00DD7131">
        <w:rPr>
          <w:sz w:val="20"/>
          <w:szCs w:val="20"/>
        </w:rPr>
        <w:t>, carbon is removed from a CO₂-rich stream downstream of the shift reactor</w:t>
      </w:r>
      <w:r>
        <w:rPr>
          <w:sz w:val="20"/>
          <w:szCs w:val="20"/>
        </w:rPr>
        <w:t xml:space="preserve"> at </w:t>
      </w:r>
      <w:r w:rsidRPr="00A26D0E">
        <w:rPr>
          <w:b/>
          <w:bCs/>
          <w:sz w:val="20"/>
          <w:szCs w:val="20"/>
        </w:rPr>
        <w:t xml:space="preserve">high pressures </w:t>
      </w:r>
      <w:r>
        <w:rPr>
          <w:sz w:val="20"/>
          <w:szCs w:val="20"/>
        </w:rPr>
        <w:t>(pre-combustion capture)</w:t>
      </w:r>
      <w:r w:rsidRPr="00DD7131">
        <w:rPr>
          <w:sz w:val="20"/>
          <w:szCs w:val="20"/>
        </w:rPr>
        <w:t xml:space="preserve">. </w:t>
      </w:r>
      <w:r>
        <w:rPr>
          <w:sz w:val="20"/>
          <w:szCs w:val="20"/>
        </w:rPr>
        <w:t>A</w:t>
      </w:r>
      <w:r w:rsidRPr="00DD7131">
        <w:rPr>
          <w:sz w:val="20"/>
          <w:szCs w:val="20"/>
        </w:rPr>
        <w:t xml:space="preserve">ssuming complete conversion in both the reformer and shift reactor, the maximum achievable </w:t>
      </w:r>
      <w:r w:rsidRPr="00964CCC">
        <w:rPr>
          <w:b/>
          <w:bCs/>
          <w:sz w:val="20"/>
          <w:szCs w:val="20"/>
        </w:rPr>
        <w:t xml:space="preserve">CO₂ content </w:t>
      </w:r>
      <w:r w:rsidRPr="00964CCC">
        <w:rPr>
          <w:sz w:val="20"/>
          <w:szCs w:val="20"/>
        </w:rPr>
        <w:t>is</w:t>
      </w:r>
      <w:r w:rsidRPr="00964CCC">
        <w:rPr>
          <w:b/>
          <w:bCs/>
          <w:sz w:val="20"/>
          <w:szCs w:val="20"/>
        </w:rPr>
        <w:t xml:space="preserve"> 20%</w:t>
      </w:r>
      <w:r w:rsidRPr="00DD7131">
        <w:rPr>
          <w:sz w:val="20"/>
          <w:szCs w:val="20"/>
        </w:rPr>
        <w:t>, as dictated by the combined SMR and WGS stoichiometry:</w:t>
      </w:r>
      <w:r w:rsidRPr="00DD7131">
        <w:rPr>
          <w:sz w:val="20"/>
          <w:szCs w:val="20"/>
        </w:rPr>
        <w:br/>
      </w:r>
      <m:oMathPara>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 xml:space="preserve">+4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oMath>
      </m:oMathPara>
    </w:p>
    <w:p w14:paraId="435FEF30" w14:textId="77777777" w:rsidR="00DD2441" w:rsidRPr="00DD7131" w:rsidRDefault="00DD2441" w:rsidP="00DD2441">
      <w:pPr>
        <w:rPr>
          <w:sz w:val="20"/>
          <w:szCs w:val="20"/>
        </w:rPr>
      </w:pPr>
      <m:oMathPara>
        <m:oMath>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x</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,max</m:t>
              </m:r>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1</m:t>
              </m:r>
            </m:num>
            <m:den>
              <m:r>
                <w:rPr>
                  <w:rFonts w:ascii="Cambria Math" w:hAnsi="Cambria Math"/>
                  <w:sz w:val="20"/>
                  <w:szCs w:val="20"/>
                </w:rPr>
                <m:t>1+4</m:t>
              </m:r>
            </m:den>
          </m:f>
          <m:r>
            <w:rPr>
              <w:rFonts w:ascii="Cambria Math" w:hAnsi="Cambria Math"/>
              <w:sz w:val="20"/>
              <w:szCs w:val="20"/>
            </w:rPr>
            <m:t>=20%</m:t>
          </m:r>
        </m:oMath>
      </m:oMathPara>
    </w:p>
    <w:p w14:paraId="5267E193" w14:textId="77777777" w:rsidR="00DD2441" w:rsidRDefault="00DD2441" w:rsidP="00DD2441">
      <w:pPr>
        <w:rPr>
          <w:sz w:val="20"/>
          <w:szCs w:val="20"/>
        </w:rPr>
      </w:pPr>
      <w:r w:rsidRPr="00DD7131">
        <w:rPr>
          <w:sz w:val="20"/>
          <w:szCs w:val="20"/>
        </w:rPr>
        <w:t xml:space="preserve">This CO₂ concentration is </w:t>
      </w:r>
      <w:r>
        <w:rPr>
          <w:sz w:val="20"/>
          <w:szCs w:val="20"/>
        </w:rPr>
        <w:t xml:space="preserve">notably higher than the </w:t>
      </w:r>
      <w:r w:rsidRPr="00964CCC">
        <w:rPr>
          <w:b/>
          <w:bCs/>
          <w:sz w:val="20"/>
          <w:szCs w:val="20"/>
        </w:rPr>
        <w:t xml:space="preserve">maximal </w:t>
      </w:r>
      <w:r>
        <w:rPr>
          <w:b/>
          <w:bCs/>
          <w:sz w:val="20"/>
          <w:szCs w:val="20"/>
        </w:rPr>
        <w:t>~</w:t>
      </w:r>
      <w:r w:rsidRPr="00964CCC">
        <w:rPr>
          <w:b/>
          <w:bCs/>
          <w:sz w:val="20"/>
          <w:szCs w:val="20"/>
        </w:rPr>
        <w:t>1</w:t>
      </w:r>
      <w:r>
        <w:rPr>
          <w:b/>
          <w:bCs/>
          <w:sz w:val="20"/>
          <w:szCs w:val="20"/>
        </w:rPr>
        <w:t>2</w:t>
      </w:r>
      <w:r w:rsidRPr="00964CCC">
        <w:rPr>
          <w:b/>
          <w:bCs/>
          <w:sz w:val="20"/>
          <w:szCs w:val="20"/>
        </w:rPr>
        <w:t>% CO₂</w:t>
      </w:r>
      <w:r w:rsidRPr="00DD7131">
        <w:rPr>
          <w:sz w:val="20"/>
          <w:szCs w:val="20"/>
        </w:rPr>
        <w:t xml:space="preserve"> content </w:t>
      </w:r>
      <w:r>
        <w:rPr>
          <w:sz w:val="20"/>
          <w:szCs w:val="20"/>
        </w:rPr>
        <w:t>of a stoichiometric CH</w:t>
      </w:r>
      <w:r w:rsidRPr="008559F9">
        <w:rPr>
          <w:sz w:val="20"/>
          <w:szCs w:val="20"/>
          <w:vertAlign w:val="subscript"/>
        </w:rPr>
        <w:t>4</w:t>
      </w:r>
      <w:r>
        <w:rPr>
          <w:sz w:val="20"/>
          <w:szCs w:val="20"/>
        </w:rPr>
        <w:t xml:space="preserve"> combustion flue gas at </w:t>
      </w:r>
      <w:r w:rsidRPr="00A26D0E">
        <w:rPr>
          <w:b/>
          <w:bCs/>
          <w:sz w:val="20"/>
          <w:szCs w:val="20"/>
        </w:rPr>
        <w:t>atmospheric pressure</w:t>
      </w:r>
      <w:r>
        <w:rPr>
          <w:sz w:val="20"/>
          <w:szCs w:val="20"/>
        </w:rPr>
        <w:t xml:space="preserve"> (post-combustion capture), which is even lower in case of excess air:</w:t>
      </w:r>
    </w:p>
    <w:p w14:paraId="764595C5" w14:textId="77777777" w:rsidR="00DD2441" w:rsidRPr="00A84BD4" w:rsidRDefault="00DD2441" w:rsidP="00DD2441">
      <w:pPr>
        <w:rPr>
          <w:rFonts w:eastAsiaTheme="minorEastAsia"/>
          <w:sz w:val="20"/>
          <w:szCs w:val="20"/>
        </w:rPr>
      </w:pPr>
      <m:oMathPara>
        <m:oMath>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4</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+2∙</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0.79</m:t>
              </m:r>
            </m:num>
            <m:den>
              <m:r>
                <w:rPr>
                  <w:rFonts w:ascii="Cambria Math" w:hAnsi="Cambria Math"/>
                  <w:sz w:val="20"/>
                  <w:szCs w:val="20"/>
                </w:rPr>
                <m:t>0.21</m:t>
              </m:r>
            </m:den>
          </m:f>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2</m:t>
              </m:r>
            </m:sub>
          </m:s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 xml:space="preserve">+2 </m:t>
          </m:r>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2</m:t>
              </m:r>
            </m:sub>
          </m:sSub>
          <m:r>
            <w:rPr>
              <w:rFonts w:ascii="Cambria Math" w:hAnsi="Cambria Math"/>
              <w:sz w:val="20"/>
              <w:szCs w:val="20"/>
            </w:rPr>
            <m:t>O+7.52</m:t>
          </m:r>
          <m:sSub>
            <m:sSubPr>
              <m:ctrlPr>
                <w:rPr>
                  <w:rFonts w:ascii="Cambria Math" w:hAnsi="Cambria Math"/>
                  <w:i/>
                  <w:sz w:val="20"/>
                  <w:szCs w:val="20"/>
                </w:rPr>
              </m:ctrlPr>
            </m:sSubPr>
            <m:e>
              <m:r>
                <w:rPr>
                  <w:rFonts w:ascii="Cambria Math" w:hAnsi="Cambria Math"/>
                  <w:sz w:val="20"/>
                  <w:szCs w:val="20"/>
                </w:rPr>
                <m:t xml:space="preserve"> N</m:t>
              </m:r>
            </m:e>
            <m:sub>
              <m:r>
                <w:rPr>
                  <w:rFonts w:ascii="Cambria Math" w:hAnsi="Cambria Math"/>
                  <w:sz w:val="20"/>
                  <w:szCs w:val="20"/>
                </w:rPr>
                <m:t>2</m:t>
              </m:r>
            </m:sub>
          </m:sSub>
        </m:oMath>
      </m:oMathPara>
    </w:p>
    <w:p w14:paraId="668FB0CF" w14:textId="77777777" w:rsidR="00DD2441" w:rsidRDefault="00DD2441" w:rsidP="00DD2441">
      <w:pPr>
        <w:rPr>
          <w:sz w:val="20"/>
          <w:szCs w:val="20"/>
        </w:rPr>
      </w:pPr>
      <m:oMathPara>
        <m:oMath>
          <m:sSub>
            <m:sSubPr>
              <m:ctrlPr>
                <w:rPr>
                  <w:rFonts w:ascii="Cambria Math" w:eastAsiaTheme="minorHAnsi" w:hAnsi="Cambria Math" w:cstheme="minorBidi"/>
                  <w:i/>
                  <w:kern w:val="2"/>
                  <w:sz w:val="20"/>
                  <w:szCs w:val="20"/>
                  <w:lang w:eastAsia="en-US"/>
                  <w14:ligatures w14:val="standardContextual"/>
                </w:rPr>
              </m:ctrlPr>
            </m:sSubPr>
            <m:e>
              <m:r>
                <w:rPr>
                  <w:rFonts w:ascii="Cambria Math" w:hAnsi="Cambria Math"/>
                  <w:sz w:val="20"/>
                  <w:szCs w:val="20"/>
                </w:rPr>
                <m:t>x</m:t>
              </m:r>
            </m:e>
            <m:sub>
              <m:r>
                <w:rPr>
                  <w:rFonts w:ascii="Cambria Math" w:hAnsi="Cambria Math"/>
                  <w:sz w:val="20"/>
                  <w:szCs w:val="20"/>
                </w:rPr>
                <m:t>C</m:t>
              </m:r>
              <m:sSub>
                <m:sSubPr>
                  <m:ctrlPr>
                    <w:rPr>
                      <w:rFonts w:ascii="Cambria Math" w:hAnsi="Cambria Math"/>
                      <w:i/>
                      <w:sz w:val="20"/>
                      <w:szCs w:val="20"/>
                    </w:rPr>
                  </m:ctrlPr>
                </m:sSubPr>
                <m:e>
                  <m:r>
                    <w:rPr>
                      <w:rFonts w:ascii="Cambria Math" w:hAnsi="Cambria Math"/>
                      <w:sz w:val="20"/>
                      <w:szCs w:val="20"/>
                    </w:rPr>
                    <m:t>O</m:t>
                  </m:r>
                </m:e>
                <m:sub>
                  <m:r>
                    <w:rPr>
                      <w:rFonts w:ascii="Cambria Math" w:hAnsi="Cambria Math"/>
                      <w:sz w:val="20"/>
                      <w:szCs w:val="20"/>
                    </w:rPr>
                    <m:t>2</m:t>
                  </m:r>
                </m:sub>
              </m:sSub>
              <m:r>
                <w:rPr>
                  <w:rFonts w:ascii="Cambria Math" w:hAnsi="Cambria Math"/>
                  <w:sz w:val="20"/>
                  <w:szCs w:val="20"/>
                </w:rPr>
                <m:t>,max</m:t>
              </m:r>
            </m:sub>
          </m:sSub>
          <m:r>
            <w:rPr>
              <w:rFonts w:ascii="Cambria Math" w:hAnsi="Cambria Math"/>
              <w:sz w:val="20"/>
              <w:szCs w:val="20"/>
            </w:rPr>
            <m:t>=</m:t>
          </m:r>
          <m:f>
            <m:fPr>
              <m:ctrlPr>
                <w:rPr>
                  <w:rFonts w:ascii="Cambria Math" w:eastAsiaTheme="minorHAnsi" w:hAnsi="Cambria Math" w:cstheme="minorBidi"/>
                  <w:i/>
                  <w:kern w:val="2"/>
                  <w:sz w:val="20"/>
                  <w:szCs w:val="20"/>
                  <w:lang w:eastAsia="en-US"/>
                  <w14:ligatures w14:val="standardContextual"/>
                </w:rPr>
              </m:ctrlPr>
            </m:fPr>
            <m:num>
              <m:r>
                <w:rPr>
                  <w:rFonts w:ascii="Cambria Math" w:hAnsi="Cambria Math"/>
                  <w:sz w:val="20"/>
                  <w:szCs w:val="20"/>
                </w:rPr>
                <m:t>1</m:t>
              </m:r>
            </m:num>
            <m:den>
              <m:r>
                <w:rPr>
                  <w:rFonts w:ascii="Cambria Math" w:hAnsi="Cambria Math"/>
                  <w:sz w:val="20"/>
                  <w:szCs w:val="20"/>
                </w:rPr>
                <m:t>1+7.52</m:t>
              </m:r>
            </m:den>
          </m:f>
          <m:r>
            <w:rPr>
              <w:rFonts w:ascii="Cambria Math" w:eastAsiaTheme="minorEastAsia" w:hAnsi="Cambria Math"/>
              <w:sz w:val="20"/>
              <w:szCs w:val="20"/>
            </w:rPr>
            <m:t>=11.7%</m:t>
          </m:r>
        </m:oMath>
      </m:oMathPara>
    </w:p>
    <w:p w14:paraId="317ED3FC" w14:textId="77777777" w:rsidR="00DD2441" w:rsidRDefault="00DD2441" w:rsidP="00DD2441">
      <w:pPr>
        <w:rPr>
          <w:sz w:val="20"/>
          <w:szCs w:val="20"/>
        </w:rPr>
      </w:pPr>
      <w:r>
        <w:rPr>
          <w:sz w:val="20"/>
          <w:szCs w:val="20"/>
        </w:rPr>
        <w:t>From the associated CO</w:t>
      </w:r>
      <w:r w:rsidRPr="006B63ED">
        <w:rPr>
          <w:sz w:val="20"/>
          <w:szCs w:val="20"/>
          <w:vertAlign w:val="subscript"/>
        </w:rPr>
        <w:t>2</w:t>
      </w:r>
      <w:r>
        <w:rPr>
          <w:sz w:val="20"/>
          <w:szCs w:val="20"/>
        </w:rPr>
        <w:t xml:space="preserve"> partial pressures</w:t>
      </w:r>
      <w:r w:rsidRPr="00DD7131">
        <w:rPr>
          <w:sz w:val="20"/>
          <w:szCs w:val="20"/>
        </w:rPr>
        <w:t xml:space="preserve"> follows that </w:t>
      </w:r>
      <w:r w:rsidRPr="00964CCC">
        <w:rPr>
          <w:b/>
          <w:bCs/>
          <w:sz w:val="20"/>
          <w:szCs w:val="20"/>
        </w:rPr>
        <w:t>carbon capture integrated into the eSMR</w:t>
      </w:r>
      <w:r w:rsidRPr="00DD7131">
        <w:rPr>
          <w:sz w:val="20"/>
          <w:szCs w:val="20"/>
        </w:rPr>
        <w:t xml:space="preserve"> concept is associated with </w:t>
      </w:r>
      <w:r w:rsidRPr="00964CCC">
        <w:rPr>
          <w:b/>
          <w:bCs/>
          <w:sz w:val="20"/>
          <w:szCs w:val="20"/>
        </w:rPr>
        <w:t>lower effort and thus cost</w:t>
      </w:r>
      <w:r w:rsidRPr="00DD7131">
        <w:rPr>
          <w:sz w:val="20"/>
          <w:szCs w:val="20"/>
        </w:rPr>
        <w:t xml:space="preserve"> </w:t>
      </w:r>
      <w:r>
        <w:rPr>
          <w:sz w:val="20"/>
          <w:szCs w:val="20"/>
        </w:rPr>
        <w:t>than</w:t>
      </w:r>
      <w:r w:rsidRPr="00DD7131">
        <w:rPr>
          <w:sz w:val="20"/>
          <w:szCs w:val="20"/>
        </w:rPr>
        <w:t xml:space="preserve"> flue gas carbon capture</w:t>
      </w:r>
      <w:r>
        <w:rPr>
          <w:sz w:val="20"/>
          <w:szCs w:val="20"/>
        </w:rPr>
        <w:t xml:space="preserve"> </w:t>
      </w:r>
      <w:r w:rsidRPr="00354EBF">
        <w:rPr>
          <w:color w:val="EE0000"/>
          <w:sz w:val="20"/>
          <w:szCs w:val="20"/>
        </w:rPr>
        <w:t>[</w:t>
      </w:r>
      <w:r>
        <w:rPr>
          <w:color w:val="EE0000"/>
          <w:sz w:val="20"/>
          <w:szCs w:val="20"/>
        </w:rPr>
        <w:t xml:space="preserve">Quelle bezieht sich auf Stromproduktion und ist nach der partial pressure ausführung eigentlich nicht mehr nötig: </w:t>
      </w:r>
      <w:r w:rsidRPr="00354EBF">
        <w:rPr>
          <w:color w:val="EE0000"/>
          <w:sz w:val="20"/>
          <w:szCs w:val="20"/>
        </w:rPr>
        <w:t>https://papers.ssrn.com/sol3/papers.cfm?abstract_id=4284525]</w:t>
      </w:r>
      <w:r w:rsidRPr="00354EBF">
        <w:rPr>
          <w:sz w:val="20"/>
          <w:szCs w:val="20"/>
        </w:rPr>
        <w:t xml:space="preserve">. </w:t>
      </w:r>
    </w:p>
    <w:p w14:paraId="69973BC4" w14:textId="77777777" w:rsidR="00DD2441" w:rsidRDefault="00DD2441" w:rsidP="00DD2441">
      <w:pPr>
        <w:rPr>
          <w:sz w:val="20"/>
          <w:szCs w:val="20"/>
          <w:lang w:val="en-GB"/>
        </w:rPr>
      </w:pPr>
      <w:r>
        <w:rPr>
          <w:sz w:val="20"/>
          <w:szCs w:val="20"/>
        </w:rPr>
        <w:t xml:space="preserve">As CO2 loading capacity of chemical and physical absorption solvents cross at around 10 bar CO2 partial pressure – the </w:t>
      </w:r>
      <w:r w:rsidRPr="00AE5DE9">
        <w:rPr>
          <w:sz w:val="20"/>
          <w:szCs w:val="20"/>
          <w:lang w:val="en-GB"/>
        </w:rPr>
        <w:t>most important thermodynamic driver</w:t>
      </w:r>
      <w:r>
        <w:rPr>
          <w:sz w:val="20"/>
          <w:szCs w:val="20"/>
          <w:lang w:val="en-GB"/>
        </w:rPr>
        <w:t xml:space="preserve"> for capture – it is below that partial pressure, where typically chemical absorption is preferred, while above physical absorption gets of more interest. From this can be concluded that upon a pressure of ~50 bar (and hence for both processes) a chemical solvent system is used. </w:t>
      </w:r>
    </w:p>
    <w:p w14:paraId="69DCCA82" w14:textId="77777777" w:rsidR="00DD2441" w:rsidRDefault="00DD2441" w:rsidP="00DD2441">
      <w:pPr>
        <w:rPr>
          <w:sz w:val="20"/>
          <w:szCs w:val="20"/>
        </w:rPr>
      </w:pPr>
      <w:r>
        <w:rPr>
          <w:sz w:val="20"/>
          <w:szCs w:val="20"/>
          <w:lang w:val="en-GB"/>
        </w:rPr>
        <w:t xml:space="preserve">For quantification purposes an analysis of </w:t>
      </w:r>
      <w:r>
        <w:rPr>
          <w:sz w:val="20"/>
          <w:szCs w:val="20"/>
        </w:rPr>
        <w:t>e</w:t>
      </w:r>
      <w:r w:rsidRPr="00CE0C58">
        <w:rPr>
          <w:sz w:val="20"/>
          <w:szCs w:val="20"/>
        </w:rPr>
        <w:t>nergy penalty estimates for CO2 capture</w:t>
      </w:r>
      <w:r>
        <w:rPr>
          <w:sz w:val="20"/>
          <w:szCs w:val="20"/>
        </w:rPr>
        <w:t xml:space="preserve"> in electricity production from natural gas via different capture-combustion modes is used, due to </w:t>
      </w:r>
      <w:r w:rsidRPr="00CE0C58">
        <w:rPr>
          <w:sz w:val="20"/>
          <w:szCs w:val="20"/>
        </w:rPr>
        <w:t>limited literature on</w:t>
      </w:r>
      <w:r>
        <w:rPr>
          <w:sz w:val="20"/>
          <w:szCs w:val="20"/>
        </w:rPr>
        <w:t xml:space="preserve"> capturing in</w:t>
      </w:r>
      <w:r w:rsidRPr="00CE0C58">
        <w:rPr>
          <w:sz w:val="20"/>
          <w:szCs w:val="20"/>
        </w:rPr>
        <w:t xml:space="preserve"> SMR</w:t>
      </w:r>
      <w:r>
        <w:rPr>
          <w:sz w:val="20"/>
          <w:szCs w:val="20"/>
        </w:rPr>
        <w:t>. Pre-combustion syngas dabei hat sogar größeren CO2 gehalt, während post-combustion sogar geringeren CO2 gehalt hat als in SMR process bei welchem noch das stoichiometric process CO2 inkludiert ist. Damit ist es eine sehr konvervative betrachtung zugunsten des eSMR prozesses. (und selbst unter diesen reicht es nicht aus um gap zu überwinden)</w:t>
      </w:r>
    </w:p>
    <w:p w14:paraId="5651C42D" w14:textId="77777777" w:rsidR="00DD2441" w:rsidRPr="00CE0C58" w:rsidRDefault="00DD2441" w:rsidP="00DD2441">
      <w:pPr>
        <w:rPr>
          <w:sz w:val="20"/>
          <w:szCs w:val="20"/>
        </w:rPr>
      </w:pPr>
      <w:r>
        <w:rPr>
          <w:sz w:val="20"/>
          <w:szCs w:val="20"/>
        </w:rPr>
        <w:t xml:space="preserve">In SMR muss sehr viel mehr CO2 (cobustion +stoichiometric process emissions) gecaptured werden als in eSMR (nur stoichiometric process emissions), </w:t>
      </w:r>
    </w:p>
    <w:p w14:paraId="63FC744A" w14:textId="77777777" w:rsidR="00DD2441" w:rsidRDefault="00DD2441" w:rsidP="00800A7E">
      <w:pPr>
        <w:rPr>
          <w:sz w:val="20"/>
          <w:szCs w:val="20"/>
        </w:rPr>
      </w:pPr>
    </w:p>
    <w:p w14:paraId="445EA9D7" w14:textId="77777777" w:rsidR="00565E56" w:rsidRDefault="00565E56" w:rsidP="00800A7E">
      <w:pPr>
        <w:rPr>
          <w:sz w:val="20"/>
          <w:szCs w:val="20"/>
        </w:rPr>
      </w:pPr>
    </w:p>
    <w:p w14:paraId="4E0E734B" w14:textId="77777777" w:rsidR="00565E56" w:rsidRDefault="00565E56" w:rsidP="00565E56">
      <w:pPr>
        <w:rPr>
          <w:sz w:val="20"/>
          <w:szCs w:val="20"/>
        </w:rPr>
      </w:pPr>
      <w:r>
        <w:rPr>
          <w:sz w:val="20"/>
          <w:szCs w:val="20"/>
        </w:rPr>
        <w:t xml:space="preserve">This indicates a potential edge against the conventional process with CCUS, but is likely not to change the negative cost dynamic of higher utility costs. </w:t>
      </w:r>
    </w:p>
    <w:p w14:paraId="545EA5E0" w14:textId="77777777" w:rsidR="00565E56" w:rsidRDefault="00565E56" w:rsidP="00800A7E">
      <w:pPr>
        <w:rPr>
          <w:sz w:val="20"/>
          <w:szCs w:val="20"/>
        </w:rPr>
      </w:pPr>
    </w:p>
    <w:p w14:paraId="7C2A35EF" w14:textId="77777777" w:rsidR="00AF7FF7" w:rsidRDefault="00AF7FF7" w:rsidP="00800A7E">
      <w:pPr>
        <w:rPr>
          <w:sz w:val="20"/>
          <w:szCs w:val="20"/>
        </w:rPr>
      </w:pPr>
    </w:p>
    <w:p w14:paraId="685517CE" w14:textId="77777777" w:rsidR="00AF7FF7" w:rsidRDefault="00AF7FF7" w:rsidP="00AF7FF7">
      <w:pPr>
        <w:rPr>
          <w:sz w:val="20"/>
          <w:szCs w:val="20"/>
          <w:lang w:val="en-GB"/>
        </w:rPr>
      </w:pPr>
      <w:r>
        <w:rPr>
          <w:sz w:val="20"/>
          <w:szCs w:val="20"/>
        </w:rPr>
        <w:t xml:space="preserve">As CO2 loading capacity of chemical and physical absorption solvents cross at around 10 bar CO2 partial pressure – the </w:t>
      </w:r>
      <w:r w:rsidRPr="00AE5DE9">
        <w:rPr>
          <w:sz w:val="20"/>
          <w:szCs w:val="20"/>
          <w:lang w:val="en-GB"/>
        </w:rPr>
        <w:t>most important thermodynamic driver</w:t>
      </w:r>
      <w:r>
        <w:rPr>
          <w:sz w:val="20"/>
          <w:szCs w:val="20"/>
          <w:lang w:val="en-GB"/>
        </w:rPr>
        <w:t xml:space="preserve"> for capture efficiency – it is below that partial pressure, where typically chemical absorption is preferred, while above physical absorption gets of more interest. From this can be concluded that upon a pressure of ~50 bar (and hence for both processes) a chemical solvent system is used. For pressures above that </w:t>
      </w:r>
      <w:r w:rsidRPr="00565E56">
        <w:rPr>
          <w:sz w:val="20"/>
          <w:szCs w:val="20"/>
          <w:lang w:val="en-GB"/>
        </w:rPr>
        <w:t>consider</w:t>
      </w:r>
      <w:r>
        <w:rPr>
          <w:sz w:val="20"/>
          <w:szCs w:val="20"/>
          <w:lang w:val="en-GB"/>
        </w:rPr>
        <w:t>ation of</w:t>
      </w:r>
      <w:r w:rsidRPr="00565E56">
        <w:rPr>
          <w:sz w:val="20"/>
          <w:szCs w:val="20"/>
          <w:lang w:val="en-GB"/>
        </w:rPr>
        <w:t xml:space="preserve"> different methods becomes relevant in a </w:t>
      </w:r>
      <w:r>
        <w:rPr>
          <w:sz w:val="20"/>
          <w:szCs w:val="20"/>
          <w:lang w:val="en-GB"/>
        </w:rPr>
        <w:t xml:space="preserve">detailed </w:t>
      </w:r>
      <w:r w:rsidRPr="00565E56">
        <w:rPr>
          <w:sz w:val="20"/>
          <w:szCs w:val="20"/>
          <w:lang w:val="en-GB"/>
        </w:rPr>
        <w:t>techno-economic comparison</w:t>
      </w:r>
      <w:r>
        <w:rPr>
          <w:sz w:val="20"/>
          <w:szCs w:val="20"/>
          <w:lang w:val="en-GB"/>
        </w:rPr>
        <w:t>.</w:t>
      </w:r>
    </w:p>
    <w:p w14:paraId="69908542" w14:textId="77777777" w:rsidR="00AF7FF7" w:rsidRDefault="00AF7FF7" w:rsidP="00800A7E">
      <w:pPr>
        <w:rPr>
          <w:sz w:val="20"/>
          <w:szCs w:val="20"/>
          <w:lang w:val="en-GB"/>
        </w:rPr>
      </w:pPr>
    </w:p>
    <w:p w14:paraId="26D4BFE6" w14:textId="77777777" w:rsidR="00C80016" w:rsidRDefault="00C80016" w:rsidP="00800A7E">
      <w:pPr>
        <w:rPr>
          <w:sz w:val="20"/>
          <w:szCs w:val="20"/>
          <w:lang w:val="en-GB"/>
        </w:rPr>
      </w:pPr>
    </w:p>
    <w:p w14:paraId="0FB2E020" w14:textId="77777777" w:rsidR="00C80016" w:rsidRDefault="00C80016" w:rsidP="00800A7E">
      <w:pPr>
        <w:rPr>
          <w:sz w:val="20"/>
          <w:szCs w:val="20"/>
          <w:lang w:val="en-GB"/>
        </w:rPr>
      </w:pPr>
    </w:p>
    <w:p w14:paraId="265BBE04" w14:textId="77777777" w:rsidR="00C80016" w:rsidRPr="00C02BDE" w:rsidRDefault="00C80016" w:rsidP="00C80016">
      <w:pPr>
        <w:rPr>
          <w:color w:val="EE0000"/>
          <w:sz w:val="20"/>
          <w:szCs w:val="20"/>
        </w:rPr>
      </w:pPr>
      <w:r w:rsidRPr="00C02BDE">
        <w:rPr>
          <w:color w:val="EE0000"/>
          <w:sz w:val="20"/>
          <w:szCs w:val="20"/>
        </w:rPr>
        <w:t xml:space="preserve">Damit kommt die untersuchung zu dem Ergebnis, dass der konventinelle SMR-Prozess inlikely to replace ist, insbeondere aufgrund der höheren Elektrizitätskosten, welche bei einem verhältnismäßig geringen carbon price nicht durch den Vorteil einer besseren environmental bilanz refinanziert werden können. Der fairere Vergleich ist entsprechend mit einem konventinellen SMR Prozess inklusive post-combustion CCS. Hierbei stellt sich insbesondere die Frage ob die unterschiedlichen CO2-Partialdrücke und die damit verbundenen unterschiedlichen capture technologien den electricity economics nachteil wett machen. </w:t>
      </w:r>
      <w:r>
        <w:rPr>
          <w:color w:val="EE0000"/>
          <w:sz w:val="20"/>
          <w:szCs w:val="20"/>
        </w:rPr>
        <w:t>Es zeigt scih ganz klar, dass pre-combustion capturing eine bessere efficienz zeigt als der post-combustion process, dieser effekt verstärkt sich nochmal weiter, wenn man es mit einem post-combustion process vergleicht, welcher nicht die process CO2 emissionen enthält sondern ein reines CH4 combustion flue gas capturen muss (wie es bspw. Im ammoniasyngas prozess der fall ist)</w:t>
      </w:r>
      <w:r w:rsidRPr="00C02BDE">
        <w:rPr>
          <w:color w:val="EE0000"/>
          <w:sz w:val="20"/>
          <w:szCs w:val="20"/>
        </w:rPr>
        <w:t xml:space="preserve">. Darüber hinaus muss erwähnt werden, dass das konventinelle Reactorkonzept aufgrund von Materiallimitierugnen bei </w:t>
      </w:r>
      <w:r>
        <w:rPr>
          <w:color w:val="EE0000"/>
          <w:sz w:val="20"/>
          <w:szCs w:val="20"/>
        </w:rPr>
        <w:t>40</w:t>
      </w:r>
      <w:r w:rsidRPr="00C02BDE">
        <w:rPr>
          <w:color w:val="EE0000"/>
          <w:sz w:val="20"/>
          <w:szCs w:val="20"/>
        </w:rPr>
        <w:t xml:space="preserve">bar begrenzt ist. Dieser Vorteil stellt einen nicht von der hand zu weisendes Potential dar, da NG typischerweise mit </w:t>
      </w:r>
      <w:r>
        <w:rPr>
          <w:color w:val="EE0000"/>
          <w:sz w:val="20"/>
          <w:szCs w:val="20"/>
        </w:rPr>
        <w:t>70</w:t>
      </w:r>
      <w:r w:rsidRPr="00C02BDE">
        <w:rPr>
          <w:color w:val="EE0000"/>
          <w:sz w:val="20"/>
          <w:szCs w:val="20"/>
        </w:rPr>
        <w:t xml:space="preserve"> bar aus der pipeline kommt und synthesegas mit </w:t>
      </w:r>
      <w:r>
        <w:rPr>
          <w:color w:val="EE0000"/>
          <w:sz w:val="20"/>
          <w:szCs w:val="20"/>
        </w:rPr>
        <w:t>increased</w:t>
      </w:r>
      <w:r w:rsidRPr="00C02BDE">
        <w:rPr>
          <w:color w:val="EE0000"/>
          <w:sz w:val="20"/>
          <w:szCs w:val="20"/>
        </w:rPr>
        <w:t xml:space="preserve"> </w:t>
      </w:r>
      <w:r>
        <w:rPr>
          <w:color w:val="EE0000"/>
          <w:sz w:val="20"/>
          <w:szCs w:val="20"/>
        </w:rPr>
        <w:t>pressure</w:t>
      </w:r>
      <w:r w:rsidRPr="00C02BDE">
        <w:rPr>
          <w:color w:val="EE0000"/>
          <w:sz w:val="20"/>
          <w:szCs w:val="20"/>
        </w:rPr>
        <w:t xml:space="preserve"> in downstreamprozessen benötogt wird, eine Verdichtung nach der Refomierung jedoch aufgunrd der molzahlincreasing reaktion energieaufwendiger ist als davor.</w:t>
      </w:r>
      <w:r>
        <w:rPr>
          <w:color w:val="EE0000"/>
          <w:sz w:val="20"/>
          <w:szCs w:val="20"/>
        </w:rPr>
        <w:t xml:space="preserve"> Der effekt ist jedoch geringer als die anderen analysierten effekte</w:t>
      </w:r>
      <w:r w:rsidRPr="00C02BDE">
        <w:rPr>
          <w:color w:val="EE0000"/>
          <w:sz w:val="20"/>
          <w:szCs w:val="20"/>
        </w:rPr>
        <w:t xml:space="preserve">. Es wird als sinnig gesehen einen Prozess zu untersuchen, welcher genau diese Vorteil noch stärker nutzt. Naheliegend dafür ist der Ammoniasynthesegas prozess, da das reformierte synthesegasprodukt  für die Ammoniasynthese auf mindestens 150bar verdichtet werden muss. Zusätzlich kann in diesem Prozess der Vorteil des neuen Reaktorsystems von hohen Reaktionstemperaturen (&gt;1000°C) bei der gleichzeitigen möglichkeit eines externen Energieeintrags (konträr zu adiabaten Reaktorkonzepten, welche sonst für solch hohe Reaktionstemperaturen genutzt werden) genutzt werden. Dies ist verbunden mit einer </w:t>
      </w:r>
      <w:r w:rsidRPr="00C02BDE">
        <w:rPr>
          <w:color w:val="EE0000"/>
          <w:sz w:val="20"/>
          <w:szCs w:val="20"/>
        </w:rPr>
        <w:lastRenderedPageBreak/>
        <w:t>potentiellen CAPEX reduktion, bei einem ansonsten nahezu unveränderten Prozessdesign mit bereits kommerzielalisierten Technologien. Der Einsatz des neuen Reaktorkonzepts in diesem Prozess wird als vielversprechender eingestuft als im SMR-Prozess.</w:t>
      </w:r>
    </w:p>
    <w:p w14:paraId="28957420" w14:textId="77777777" w:rsidR="00C80016" w:rsidRPr="00C02BDE" w:rsidRDefault="00C80016" w:rsidP="00C80016">
      <w:pPr>
        <w:rPr>
          <w:color w:val="EE0000"/>
          <w:sz w:val="20"/>
          <w:szCs w:val="20"/>
        </w:rPr>
      </w:pPr>
      <w:r w:rsidRPr="00C02BDE">
        <w:rPr>
          <w:color w:val="EE0000"/>
          <w:sz w:val="20"/>
          <w:szCs w:val="20"/>
        </w:rPr>
        <w:t xml:space="preserve">Mittels einer ausführlcihen TEA können der Einfluss von </w:t>
      </w:r>
    </w:p>
    <w:p w14:paraId="0894ACD8" w14:textId="77777777" w:rsidR="00C80016" w:rsidRPr="004148E5" w:rsidRDefault="00C80016" w:rsidP="00C80016">
      <w:pPr>
        <w:pStyle w:val="ListParagraph"/>
        <w:numPr>
          <w:ilvl w:val="0"/>
          <w:numId w:val="3"/>
        </w:numPr>
        <w:rPr>
          <w:color w:val="EE0000"/>
          <w:sz w:val="20"/>
          <w:szCs w:val="20"/>
        </w:rPr>
      </w:pPr>
      <w:r>
        <w:rPr>
          <w:color w:val="EE0000"/>
          <w:sz w:val="20"/>
          <w:szCs w:val="20"/>
        </w:rPr>
        <w:t xml:space="preserve">günstigerem capturing </w:t>
      </w:r>
    </w:p>
    <w:p w14:paraId="4AB79D4E" w14:textId="77777777" w:rsidR="00C80016" w:rsidRPr="00C02BDE" w:rsidRDefault="00C80016" w:rsidP="00C80016">
      <w:pPr>
        <w:pStyle w:val="ListParagraph"/>
        <w:numPr>
          <w:ilvl w:val="0"/>
          <w:numId w:val="3"/>
        </w:numPr>
        <w:rPr>
          <w:color w:val="EE0000"/>
          <w:sz w:val="20"/>
          <w:szCs w:val="20"/>
        </w:rPr>
      </w:pPr>
      <w:r w:rsidRPr="00C02BDE">
        <w:rPr>
          <w:color w:val="EE0000"/>
          <w:sz w:val="20"/>
          <w:szCs w:val="20"/>
        </w:rPr>
        <w:t>geringeren Verdichtungskosten</w:t>
      </w:r>
    </w:p>
    <w:p w14:paraId="011A9414" w14:textId="77777777" w:rsidR="00C80016" w:rsidRDefault="00C80016" w:rsidP="00C80016">
      <w:pPr>
        <w:pStyle w:val="ListParagraph"/>
        <w:numPr>
          <w:ilvl w:val="0"/>
          <w:numId w:val="3"/>
        </w:numPr>
        <w:rPr>
          <w:color w:val="EE0000"/>
          <w:sz w:val="20"/>
          <w:szCs w:val="20"/>
        </w:rPr>
      </w:pPr>
      <w:r w:rsidRPr="00C02BDE">
        <w:rPr>
          <w:color w:val="EE0000"/>
          <w:sz w:val="20"/>
          <w:szCs w:val="20"/>
        </w:rPr>
        <w:t>und geringeren CAPEX-Kosten</w:t>
      </w:r>
    </w:p>
    <w:p w14:paraId="73AF7577" w14:textId="77777777" w:rsidR="00C80016" w:rsidRDefault="00C80016" w:rsidP="00C80016">
      <w:pPr>
        <w:rPr>
          <w:color w:val="EE0000"/>
          <w:sz w:val="20"/>
          <w:szCs w:val="20"/>
        </w:rPr>
      </w:pPr>
      <w:r w:rsidRPr="00C02BDE">
        <w:rPr>
          <w:color w:val="EE0000"/>
          <w:sz w:val="20"/>
          <w:szCs w:val="20"/>
        </w:rPr>
        <w:t xml:space="preserve">gegenüebr der höheren Energiekosten von Elektrizität vs. NG-fuel bewertet werden. </w:t>
      </w:r>
    </w:p>
    <w:p w14:paraId="2D3A4AE5" w14:textId="77777777" w:rsidR="00C80016" w:rsidRDefault="00C80016" w:rsidP="00C80016">
      <w:pPr>
        <w:rPr>
          <w:color w:val="EE0000"/>
          <w:sz w:val="20"/>
          <w:szCs w:val="20"/>
        </w:rPr>
      </w:pPr>
    </w:p>
    <w:p w14:paraId="30581161" w14:textId="77777777" w:rsidR="00C80016" w:rsidRPr="00C02BDE" w:rsidRDefault="00C80016" w:rsidP="00C80016">
      <w:pPr>
        <w:rPr>
          <w:color w:val="EE0000"/>
          <w:sz w:val="20"/>
          <w:szCs w:val="20"/>
        </w:rPr>
      </w:pPr>
      <w:r>
        <w:rPr>
          <w:color w:val="EE0000"/>
          <w:sz w:val="20"/>
          <w:szCs w:val="20"/>
        </w:rPr>
        <w:t>Außerdem gibt es bereits zahlreiche Quellen, welche den eSMR prozess in technoökonomischen Analysen untersucht haben und zu einem negativen ergebnis gekommen sind. Dabei ist zwar der Druck ein geringerer, als der, welcher mit dem OCMC system gefahren werden könnte, aber dieser aspekt ist not likely to change the fundamental dynamics. Gleichzeitig gibt es wenige untersuchungen zu Ammoniaksynthesegasproduktion, außerdem inkjludiert diese auch den Aspekt des höheren Druckes, weshalb zumindest qualitative Rückschlüsse auf den einfluss eines höheren druckes im hydrogen prozess getroffen werden können und eine abschätzung getroffen werden kann ob eine detailanalyse evtl. Doch interessant wäre.</w:t>
      </w:r>
    </w:p>
    <w:p w14:paraId="0E95DD69" w14:textId="77777777" w:rsidR="00C80016" w:rsidRPr="00AF7FF7" w:rsidRDefault="00C80016" w:rsidP="00800A7E">
      <w:pPr>
        <w:rPr>
          <w:sz w:val="20"/>
          <w:szCs w:val="20"/>
          <w:lang w:val="en-GB"/>
        </w:rPr>
      </w:pPr>
    </w:p>
    <w:sectPr w:rsidR="00C80016" w:rsidRPr="00AF7FF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2ABCB" w14:textId="77777777" w:rsidR="00202E3D" w:rsidRDefault="00202E3D" w:rsidP="00AF6E1A">
      <w:r>
        <w:separator/>
      </w:r>
    </w:p>
  </w:endnote>
  <w:endnote w:type="continuationSeparator" w:id="0">
    <w:p w14:paraId="5171A97A" w14:textId="77777777" w:rsidR="00202E3D" w:rsidRDefault="00202E3D" w:rsidP="00AF6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178E" w14:textId="77777777" w:rsidR="00202E3D" w:rsidRDefault="00202E3D" w:rsidP="00AF6E1A">
      <w:r>
        <w:separator/>
      </w:r>
    </w:p>
  </w:footnote>
  <w:footnote w:type="continuationSeparator" w:id="0">
    <w:p w14:paraId="41421E68" w14:textId="77777777" w:rsidR="00202E3D" w:rsidRDefault="00202E3D" w:rsidP="00AF6E1A">
      <w:r>
        <w:continuationSeparator/>
      </w:r>
    </w:p>
  </w:footnote>
  <w:footnote w:id="1">
    <w:p w14:paraId="751DC433" w14:textId="588249A3" w:rsidR="00AF6E1A" w:rsidRPr="00AF6E1A" w:rsidRDefault="00AF6E1A">
      <w:pPr>
        <w:pStyle w:val="FootnoteText"/>
        <w:rPr>
          <w:lang w:val="en-US"/>
        </w:rPr>
      </w:pPr>
      <w:r>
        <w:rPr>
          <w:rStyle w:val="FootnoteReference"/>
        </w:rPr>
        <w:footnoteRef/>
      </w:r>
      <w:r>
        <w:t xml:space="preserve"> </w:t>
      </w:r>
      <w:r w:rsidRPr="00AF6E1A">
        <w:t xml:space="preserve">IEA electricity price estimates for the United States and China are based on industrial prices in Texas and Inner Mongolia, respectively </w:t>
      </w:r>
      <w:r>
        <w:t>–</w:t>
      </w:r>
      <w:r w:rsidRPr="00AF6E1A">
        <w:t xml:space="preserve"> both among the lowest-cost regions within their respective countries. Reported values should therefore be interpreted as indicative lower bounds rather than national averages.</w:t>
      </w:r>
    </w:p>
  </w:footnote>
  <w:footnote w:id="2">
    <w:p w14:paraId="13984EDA" w14:textId="41735A69" w:rsidR="00E95313" w:rsidRPr="00E95313" w:rsidRDefault="00E95313">
      <w:pPr>
        <w:pStyle w:val="FootnoteText"/>
        <w:rPr>
          <w:lang w:val="en-US"/>
        </w:rPr>
      </w:pPr>
      <w:r>
        <w:rPr>
          <w:rStyle w:val="FootnoteReference"/>
        </w:rPr>
        <w:footnoteRef/>
      </w:r>
      <w:r>
        <w:t xml:space="preserve"> </w:t>
      </w:r>
      <w:r>
        <w:rPr>
          <w:lang w:val="en-US"/>
        </w:rPr>
        <w:t>100% renewable electricity, i</w:t>
      </w:r>
      <w:r w:rsidRPr="00E95313">
        <w:rPr>
          <w:lang w:val="en-US"/>
        </w:rPr>
        <w:t xml:space="preserve">deal heat integration and no losses in </w:t>
      </w:r>
      <w:proofErr w:type="spellStart"/>
      <w:r>
        <w:rPr>
          <w:lang w:val="en-US"/>
        </w:rPr>
        <w:t>eSMR</w:t>
      </w:r>
      <w:proofErr w:type="spellEnd"/>
      <w:r>
        <w:rPr>
          <w:lang w:val="en-US"/>
        </w:rPr>
        <w:t>; losses of 15% in conventional SMR</w:t>
      </w:r>
      <w:r w:rsidR="00354EBF">
        <w:rPr>
          <w:lang w:val="en-US"/>
        </w:rPr>
        <w:t xml:space="preserve">, </w:t>
      </w:r>
      <w:r w:rsidR="00DD3DE2">
        <w:rPr>
          <w:lang w:val="en-US"/>
        </w:rPr>
        <w:t xml:space="preserve">feed: </w:t>
      </w:r>
      <w:r w:rsidR="00354EBF">
        <w:rPr>
          <w:lang w:val="en-US"/>
        </w:rPr>
        <w:t>pure methane</w:t>
      </w:r>
      <w:r w:rsidR="007A6323">
        <w:rPr>
          <w:lang w:val="en-US"/>
        </w:rPr>
        <w:t>,</w:t>
      </w:r>
      <w:r w:rsidR="00354EBF">
        <w:rPr>
          <w:lang w:val="en-US"/>
        </w:rPr>
        <w:t xml:space="preserve"> steam (S/C = 2,5), </w:t>
      </w:r>
      <w:r w:rsidR="00DD3DE2">
        <w:rPr>
          <w:lang w:val="en-US"/>
        </w:rPr>
        <w:t>conventional</w:t>
      </w:r>
      <w:r w:rsidR="00DD3DE2">
        <w:rPr>
          <w:lang w:val="en-US"/>
        </w:rPr>
        <w:t xml:space="preserve"> process</w:t>
      </w:r>
      <w:r w:rsidR="00DD3DE2">
        <w:rPr>
          <w:lang w:val="en-US"/>
        </w:rPr>
        <w:t xml:space="preserve"> parameters</w:t>
      </w:r>
      <w:r w:rsidR="00DD3DE2">
        <w:rPr>
          <w:lang w:val="en-US"/>
        </w:rPr>
        <w:t xml:space="preserve">: </w:t>
      </w:r>
      <w:r w:rsidR="007A6323">
        <w:rPr>
          <w:lang w:val="en-US"/>
        </w:rPr>
        <w:t>85</w:t>
      </w:r>
      <w:r w:rsidR="00354EBF">
        <w:rPr>
          <w:lang w:val="en-US"/>
        </w:rPr>
        <w:t xml:space="preserve">0°C, </w:t>
      </w:r>
      <w:r w:rsidR="007A6323">
        <w:rPr>
          <w:lang w:val="en-US"/>
        </w:rPr>
        <w:t>17</w:t>
      </w:r>
      <w:r w:rsidR="00354EBF">
        <w:rPr>
          <w:lang w:val="en-US"/>
        </w:rPr>
        <w:t xml:space="preserve"> bar</w:t>
      </w:r>
      <w:r w:rsidR="00DD3DE2">
        <w:rPr>
          <w:lang w:val="en-US"/>
        </w:rPr>
        <w:t xml:space="preserve">, OCMC process parameters: 1100°C, 51 </w:t>
      </w:r>
      <w:proofErr w:type="gramStart"/>
      <w:r w:rsidR="00DD3DE2">
        <w:rPr>
          <w:lang w:val="en-US"/>
        </w:rPr>
        <w:t>bar</w:t>
      </w:r>
      <w:proofErr w:type="gramEnd"/>
      <w:r w:rsidR="00026348">
        <w:rPr>
          <w:lang w:val="en-US"/>
        </w:rPr>
        <w:t>, neglected: compression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51B"/>
    <w:multiLevelType w:val="hybridMultilevel"/>
    <w:tmpl w:val="7FD8E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1114D0"/>
    <w:multiLevelType w:val="hybridMultilevel"/>
    <w:tmpl w:val="51BE78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13439D"/>
    <w:multiLevelType w:val="hybridMultilevel"/>
    <w:tmpl w:val="2F50A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7702F7"/>
    <w:multiLevelType w:val="hybridMultilevel"/>
    <w:tmpl w:val="EDF20C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FC545B5"/>
    <w:multiLevelType w:val="hybridMultilevel"/>
    <w:tmpl w:val="052E2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6586719">
    <w:abstractNumId w:val="0"/>
  </w:num>
  <w:num w:numId="2" w16cid:durableId="385223811">
    <w:abstractNumId w:val="2"/>
  </w:num>
  <w:num w:numId="3" w16cid:durableId="1268348684">
    <w:abstractNumId w:val="3"/>
  </w:num>
  <w:num w:numId="4" w16cid:durableId="1159539984">
    <w:abstractNumId w:val="1"/>
  </w:num>
  <w:num w:numId="5" w16cid:durableId="3369248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DAB"/>
    <w:rsid w:val="00000212"/>
    <w:rsid w:val="000053AA"/>
    <w:rsid w:val="00013EC6"/>
    <w:rsid w:val="00026348"/>
    <w:rsid w:val="00083F5E"/>
    <w:rsid w:val="00090069"/>
    <w:rsid w:val="000B6C3B"/>
    <w:rsid w:val="000D0511"/>
    <w:rsid w:val="000D68DB"/>
    <w:rsid w:val="001046D7"/>
    <w:rsid w:val="00107239"/>
    <w:rsid w:val="00112AC3"/>
    <w:rsid w:val="001152A8"/>
    <w:rsid w:val="0012535A"/>
    <w:rsid w:val="00143941"/>
    <w:rsid w:val="00167D95"/>
    <w:rsid w:val="0018524F"/>
    <w:rsid w:val="001936CB"/>
    <w:rsid w:val="001A56BA"/>
    <w:rsid w:val="001A6888"/>
    <w:rsid w:val="001C17C3"/>
    <w:rsid w:val="001E3D70"/>
    <w:rsid w:val="00202E3D"/>
    <w:rsid w:val="00203CE5"/>
    <w:rsid w:val="00222285"/>
    <w:rsid w:val="00261821"/>
    <w:rsid w:val="00265587"/>
    <w:rsid w:val="0027389B"/>
    <w:rsid w:val="002751F1"/>
    <w:rsid w:val="00284869"/>
    <w:rsid w:val="00286CB6"/>
    <w:rsid w:val="0029376A"/>
    <w:rsid w:val="002962F1"/>
    <w:rsid w:val="002A1605"/>
    <w:rsid w:val="002A59A1"/>
    <w:rsid w:val="002C1EBF"/>
    <w:rsid w:val="00352759"/>
    <w:rsid w:val="00354EBF"/>
    <w:rsid w:val="003732C2"/>
    <w:rsid w:val="00374DAB"/>
    <w:rsid w:val="003B2A86"/>
    <w:rsid w:val="003B6AAA"/>
    <w:rsid w:val="003F0FCF"/>
    <w:rsid w:val="003F785B"/>
    <w:rsid w:val="004148E5"/>
    <w:rsid w:val="004222A4"/>
    <w:rsid w:val="00434C4D"/>
    <w:rsid w:val="00471356"/>
    <w:rsid w:val="004A3FD9"/>
    <w:rsid w:val="004D7172"/>
    <w:rsid w:val="00501A50"/>
    <w:rsid w:val="005170F2"/>
    <w:rsid w:val="00525586"/>
    <w:rsid w:val="005446A0"/>
    <w:rsid w:val="0056073F"/>
    <w:rsid w:val="00565E56"/>
    <w:rsid w:val="0058623B"/>
    <w:rsid w:val="005968C9"/>
    <w:rsid w:val="005A268B"/>
    <w:rsid w:val="005A3E12"/>
    <w:rsid w:val="005D5E58"/>
    <w:rsid w:val="005E0358"/>
    <w:rsid w:val="005F21DE"/>
    <w:rsid w:val="005F4C28"/>
    <w:rsid w:val="00620547"/>
    <w:rsid w:val="00643E1C"/>
    <w:rsid w:val="006948FE"/>
    <w:rsid w:val="006B63ED"/>
    <w:rsid w:val="006D6E21"/>
    <w:rsid w:val="006D7CA5"/>
    <w:rsid w:val="006E3370"/>
    <w:rsid w:val="00701B02"/>
    <w:rsid w:val="00702DDA"/>
    <w:rsid w:val="00721649"/>
    <w:rsid w:val="007646C9"/>
    <w:rsid w:val="00764BCF"/>
    <w:rsid w:val="00776E20"/>
    <w:rsid w:val="00786B43"/>
    <w:rsid w:val="00790D87"/>
    <w:rsid w:val="00793D3F"/>
    <w:rsid w:val="00794D2A"/>
    <w:rsid w:val="007A0E20"/>
    <w:rsid w:val="007A6323"/>
    <w:rsid w:val="007F7249"/>
    <w:rsid w:val="00800A7E"/>
    <w:rsid w:val="00807E3A"/>
    <w:rsid w:val="00810481"/>
    <w:rsid w:val="00834D55"/>
    <w:rsid w:val="00845AAC"/>
    <w:rsid w:val="008559F9"/>
    <w:rsid w:val="00857E2A"/>
    <w:rsid w:val="008955F0"/>
    <w:rsid w:val="008B72D1"/>
    <w:rsid w:val="008D199F"/>
    <w:rsid w:val="008F30BA"/>
    <w:rsid w:val="00913245"/>
    <w:rsid w:val="00945ED6"/>
    <w:rsid w:val="00964CCC"/>
    <w:rsid w:val="0097555B"/>
    <w:rsid w:val="00987E1C"/>
    <w:rsid w:val="009D0974"/>
    <w:rsid w:val="009E5CA7"/>
    <w:rsid w:val="00A01C16"/>
    <w:rsid w:val="00A222E2"/>
    <w:rsid w:val="00A26D0E"/>
    <w:rsid w:val="00A31F4C"/>
    <w:rsid w:val="00A43055"/>
    <w:rsid w:val="00A501D1"/>
    <w:rsid w:val="00A60B9D"/>
    <w:rsid w:val="00A61F65"/>
    <w:rsid w:val="00A81026"/>
    <w:rsid w:val="00A84BD4"/>
    <w:rsid w:val="00A944D9"/>
    <w:rsid w:val="00A9612D"/>
    <w:rsid w:val="00AD319E"/>
    <w:rsid w:val="00AE5DE9"/>
    <w:rsid w:val="00AF6E1A"/>
    <w:rsid w:val="00AF7FF7"/>
    <w:rsid w:val="00B16DBC"/>
    <w:rsid w:val="00B42071"/>
    <w:rsid w:val="00B44E2A"/>
    <w:rsid w:val="00B46249"/>
    <w:rsid w:val="00B5363C"/>
    <w:rsid w:val="00B72C91"/>
    <w:rsid w:val="00BA2C30"/>
    <w:rsid w:val="00BB36D0"/>
    <w:rsid w:val="00BD0B36"/>
    <w:rsid w:val="00BD27B7"/>
    <w:rsid w:val="00BF3CD6"/>
    <w:rsid w:val="00BF61AE"/>
    <w:rsid w:val="00C01544"/>
    <w:rsid w:val="00C02BDE"/>
    <w:rsid w:val="00C10A4E"/>
    <w:rsid w:val="00C3381C"/>
    <w:rsid w:val="00C77CA1"/>
    <w:rsid w:val="00C80016"/>
    <w:rsid w:val="00C87D1B"/>
    <w:rsid w:val="00CB6752"/>
    <w:rsid w:val="00CC1E8B"/>
    <w:rsid w:val="00CE0C58"/>
    <w:rsid w:val="00D12643"/>
    <w:rsid w:val="00D34F3B"/>
    <w:rsid w:val="00D84592"/>
    <w:rsid w:val="00D856FE"/>
    <w:rsid w:val="00D94B93"/>
    <w:rsid w:val="00D964A0"/>
    <w:rsid w:val="00DD2441"/>
    <w:rsid w:val="00DD3DE2"/>
    <w:rsid w:val="00DD7131"/>
    <w:rsid w:val="00E32719"/>
    <w:rsid w:val="00E4290E"/>
    <w:rsid w:val="00E4440D"/>
    <w:rsid w:val="00E46FD7"/>
    <w:rsid w:val="00E5501C"/>
    <w:rsid w:val="00E73259"/>
    <w:rsid w:val="00E93183"/>
    <w:rsid w:val="00E94823"/>
    <w:rsid w:val="00E95313"/>
    <w:rsid w:val="00EA0F76"/>
    <w:rsid w:val="00EC008A"/>
    <w:rsid w:val="00ED5564"/>
    <w:rsid w:val="00EE4A0F"/>
    <w:rsid w:val="00EE6A48"/>
    <w:rsid w:val="00EF1289"/>
    <w:rsid w:val="00EF7378"/>
    <w:rsid w:val="00F039D6"/>
    <w:rsid w:val="00F07D57"/>
    <w:rsid w:val="00F14B5E"/>
    <w:rsid w:val="00F532E0"/>
    <w:rsid w:val="00F87519"/>
    <w:rsid w:val="00FA6C7E"/>
    <w:rsid w:val="00FB46F2"/>
    <w:rsid w:val="00FC74D9"/>
    <w:rsid w:val="00FD6E78"/>
    <w:rsid w:val="00FE681D"/>
    <w:rsid w:val="00FF5D7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E65D497"/>
  <w15:chartTrackingRefBased/>
  <w15:docId w15:val="{BF128E62-8027-1046-830C-AD43B4009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8FE"/>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74D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D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D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D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D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DA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DA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DA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DA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D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D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D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D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D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D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D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D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DAB"/>
    <w:rPr>
      <w:rFonts w:eastAsiaTheme="majorEastAsia" w:cstheme="majorBidi"/>
      <w:color w:val="272727" w:themeColor="text1" w:themeTint="D8"/>
    </w:rPr>
  </w:style>
  <w:style w:type="paragraph" w:styleId="Title">
    <w:name w:val="Title"/>
    <w:basedOn w:val="Normal"/>
    <w:next w:val="Normal"/>
    <w:link w:val="TitleChar"/>
    <w:uiPriority w:val="10"/>
    <w:qFormat/>
    <w:rsid w:val="00374DA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D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DA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D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D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4DAB"/>
    <w:rPr>
      <w:i/>
      <w:iCs/>
      <w:color w:val="404040" w:themeColor="text1" w:themeTint="BF"/>
    </w:rPr>
  </w:style>
  <w:style w:type="paragraph" w:styleId="ListParagraph">
    <w:name w:val="List Paragraph"/>
    <w:basedOn w:val="Normal"/>
    <w:uiPriority w:val="34"/>
    <w:qFormat/>
    <w:rsid w:val="00374DAB"/>
    <w:pPr>
      <w:ind w:left="720"/>
      <w:contextualSpacing/>
    </w:pPr>
  </w:style>
  <w:style w:type="character" w:styleId="IntenseEmphasis">
    <w:name w:val="Intense Emphasis"/>
    <w:basedOn w:val="DefaultParagraphFont"/>
    <w:uiPriority w:val="21"/>
    <w:qFormat/>
    <w:rsid w:val="00374DAB"/>
    <w:rPr>
      <w:i/>
      <w:iCs/>
      <w:color w:val="2F5496" w:themeColor="accent1" w:themeShade="BF"/>
    </w:rPr>
  </w:style>
  <w:style w:type="paragraph" w:styleId="IntenseQuote">
    <w:name w:val="Intense Quote"/>
    <w:basedOn w:val="Normal"/>
    <w:next w:val="Normal"/>
    <w:link w:val="IntenseQuoteChar"/>
    <w:uiPriority w:val="30"/>
    <w:qFormat/>
    <w:rsid w:val="00374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DAB"/>
    <w:rPr>
      <w:i/>
      <w:iCs/>
      <w:color w:val="2F5496" w:themeColor="accent1" w:themeShade="BF"/>
    </w:rPr>
  </w:style>
  <w:style w:type="character" w:styleId="IntenseReference">
    <w:name w:val="Intense Reference"/>
    <w:basedOn w:val="DefaultParagraphFont"/>
    <w:uiPriority w:val="32"/>
    <w:qFormat/>
    <w:rsid w:val="00374DAB"/>
    <w:rPr>
      <w:b/>
      <w:bCs/>
      <w:smallCaps/>
      <w:color w:val="2F5496" w:themeColor="accent1" w:themeShade="BF"/>
      <w:spacing w:val="5"/>
    </w:rPr>
  </w:style>
  <w:style w:type="character" w:styleId="PlaceholderText">
    <w:name w:val="Placeholder Text"/>
    <w:basedOn w:val="DefaultParagraphFont"/>
    <w:uiPriority w:val="99"/>
    <w:semiHidden/>
    <w:rsid w:val="00374DAB"/>
    <w:rPr>
      <w:color w:val="666666"/>
    </w:rPr>
  </w:style>
  <w:style w:type="character" w:styleId="Hyperlink">
    <w:name w:val="Hyperlink"/>
    <w:basedOn w:val="DefaultParagraphFont"/>
    <w:uiPriority w:val="99"/>
    <w:unhideWhenUsed/>
    <w:rsid w:val="004A3FD9"/>
    <w:rPr>
      <w:color w:val="0563C1" w:themeColor="hyperlink"/>
      <w:u w:val="single"/>
    </w:rPr>
  </w:style>
  <w:style w:type="character" w:styleId="UnresolvedMention">
    <w:name w:val="Unresolved Mention"/>
    <w:basedOn w:val="DefaultParagraphFont"/>
    <w:uiPriority w:val="99"/>
    <w:semiHidden/>
    <w:unhideWhenUsed/>
    <w:rsid w:val="004A3FD9"/>
    <w:rPr>
      <w:color w:val="605E5C"/>
      <w:shd w:val="clear" w:color="auto" w:fill="E1DFDD"/>
    </w:rPr>
  </w:style>
  <w:style w:type="table" w:styleId="TableGrid">
    <w:name w:val="Table Grid"/>
    <w:basedOn w:val="TableNormal"/>
    <w:uiPriority w:val="39"/>
    <w:rsid w:val="00B16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AF6E1A"/>
    <w:rPr>
      <w:sz w:val="20"/>
      <w:szCs w:val="20"/>
    </w:rPr>
  </w:style>
  <w:style w:type="character" w:customStyle="1" w:styleId="FootnoteTextChar">
    <w:name w:val="Footnote Text Char"/>
    <w:basedOn w:val="DefaultParagraphFont"/>
    <w:link w:val="FootnoteText"/>
    <w:uiPriority w:val="99"/>
    <w:semiHidden/>
    <w:rsid w:val="00AF6E1A"/>
    <w:rPr>
      <w:sz w:val="20"/>
      <w:szCs w:val="20"/>
    </w:rPr>
  </w:style>
  <w:style w:type="character" w:styleId="FootnoteReference">
    <w:name w:val="footnote reference"/>
    <w:basedOn w:val="DefaultParagraphFont"/>
    <w:uiPriority w:val="99"/>
    <w:semiHidden/>
    <w:unhideWhenUsed/>
    <w:rsid w:val="00AF6E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a.blob.core.windows.net/assets/9e3a3493-b9a6-4b7d-b499-7ca48e357561/The_Future_of_Hydrogen.pdf" TargetMode="External"/><Relationship Id="rId13" Type="http://schemas.openxmlformats.org/officeDocument/2006/relationships/hyperlink" Target="https://www.iea.org/data-and-statistics/charts/industry-end-user-prices-for-natural-gas-in-selected-countries-2019-march-2023" TargetMode="External"/><Relationship Id="rId18" Type="http://schemas.openxmlformats.org/officeDocument/2006/relationships/hyperlink" Target="https://ieaghg.org/publications/techno-economic-evaluation-of-smr-based-standalone-merchant-hydrogen-plant-with-cc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iea.org/data-and-statistics/charts/estimated-final-electricity-price-for-large-industrial-customers-in-energy-intensive-industries-2019-2024" TargetMode="External"/><Relationship Id="rId17" Type="http://schemas.openxmlformats.org/officeDocument/2006/relationships/hyperlink" Target="https://www.iea.org/reports/electricity-2025/emissions" TargetMode="External"/><Relationship Id="rId2" Type="http://schemas.openxmlformats.org/officeDocument/2006/relationships/numbering" Target="numbering.xml"/><Relationship Id="rId16" Type="http://schemas.openxmlformats.org/officeDocument/2006/relationships/hyperlink" Target="https://www.sciencedirect.com/science/article/pii/S0301421521002500"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fa.org/resources/europes-electricity-prices-are-still-tied-gas-making-geopolitics-structural-vulnerability" TargetMode="External"/><Relationship Id="rId5" Type="http://schemas.openxmlformats.org/officeDocument/2006/relationships/webSettings" Target="webSettings.xml"/><Relationship Id="rId15" Type="http://schemas.openxmlformats.org/officeDocument/2006/relationships/hyperlink" Target="https://ieefa.org/resources/understanding-competitive-landscape-chinas-lng-market" TargetMode="External"/><Relationship Id="rId10" Type="http://schemas.openxmlformats.org/officeDocument/2006/relationships/hyperlink" Target="https://onlinelibrary.wiley.com/doi/epdf/10.1002/cite.202100164" TargetMode="External"/><Relationship Id="rId19" Type="http://schemas.openxmlformats.org/officeDocument/2006/relationships/hyperlink" Target="https://doi.org/10.1177/02670836241262199" TargetMode="External"/><Relationship Id="rId4" Type="http://schemas.openxmlformats.org/officeDocument/2006/relationships/settings" Target="settings.xml"/><Relationship Id="rId9" Type="http://schemas.openxmlformats.org/officeDocument/2006/relationships/hyperlink" Target="https://www.sintef.no/globalassets/project/elegancy/deliverables/elegancy_d5.2.2_rotterdam_h2-production_integration.pdf" TargetMode="External"/><Relationship Id="rId14" Type="http://schemas.openxmlformats.org/officeDocument/2006/relationships/hyperlink" Target="https://www.iea.org/countries/china/energy-mi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2AC85-E49E-1A43-9EFB-3700B168B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3305</TotalTime>
  <Pages>11</Pages>
  <Words>6019</Words>
  <Characters>34312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Schüler | CKS</dc:creator>
  <cp:keywords/>
  <dc:description/>
  <cp:lastModifiedBy>Nils Schüler | CKS</cp:lastModifiedBy>
  <cp:revision>19</cp:revision>
  <cp:lastPrinted>2026-05-17T00:56:00Z</cp:lastPrinted>
  <dcterms:created xsi:type="dcterms:W3CDTF">2026-04-29T18:28:00Z</dcterms:created>
  <dcterms:modified xsi:type="dcterms:W3CDTF">2026-05-20T09:48:00Z</dcterms:modified>
</cp:coreProperties>
</file>