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D5B5F" w14:textId="6D9E8C85" w:rsidR="00DD7131" w:rsidRDefault="00702DDA">
      <w:pPr>
        <w:rPr>
          <w:b/>
          <w:bCs/>
          <w:sz w:val="20"/>
          <w:szCs w:val="20"/>
          <w:u w:val="single"/>
        </w:rPr>
      </w:pPr>
      <w:r w:rsidRPr="00702DDA">
        <w:rPr>
          <w:b/>
          <w:bCs/>
          <w:sz w:val="20"/>
          <w:szCs w:val="20"/>
          <w:u w:val="single"/>
        </w:rPr>
        <w:t>Comparison to Conventional SMR Process</w:t>
      </w:r>
    </w:p>
    <w:p w14:paraId="69DFADFF" w14:textId="77777777" w:rsidR="00764BCF" w:rsidRPr="00702DDA" w:rsidRDefault="00764BCF">
      <w:pPr>
        <w:rPr>
          <w:b/>
          <w:bCs/>
          <w:sz w:val="20"/>
          <w:szCs w:val="20"/>
          <w:u w:val="single"/>
        </w:rPr>
      </w:pPr>
    </w:p>
    <w:p w14:paraId="4A36DE77" w14:textId="55A54163" w:rsidR="006D6E21" w:rsidRDefault="002962F1" w:rsidP="00DD7131">
      <w:pPr>
        <w:rPr>
          <w:sz w:val="20"/>
          <w:szCs w:val="20"/>
        </w:rPr>
      </w:pPr>
      <w:r w:rsidRPr="002962F1">
        <w:rPr>
          <w:sz w:val="20"/>
          <w:szCs w:val="20"/>
        </w:rPr>
        <w:t>For SMR-based hydrogen production</w:t>
      </w:r>
      <w:r w:rsidR="00620547">
        <w:rPr>
          <w:sz w:val="20"/>
          <w:szCs w:val="20"/>
        </w:rPr>
        <w:t xml:space="preserve"> from natural gas</w:t>
      </w:r>
      <w:r w:rsidR="00352759">
        <w:rPr>
          <w:sz w:val="20"/>
          <w:szCs w:val="20"/>
        </w:rPr>
        <w:t xml:space="preserve"> (NG)</w:t>
      </w:r>
      <w:r w:rsidRPr="002962F1">
        <w:rPr>
          <w:sz w:val="20"/>
          <w:szCs w:val="20"/>
        </w:rPr>
        <w:t xml:space="preserve">, </w:t>
      </w:r>
      <w:r w:rsidR="0027389B" w:rsidRPr="00B5363C">
        <w:rPr>
          <w:b/>
          <w:bCs/>
          <w:sz w:val="20"/>
          <w:szCs w:val="20"/>
        </w:rPr>
        <w:t>capital expenditures</w:t>
      </w:r>
      <w:r w:rsidR="0027389B">
        <w:rPr>
          <w:sz w:val="20"/>
          <w:szCs w:val="20"/>
        </w:rPr>
        <w:t xml:space="preserve"> (</w:t>
      </w:r>
      <w:r w:rsidRPr="002962F1">
        <w:rPr>
          <w:sz w:val="20"/>
          <w:szCs w:val="20"/>
        </w:rPr>
        <w:t>CAPEX</w:t>
      </w:r>
      <w:r w:rsidR="0027389B">
        <w:rPr>
          <w:sz w:val="20"/>
          <w:szCs w:val="20"/>
        </w:rPr>
        <w:t>)</w:t>
      </w:r>
      <w:r w:rsidRPr="002962F1">
        <w:rPr>
          <w:sz w:val="20"/>
          <w:szCs w:val="20"/>
        </w:rPr>
        <w:t xml:space="preserve"> is of </w:t>
      </w:r>
      <w:r w:rsidRPr="00B5363C">
        <w:rPr>
          <w:b/>
          <w:bCs/>
          <w:sz w:val="20"/>
          <w:szCs w:val="20"/>
        </w:rPr>
        <w:t>secondary</w:t>
      </w:r>
      <w:r w:rsidRPr="002962F1">
        <w:rPr>
          <w:sz w:val="20"/>
          <w:szCs w:val="20"/>
        </w:rPr>
        <w:t xml:space="preserve"> </w:t>
      </w:r>
      <w:r w:rsidRPr="00B5363C">
        <w:rPr>
          <w:b/>
          <w:bCs/>
          <w:sz w:val="20"/>
          <w:szCs w:val="20"/>
        </w:rPr>
        <w:t>importance</w:t>
      </w:r>
      <w:r w:rsidRPr="002962F1">
        <w:rPr>
          <w:sz w:val="20"/>
          <w:szCs w:val="20"/>
        </w:rPr>
        <w:t xml:space="preserve"> to economic viability, as </w:t>
      </w:r>
      <w:r w:rsidR="0027389B">
        <w:rPr>
          <w:sz w:val="20"/>
          <w:szCs w:val="20"/>
        </w:rPr>
        <w:t>operating expenditures (</w:t>
      </w:r>
      <w:r w:rsidRPr="002962F1">
        <w:rPr>
          <w:sz w:val="20"/>
          <w:szCs w:val="20"/>
        </w:rPr>
        <w:t>OPEX</w:t>
      </w:r>
      <w:r w:rsidR="0027389B">
        <w:rPr>
          <w:sz w:val="20"/>
          <w:szCs w:val="20"/>
        </w:rPr>
        <w:t>)</w:t>
      </w:r>
      <w:r w:rsidRPr="002962F1">
        <w:rPr>
          <w:sz w:val="20"/>
          <w:szCs w:val="20"/>
        </w:rPr>
        <w:t xml:space="preserve"> </w:t>
      </w:r>
      <w:r w:rsidR="0027389B">
        <w:rPr>
          <w:sz w:val="20"/>
          <w:szCs w:val="20"/>
        </w:rPr>
        <w:t>–</w:t>
      </w:r>
      <w:r w:rsidRPr="002962F1">
        <w:rPr>
          <w:sz w:val="20"/>
          <w:szCs w:val="20"/>
        </w:rPr>
        <w:t xml:space="preserve"> dominated by </w:t>
      </w:r>
      <w:r w:rsidR="00352759">
        <w:rPr>
          <w:b/>
          <w:bCs/>
          <w:sz w:val="20"/>
          <w:szCs w:val="20"/>
        </w:rPr>
        <w:t>NG</w:t>
      </w:r>
      <w:r w:rsidRPr="00B5363C">
        <w:rPr>
          <w:b/>
          <w:bCs/>
          <w:sz w:val="20"/>
          <w:szCs w:val="20"/>
        </w:rPr>
        <w:t xml:space="preserve"> feedstock costs</w:t>
      </w:r>
      <w:r w:rsidRPr="002962F1">
        <w:rPr>
          <w:sz w:val="20"/>
          <w:szCs w:val="20"/>
        </w:rPr>
        <w:t xml:space="preserve"> (45</w:t>
      </w:r>
      <w:r w:rsidR="00352759">
        <w:rPr>
          <w:sz w:val="20"/>
          <w:szCs w:val="20"/>
        </w:rPr>
        <w:t>-</w:t>
      </w:r>
      <w:r w:rsidRPr="002962F1">
        <w:rPr>
          <w:sz w:val="20"/>
          <w:szCs w:val="20"/>
        </w:rPr>
        <w:t>75% of total production costs</w:t>
      </w:r>
      <w:r w:rsidR="004A3FD9">
        <w:rPr>
          <w:sz w:val="20"/>
          <w:szCs w:val="20"/>
        </w:rPr>
        <w:t xml:space="preserve"> [1]</w:t>
      </w:r>
      <w:r w:rsidRPr="002962F1">
        <w:rPr>
          <w:sz w:val="20"/>
          <w:szCs w:val="20"/>
        </w:rPr>
        <w:t xml:space="preserve">) </w:t>
      </w:r>
      <w:r w:rsidR="0027389B">
        <w:rPr>
          <w:sz w:val="20"/>
          <w:szCs w:val="20"/>
        </w:rPr>
        <w:t>–</w:t>
      </w:r>
      <w:r w:rsidRPr="002962F1">
        <w:rPr>
          <w:sz w:val="20"/>
          <w:szCs w:val="20"/>
        </w:rPr>
        <w:t xml:space="preserve"> constitutes the </w:t>
      </w:r>
      <w:r w:rsidRPr="00B5363C">
        <w:rPr>
          <w:b/>
          <w:bCs/>
          <w:sz w:val="20"/>
          <w:szCs w:val="20"/>
        </w:rPr>
        <w:t>primary cost driver</w:t>
      </w:r>
      <w:r w:rsidR="004A3FD9">
        <w:rPr>
          <w:sz w:val="20"/>
          <w:szCs w:val="20"/>
        </w:rPr>
        <w:t xml:space="preserve">. Including CCUS, </w:t>
      </w:r>
      <w:r w:rsidR="00620547">
        <w:rPr>
          <w:sz w:val="20"/>
          <w:szCs w:val="20"/>
        </w:rPr>
        <w:t>CAPEX</w:t>
      </w:r>
      <w:r w:rsidR="004A3FD9">
        <w:rPr>
          <w:sz w:val="20"/>
          <w:szCs w:val="20"/>
        </w:rPr>
        <w:t xml:space="preserve"> </w:t>
      </w:r>
      <w:r w:rsidR="00620547">
        <w:rPr>
          <w:sz w:val="20"/>
          <w:szCs w:val="20"/>
        </w:rPr>
        <w:t xml:space="preserve">is between 25% in high-fuel-cost-regions like Europe or China and 40% in low-fuel-cost regions like </w:t>
      </w:r>
      <w:r w:rsidR="004A3FD9">
        <w:rPr>
          <w:sz w:val="20"/>
          <w:szCs w:val="20"/>
        </w:rPr>
        <w:t xml:space="preserve">Middle East or US [1]. Especially in Europe it can be as low as 7% according </w:t>
      </w:r>
      <w:r w:rsidR="00ED5564">
        <w:rPr>
          <w:sz w:val="20"/>
          <w:szCs w:val="20"/>
        </w:rPr>
        <w:t xml:space="preserve">to </w:t>
      </w:r>
      <w:r w:rsidR="004A3FD9">
        <w:rPr>
          <w:sz w:val="20"/>
          <w:szCs w:val="20"/>
        </w:rPr>
        <w:t xml:space="preserve">other studies [2]. This highlights that </w:t>
      </w:r>
      <w:r w:rsidR="00ED5564">
        <w:rPr>
          <w:sz w:val="20"/>
          <w:szCs w:val="20"/>
        </w:rPr>
        <w:t xml:space="preserve">the </w:t>
      </w:r>
      <w:r w:rsidR="004A3FD9">
        <w:rPr>
          <w:sz w:val="20"/>
          <w:szCs w:val="20"/>
        </w:rPr>
        <w:t xml:space="preserve">CAPEX share </w:t>
      </w:r>
      <w:r w:rsidR="00ED5564">
        <w:rPr>
          <w:sz w:val="20"/>
          <w:szCs w:val="20"/>
        </w:rPr>
        <w:t>depends heavily on the</w:t>
      </w:r>
      <w:r w:rsidR="004A3FD9">
        <w:rPr>
          <w:sz w:val="20"/>
          <w:szCs w:val="20"/>
        </w:rPr>
        <w:t xml:space="preserve"> assumptions</w:t>
      </w:r>
      <w:r w:rsidR="00ED5564">
        <w:rPr>
          <w:sz w:val="20"/>
          <w:szCs w:val="20"/>
        </w:rPr>
        <w:t xml:space="preserve"> made</w:t>
      </w:r>
      <w:r w:rsidR="004A3FD9">
        <w:rPr>
          <w:sz w:val="20"/>
          <w:szCs w:val="20"/>
        </w:rPr>
        <w:t>.</w:t>
      </w:r>
    </w:p>
    <w:p w14:paraId="3C58DAEA" w14:textId="556238E2" w:rsidR="002962F1" w:rsidRDefault="002962F1" w:rsidP="00DD7131">
      <w:pPr>
        <w:rPr>
          <w:sz w:val="20"/>
          <w:szCs w:val="20"/>
        </w:rPr>
      </w:pPr>
      <w:r w:rsidRPr="002962F1">
        <w:rPr>
          <w:sz w:val="20"/>
          <w:szCs w:val="20"/>
        </w:rPr>
        <w:t xml:space="preserve">Consequently, for process configurations of similar plant topology, a block flow diagram </w:t>
      </w:r>
      <w:r w:rsidR="00ED5564">
        <w:rPr>
          <w:sz w:val="20"/>
          <w:szCs w:val="20"/>
        </w:rPr>
        <w:t>l</w:t>
      </w:r>
      <w:r w:rsidRPr="002962F1">
        <w:rPr>
          <w:sz w:val="20"/>
          <w:szCs w:val="20"/>
        </w:rPr>
        <w:t>evel assessment is sufficient to draw first-order conclusions on economic competitiveness</w:t>
      </w:r>
      <w:r w:rsidR="0027389B">
        <w:rPr>
          <w:sz w:val="20"/>
          <w:szCs w:val="20"/>
        </w:rPr>
        <w:t xml:space="preserve">, </w:t>
      </w:r>
      <w:r w:rsidR="0027389B" w:rsidRPr="0027389B">
        <w:rPr>
          <w:sz w:val="20"/>
          <w:szCs w:val="20"/>
        </w:rPr>
        <w:t>since variations in equipment layout and capital intensity are unlikely to alter the fundamental dominance of OPEX.</w:t>
      </w:r>
    </w:p>
    <w:p w14:paraId="3AB5AF1B" w14:textId="77777777" w:rsidR="002962F1" w:rsidRDefault="002962F1" w:rsidP="00DD7131">
      <w:pPr>
        <w:rPr>
          <w:sz w:val="20"/>
          <w:szCs w:val="20"/>
        </w:rPr>
      </w:pPr>
    </w:p>
    <w:p w14:paraId="2DD38855" w14:textId="7C331CE1" w:rsidR="00DD7131" w:rsidRDefault="00DD7131" w:rsidP="00DD7131">
      <w:pPr>
        <w:rPr>
          <w:sz w:val="20"/>
          <w:szCs w:val="20"/>
        </w:rPr>
      </w:pPr>
      <w:r w:rsidRPr="00DD7131">
        <w:rPr>
          <w:sz w:val="20"/>
          <w:szCs w:val="20"/>
        </w:rPr>
        <w:t>Compari</w:t>
      </w:r>
      <w:r w:rsidR="00B5363C">
        <w:rPr>
          <w:sz w:val="20"/>
          <w:szCs w:val="20"/>
        </w:rPr>
        <w:t>son of</w:t>
      </w:r>
      <w:r w:rsidRPr="00DD7131">
        <w:rPr>
          <w:sz w:val="20"/>
          <w:szCs w:val="20"/>
        </w:rPr>
        <w:t xml:space="preserve"> the electrified SMR (eSMR) process with the conventional process at the block flow diagram level reveals that </w:t>
      </w:r>
      <w:r w:rsidR="00352759">
        <w:rPr>
          <w:sz w:val="20"/>
          <w:szCs w:val="20"/>
        </w:rPr>
        <w:t>NG</w:t>
      </w:r>
      <w:r w:rsidRPr="00DD7131">
        <w:rPr>
          <w:sz w:val="20"/>
          <w:szCs w:val="20"/>
        </w:rPr>
        <w:t xml:space="preserve"> energy is substituted by electrical energy, </w:t>
      </w:r>
      <w:r w:rsidRPr="00352759">
        <w:rPr>
          <w:b/>
          <w:bCs/>
          <w:sz w:val="20"/>
          <w:szCs w:val="20"/>
        </w:rPr>
        <w:t xml:space="preserve">without </w:t>
      </w:r>
      <w:r w:rsidRPr="00352759">
        <w:rPr>
          <w:sz w:val="20"/>
          <w:szCs w:val="20"/>
        </w:rPr>
        <w:t xml:space="preserve">a significant </w:t>
      </w:r>
      <w:r w:rsidRPr="00352759">
        <w:rPr>
          <w:b/>
          <w:bCs/>
          <w:sz w:val="20"/>
          <w:szCs w:val="20"/>
        </w:rPr>
        <w:t>reduction in overall energy consumption</w:t>
      </w:r>
      <w:r w:rsidRPr="00DD7131">
        <w:rPr>
          <w:sz w:val="20"/>
          <w:szCs w:val="20"/>
        </w:rPr>
        <w:t>. Given that electricity prices are substantially higher than NG</w:t>
      </w:r>
      <w:r w:rsidR="00352759">
        <w:rPr>
          <w:sz w:val="20"/>
          <w:szCs w:val="20"/>
        </w:rPr>
        <w:t xml:space="preserve"> </w:t>
      </w:r>
      <w:r w:rsidRPr="00DD7131">
        <w:rPr>
          <w:sz w:val="20"/>
          <w:szCs w:val="20"/>
        </w:rPr>
        <w:t>prices,</w:t>
      </w:r>
      <w:r w:rsidR="008E3439" w:rsidRPr="008E3439">
        <w:rPr>
          <w:rFonts w:ascii="Helvetica Neue" w:eastAsiaTheme="minorHAnsi" w:hAnsi="Helvetica Neue" w:cs="Helvetica Neue"/>
          <w:color w:val="000000"/>
          <w:sz w:val="22"/>
          <w:szCs w:val="22"/>
          <w:lang w:val="en-GB" w:eastAsia="en-US"/>
          <w14:ligatures w14:val="standardContextual"/>
        </w:rPr>
        <w:t xml:space="preserve"> </w:t>
      </w:r>
      <w:r w:rsidR="008E3439">
        <w:rPr>
          <w:sz w:val="20"/>
          <w:szCs w:val="20"/>
          <w:lang w:val="en-GB"/>
        </w:rPr>
        <w:t>t</w:t>
      </w:r>
      <w:r w:rsidR="008E3439" w:rsidRPr="008E3439">
        <w:rPr>
          <w:sz w:val="20"/>
          <w:szCs w:val="20"/>
          <w:lang w:val="en-GB"/>
        </w:rPr>
        <w:t xml:space="preserve">he analysis suggests </w:t>
      </w:r>
      <w:r w:rsidR="008E3439" w:rsidRPr="008E3439">
        <w:rPr>
          <w:b/>
          <w:bCs/>
          <w:sz w:val="20"/>
          <w:szCs w:val="20"/>
          <w:lang w:val="en-GB"/>
        </w:rPr>
        <w:t xml:space="preserve">limited economic competitiveness </w:t>
      </w:r>
      <w:r w:rsidR="008E3439" w:rsidRPr="008E3439">
        <w:rPr>
          <w:sz w:val="20"/>
          <w:szCs w:val="20"/>
          <w:lang w:val="en-GB"/>
        </w:rPr>
        <w:t>under the evaluated assumptions.</w:t>
      </w:r>
    </w:p>
    <w:p w14:paraId="6331E4A4" w14:textId="77777777" w:rsidR="00DD7131" w:rsidRPr="00DD7131" w:rsidRDefault="00DD7131" w:rsidP="00DD7131">
      <w:pPr>
        <w:rPr>
          <w:sz w:val="20"/>
          <w:szCs w:val="20"/>
        </w:rPr>
      </w:pPr>
    </w:p>
    <w:p w14:paraId="2721F9C6" w14:textId="523A05FA" w:rsidR="00DD7131" w:rsidRPr="00DD7131" w:rsidRDefault="00DD7131" w:rsidP="00DD7131">
      <w:pPr>
        <w:rPr>
          <w:sz w:val="20"/>
          <w:szCs w:val="20"/>
        </w:rPr>
      </w:pPr>
      <w:r w:rsidRPr="00DD7131">
        <w:rPr>
          <w:sz w:val="20"/>
          <w:szCs w:val="20"/>
        </w:rPr>
        <w:t>To elaborate, the individual process concepts are examined step by step, beginning with the pressure swing adsorption (PSA) unit and its off-gas integration, before tracing the full process sequence</w:t>
      </w:r>
      <w:r>
        <w:rPr>
          <w:sz w:val="20"/>
          <w:szCs w:val="20"/>
        </w:rPr>
        <w:t xml:space="preserve"> chronologically</w:t>
      </w:r>
      <w:r w:rsidRPr="00DD7131">
        <w:rPr>
          <w:sz w:val="20"/>
          <w:szCs w:val="20"/>
        </w:rPr>
        <w:t>.</w:t>
      </w:r>
    </w:p>
    <w:p w14:paraId="5D77F30D" w14:textId="01895F4C" w:rsidR="00DD7131" w:rsidRPr="00DD7131" w:rsidRDefault="00DD7131" w:rsidP="00DD7131">
      <w:pPr>
        <w:pStyle w:val="ListParagraph"/>
        <w:numPr>
          <w:ilvl w:val="0"/>
          <w:numId w:val="2"/>
        </w:numPr>
        <w:rPr>
          <w:sz w:val="20"/>
          <w:szCs w:val="20"/>
        </w:rPr>
      </w:pPr>
      <w:r w:rsidRPr="00DD7131">
        <w:rPr>
          <w:sz w:val="20"/>
          <w:szCs w:val="20"/>
        </w:rPr>
        <w:t xml:space="preserve">Both concepts employ a PSA for final product purification, yielding pure hydrogen as the product and directing all remaining components to the off-gas. In the conventional process, this H₂-rich off-gas is combusted in the reformer furnace. In the eSMR concept, a purge stream is required to remove nitrogen introduced with the feed. The </w:t>
      </w:r>
      <w:r w:rsidR="005446A0">
        <w:rPr>
          <w:sz w:val="20"/>
          <w:szCs w:val="20"/>
        </w:rPr>
        <w:t>purge</w:t>
      </w:r>
      <w:r w:rsidRPr="00DD7131">
        <w:rPr>
          <w:sz w:val="20"/>
          <w:szCs w:val="20"/>
        </w:rPr>
        <w:t xml:space="preserve"> fraction is sized to satisfy the process steam demand internally, with the remainder recycled to the reactor to maximize </w:t>
      </w:r>
      <w:r w:rsidR="00A501D1">
        <w:rPr>
          <w:sz w:val="20"/>
          <w:szCs w:val="20"/>
        </w:rPr>
        <w:t>H2-</w:t>
      </w:r>
      <w:r w:rsidRPr="00DD7131">
        <w:rPr>
          <w:sz w:val="20"/>
          <w:szCs w:val="20"/>
        </w:rPr>
        <w:t>yield.</w:t>
      </w:r>
    </w:p>
    <w:p w14:paraId="5DB4168F" w14:textId="152F8FA4" w:rsidR="00DD7131" w:rsidRPr="00DD7131" w:rsidRDefault="00DD7131" w:rsidP="00DD7131">
      <w:pPr>
        <w:pStyle w:val="ListParagraph"/>
        <w:numPr>
          <w:ilvl w:val="0"/>
          <w:numId w:val="2"/>
        </w:numPr>
        <w:rPr>
          <w:sz w:val="20"/>
          <w:szCs w:val="20"/>
        </w:rPr>
      </w:pPr>
      <w:r w:rsidRPr="00DD7131">
        <w:rPr>
          <w:sz w:val="20"/>
          <w:szCs w:val="20"/>
        </w:rPr>
        <w:t xml:space="preserve">Both processes perform the same reaction set to produce the target product. Consequently, both use </w:t>
      </w:r>
      <w:r>
        <w:rPr>
          <w:sz w:val="20"/>
          <w:szCs w:val="20"/>
        </w:rPr>
        <w:t>NG</w:t>
      </w:r>
      <w:r w:rsidRPr="00DD7131">
        <w:rPr>
          <w:sz w:val="20"/>
          <w:szCs w:val="20"/>
        </w:rPr>
        <w:t xml:space="preserve"> and steam as feed, with the eSMR additionally incorporating the aforementioned recycle stream.</w:t>
      </w:r>
    </w:p>
    <w:p w14:paraId="60D247CF" w14:textId="44A3F199" w:rsidR="00DD7131" w:rsidRPr="00DD7131" w:rsidRDefault="00DD7131" w:rsidP="00DD7131">
      <w:pPr>
        <w:pStyle w:val="ListParagraph"/>
        <w:numPr>
          <w:ilvl w:val="0"/>
          <w:numId w:val="2"/>
        </w:numPr>
        <w:rPr>
          <w:sz w:val="20"/>
          <w:szCs w:val="20"/>
        </w:rPr>
      </w:pPr>
      <w:r w:rsidRPr="00DD7131">
        <w:rPr>
          <w:sz w:val="20"/>
          <w:szCs w:val="20"/>
        </w:rPr>
        <w:t xml:space="preserve">The reformer outlet temperature is 850 °C and 1100 °C, respectively. Both exceed the material </w:t>
      </w:r>
      <w:r w:rsidR="00352759">
        <w:rPr>
          <w:sz w:val="20"/>
          <w:szCs w:val="20"/>
        </w:rPr>
        <w:t>limitations</w:t>
      </w:r>
      <w:r w:rsidRPr="00DD7131">
        <w:rPr>
          <w:sz w:val="20"/>
          <w:szCs w:val="20"/>
        </w:rPr>
        <w:t xml:space="preserve"> of standard heat exchangers (500</w:t>
      </w:r>
      <w:r>
        <w:rPr>
          <w:sz w:val="20"/>
          <w:szCs w:val="20"/>
        </w:rPr>
        <w:t>-</w:t>
      </w:r>
      <w:r w:rsidRPr="00DD7131">
        <w:rPr>
          <w:sz w:val="20"/>
          <w:szCs w:val="20"/>
        </w:rPr>
        <w:t>600 °C</w:t>
      </w:r>
      <w:r w:rsidR="005446A0">
        <w:rPr>
          <w:sz w:val="20"/>
          <w:szCs w:val="20"/>
        </w:rPr>
        <w:t xml:space="preserve"> </w:t>
      </w:r>
      <w:r w:rsidR="005446A0" w:rsidRPr="00A01C16">
        <w:rPr>
          <w:color w:val="00B0F0"/>
          <w:sz w:val="20"/>
          <w:szCs w:val="20"/>
        </w:rPr>
        <w:t>[</w:t>
      </w:r>
      <w:r w:rsidR="00643E1C" w:rsidRPr="00A01C16">
        <w:rPr>
          <w:color w:val="00B0F0"/>
          <w:sz w:val="20"/>
          <w:szCs w:val="20"/>
        </w:rPr>
        <w:t>https://doi.org/10.1016/j.rser.2023.113467</w:t>
      </w:r>
      <w:r w:rsidR="005446A0" w:rsidRPr="00A01C16">
        <w:rPr>
          <w:color w:val="00B0F0"/>
          <w:sz w:val="20"/>
          <w:szCs w:val="20"/>
        </w:rPr>
        <w:t>]</w:t>
      </w:r>
      <w:r w:rsidRPr="00DD7131">
        <w:rPr>
          <w:sz w:val="20"/>
          <w:szCs w:val="20"/>
        </w:rPr>
        <w:t>), precluding direct feed preheating via the product stream. In the conventional process, the final 200</w:t>
      </w:r>
      <w:r>
        <w:rPr>
          <w:sz w:val="20"/>
          <w:szCs w:val="20"/>
        </w:rPr>
        <w:t>-</w:t>
      </w:r>
      <w:r w:rsidRPr="00DD7131">
        <w:rPr>
          <w:sz w:val="20"/>
          <w:szCs w:val="20"/>
        </w:rPr>
        <w:t xml:space="preserve">300 °C of temperature rise is therefore achieved by NG firing, and the product stream is instead used for steam generation </w:t>
      </w:r>
      <w:r>
        <w:rPr>
          <w:sz w:val="20"/>
          <w:szCs w:val="20"/>
        </w:rPr>
        <w:t>–</w:t>
      </w:r>
      <w:r w:rsidRPr="00DD7131">
        <w:rPr>
          <w:sz w:val="20"/>
          <w:szCs w:val="20"/>
        </w:rPr>
        <w:t xml:space="preserve"> both for internal process use and export. The eSMR reactor concept, by contrast, enables internal heat integration, allowing heat exchange between product and feed streams even at these elevated temperatures.</w:t>
      </w:r>
    </w:p>
    <w:p w14:paraId="7E19C48F" w14:textId="77777777" w:rsidR="00DD7131" w:rsidRPr="00DD7131" w:rsidRDefault="00DD7131" w:rsidP="00DD7131">
      <w:pPr>
        <w:pStyle w:val="ListParagraph"/>
        <w:numPr>
          <w:ilvl w:val="0"/>
          <w:numId w:val="2"/>
        </w:numPr>
        <w:rPr>
          <w:sz w:val="20"/>
          <w:szCs w:val="20"/>
        </w:rPr>
      </w:pPr>
      <w:r w:rsidRPr="00DD7131">
        <w:rPr>
          <w:sz w:val="20"/>
          <w:szCs w:val="20"/>
        </w:rPr>
        <w:t>Both concepts include a water-gas shift (WGS) reaction step to maximize hydrogen yield.</w:t>
      </w:r>
    </w:p>
    <w:p w14:paraId="3D96A586" w14:textId="466CAD10" w:rsidR="00DD7131" w:rsidRPr="00DD7131" w:rsidRDefault="00DD7131" w:rsidP="00DD7131">
      <w:pPr>
        <w:pStyle w:val="ListParagraph"/>
        <w:numPr>
          <w:ilvl w:val="0"/>
          <w:numId w:val="2"/>
        </w:numPr>
        <w:rPr>
          <w:sz w:val="20"/>
          <w:szCs w:val="20"/>
        </w:rPr>
      </w:pPr>
      <w:r w:rsidRPr="00DD7131">
        <w:rPr>
          <w:sz w:val="20"/>
          <w:szCs w:val="20"/>
        </w:rPr>
        <w:t xml:space="preserve">In the electrified process, carbon is removed from the cycle via the purge stream; </w:t>
      </w:r>
      <w:r w:rsidR="001936CB">
        <w:rPr>
          <w:sz w:val="20"/>
          <w:szCs w:val="20"/>
        </w:rPr>
        <w:t>as</w:t>
      </w:r>
      <w:r w:rsidRPr="00DD7131">
        <w:rPr>
          <w:sz w:val="20"/>
          <w:szCs w:val="20"/>
        </w:rPr>
        <w:t xml:space="preserve"> carbon enrichment is excessive, an additional carbon capture unit is required.</w:t>
      </w:r>
    </w:p>
    <w:p w14:paraId="0BEB5015" w14:textId="77777777" w:rsidR="00B5363C" w:rsidRDefault="00B5363C" w:rsidP="00DD7131">
      <w:pPr>
        <w:rPr>
          <w:sz w:val="20"/>
          <w:szCs w:val="20"/>
        </w:rPr>
      </w:pPr>
    </w:p>
    <w:p w14:paraId="7CF089B9" w14:textId="77777777" w:rsidR="00764BCF" w:rsidRDefault="00764BCF" w:rsidP="00DD7131">
      <w:pPr>
        <w:rPr>
          <w:sz w:val="20"/>
          <w:szCs w:val="20"/>
        </w:rPr>
      </w:pPr>
    </w:p>
    <w:p w14:paraId="3A8138FF" w14:textId="77777777" w:rsidR="00A61F65" w:rsidRPr="00A61F65" w:rsidRDefault="00A61F65" w:rsidP="00DD7131">
      <w:pPr>
        <w:rPr>
          <w:b/>
          <w:bCs/>
          <w:i/>
          <w:iCs/>
          <w:sz w:val="20"/>
          <w:szCs w:val="20"/>
        </w:rPr>
      </w:pPr>
      <w:r w:rsidRPr="00A61F65">
        <w:rPr>
          <w:b/>
          <w:bCs/>
          <w:i/>
          <w:iCs/>
          <w:sz w:val="20"/>
          <w:szCs w:val="20"/>
        </w:rPr>
        <w:t>Heating Energy Dynamics and Economic Implications of eSMR vs. Conventional SMR</w:t>
      </w:r>
    </w:p>
    <w:p w14:paraId="5F7DBF3E" w14:textId="5C8E9F51" w:rsidR="00B5363C" w:rsidRDefault="00DD7131" w:rsidP="00DD7131">
      <w:pPr>
        <w:rPr>
          <w:sz w:val="20"/>
          <w:szCs w:val="20"/>
        </w:rPr>
      </w:pPr>
      <w:r w:rsidRPr="00DD7131">
        <w:rPr>
          <w:sz w:val="20"/>
          <w:szCs w:val="20"/>
        </w:rPr>
        <w:t xml:space="preserve">The key distinction reduces to </w:t>
      </w:r>
      <w:r w:rsidR="00776E20">
        <w:rPr>
          <w:sz w:val="20"/>
          <w:szCs w:val="20"/>
        </w:rPr>
        <w:t>fuel (NG)</w:t>
      </w:r>
      <w:r w:rsidRPr="00DD7131">
        <w:rPr>
          <w:sz w:val="20"/>
          <w:szCs w:val="20"/>
        </w:rPr>
        <w:t xml:space="preserve"> demand of the conventional process, attributable to preheating and reaction enthalpy supply</w:t>
      </w:r>
      <w:r>
        <w:rPr>
          <w:sz w:val="20"/>
          <w:szCs w:val="20"/>
        </w:rPr>
        <w:t xml:space="preserve">, </w:t>
      </w:r>
      <w:r w:rsidRPr="00DD7131">
        <w:rPr>
          <w:sz w:val="20"/>
          <w:szCs w:val="20"/>
        </w:rPr>
        <w:t>whereas this is provided by electricity</w:t>
      </w:r>
      <w:r>
        <w:rPr>
          <w:sz w:val="20"/>
          <w:szCs w:val="20"/>
        </w:rPr>
        <w:t xml:space="preserve"> </w:t>
      </w:r>
      <w:r w:rsidRPr="00DD7131">
        <w:rPr>
          <w:sz w:val="20"/>
          <w:szCs w:val="20"/>
        </w:rPr>
        <w:t xml:space="preserve">in the </w:t>
      </w:r>
      <w:r>
        <w:rPr>
          <w:sz w:val="20"/>
          <w:szCs w:val="20"/>
        </w:rPr>
        <w:t>novel</w:t>
      </w:r>
      <w:r w:rsidRPr="00DD7131">
        <w:rPr>
          <w:sz w:val="20"/>
          <w:szCs w:val="20"/>
        </w:rPr>
        <w:t xml:space="preserve"> technology</w:t>
      </w:r>
      <w:r>
        <w:rPr>
          <w:sz w:val="20"/>
          <w:szCs w:val="20"/>
        </w:rPr>
        <w:t>.</w:t>
      </w:r>
      <w:r>
        <w:rPr>
          <w:sz w:val="20"/>
          <w:szCs w:val="20"/>
        </w:rPr>
        <w:br/>
      </w:r>
      <w:r w:rsidRPr="00DD7131">
        <w:rPr>
          <w:sz w:val="20"/>
          <w:szCs w:val="20"/>
        </w:rPr>
        <w:t xml:space="preserve">Since the </w:t>
      </w:r>
      <w:r w:rsidRPr="00DD7131">
        <w:rPr>
          <w:b/>
          <w:bCs/>
          <w:sz w:val="20"/>
          <w:szCs w:val="20"/>
        </w:rPr>
        <w:t>reaction enthalpy</w:t>
      </w:r>
      <w:r w:rsidRPr="00DD7131">
        <w:rPr>
          <w:sz w:val="20"/>
          <w:szCs w:val="20"/>
        </w:rPr>
        <w:t xml:space="preserve"> for the target product is </w:t>
      </w:r>
      <w:r w:rsidR="00A501D1">
        <w:rPr>
          <w:sz w:val="20"/>
          <w:szCs w:val="20"/>
        </w:rPr>
        <w:t xml:space="preserve">almost </w:t>
      </w:r>
      <w:r w:rsidRPr="00DD7131">
        <w:rPr>
          <w:sz w:val="20"/>
          <w:szCs w:val="20"/>
        </w:rPr>
        <w:t xml:space="preserve">identical in both processes, the additional </w:t>
      </w:r>
      <w:r>
        <w:rPr>
          <w:sz w:val="20"/>
          <w:szCs w:val="20"/>
        </w:rPr>
        <w:t>energy</w:t>
      </w:r>
      <w:r w:rsidRPr="00DD7131">
        <w:rPr>
          <w:sz w:val="20"/>
          <w:szCs w:val="20"/>
        </w:rPr>
        <w:t xml:space="preserve"> demand of the conventional process is due solely to </w:t>
      </w:r>
      <w:r w:rsidRPr="00DD7131">
        <w:rPr>
          <w:b/>
          <w:bCs/>
          <w:sz w:val="20"/>
          <w:szCs w:val="20"/>
        </w:rPr>
        <w:t>preheating</w:t>
      </w:r>
      <w:r w:rsidRPr="00DD7131">
        <w:rPr>
          <w:sz w:val="20"/>
          <w:szCs w:val="20"/>
        </w:rPr>
        <w:t xml:space="preserve">, plus </w:t>
      </w:r>
      <w:r w:rsidRPr="00DD7131">
        <w:rPr>
          <w:b/>
          <w:bCs/>
          <w:sz w:val="20"/>
          <w:szCs w:val="20"/>
        </w:rPr>
        <w:t>losses</w:t>
      </w:r>
      <w:r w:rsidRPr="00DD7131">
        <w:rPr>
          <w:sz w:val="20"/>
          <w:szCs w:val="20"/>
        </w:rPr>
        <w:t xml:space="preserve"> </w:t>
      </w:r>
      <w:r>
        <w:rPr>
          <w:sz w:val="20"/>
          <w:szCs w:val="20"/>
        </w:rPr>
        <w:t>(</w:t>
      </w:r>
      <w:r w:rsidRPr="00DD7131">
        <w:rPr>
          <w:sz w:val="20"/>
          <w:szCs w:val="20"/>
        </w:rPr>
        <w:t>flue gas losses and insulation losses in the firebox and radiant section, 6</w:t>
      </w:r>
      <w:r>
        <w:rPr>
          <w:sz w:val="20"/>
          <w:szCs w:val="20"/>
        </w:rPr>
        <w:t>-</w:t>
      </w:r>
      <w:r w:rsidRPr="00DD7131">
        <w:rPr>
          <w:sz w:val="20"/>
          <w:szCs w:val="20"/>
        </w:rPr>
        <w:t>10% and 1</w:t>
      </w:r>
      <w:r>
        <w:rPr>
          <w:sz w:val="20"/>
          <w:szCs w:val="20"/>
        </w:rPr>
        <w:t>-</w:t>
      </w:r>
      <w:r w:rsidRPr="00DD7131">
        <w:rPr>
          <w:sz w:val="20"/>
          <w:szCs w:val="20"/>
        </w:rPr>
        <w:t>5% of fired energy, respectively</w:t>
      </w:r>
      <w:r w:rsidR="005446A0">
        <w:rPr>
          <w:sz w:val="20"/>
          <w:szCs w:val="20"/>
        </w:rPr>
        <w:t xml:space="preserve"> </w:t>
      </w:r>
      <w:r w:rsidR="005446A0" w:rsidRPr="005446A0">
        <w:rPr>
          <w:color w:val="EE0000"/>
          <w:sz w:val="20"/>
          <w:szCs w:val="20"/>
        </w:rPr>
        <w:t xml:space="preserve">[Ullmann’s </w:t>
      </w:r>
      <w:r w:rsidR="005446A0">
        <w:rPr>
          <w:color w:val="EE0000"/>
          <w:sz w:val="20"/>
          <w:szCs w:val="20"/>
        </w:rPr>
        <w:t xml:space="preserve">chapter </w:t>
      </w:r>
      <w:r w:rsidR="005446A0" w:rsidRPr="005446A0">
        <w:rPr>
          <w:color w:val="EE0000"/>
          <w:sz w:val="20"/>
          <w:szCs w:val="20"/>
        </w:rPr>
        <w:t xml:space="preserve">as </w:t>
      </w:r>
      <w:r w:rsidR="005446A0">
        <w:rPr>
          <w:color w:val="EE0000"/>
          <w:sz w:val="20"/>
          <w:szCs w:val="20"/>
        </w:rPr>
        <w:t>s</w:t>
      </w:r>
      <w:r w:rsidR="005446A0" w:rsidRPr="005446A0">
        <w:rPr>
          <w:color w:val="EE0000"/>
          <w:sz w:val="20"/>
          <w:szCs w:val="20"/>
        </w:rPr>
        <w:t>ource]</w:t>
      </w:r>
      <w:r>
        <w:rPr>
          <w:sz w:val="20"/>
          <w:szCs w:val="20"/>
        </w:rPr>
        <w:t>)</w:t>
      </w:r>
      <w:r w:rsidRPr="00DD7131">
        <w:rPr>
          <w:sz w:val="20"/>
          <w:szCs w:val="20"/>
        </w:rPr>
        <w:t>.</w:t>
      </w:r>
      <w:r>
        <w:rPr>
          <w:sz w:val="20"/>
          <w:szCs w:val="20"/>
        </w:rPr>
        <w:t xml:space="preserve"> </w:t>
      </w:r>
      <w:r>
        <w:rPr>
          <w:sz w:val="20"/>
          <w:szCs w:val="20"/>
        </w:rPr>
        <w:br/>
      </w:r>
      <w:r w:rsidRPr="00DD7131">
        <w:rPr>
          <w:sz w:val="20"/>
          <w:szCs w:val="20"/>
        </w:rPr>
        <w:t xml:space="preserve">Under ideal heat integration, </w:t>
      </w:r>
      <w:r>
        <w:rPr>
          <w:sz w:val="20"/>
          <w:szCs w:val="20"/>
        </w:rPr>
        <w:t>the</w:t>
      </w:r>
      <w:r w:rsidRPr="00DD7131">
        <w:rPr>
          <w:sz w:val="20"/>
          <w:szCs w:val="20"/>
        </w:rPr>
        <w:t xml:space="preserve"> additional </w:t>
      </w:r>
      <w:r>
        <w:rPr>
          <w:sz w:val="20"/>
          <w:szCs w:val="20"/>
        </w:rPr>
        <w:t xml:space="preserve">preheating </w:t>
      </w:r>
      <w:r w:rsidRPr="00DD7131">
        <w:rPr>
          <w:sz w:val="20"/>
          <w:szCs w:val="20"/>
        </w:rPr>
        <w:t xml:space="preserve">energy input is fully </w:t>
      </w:r>
      <w:r w:rsidR="00776E20">
        <w:rPr>
          <w:sz w:val="20"/>
          <w:szCs w:val="20"/>
        </w:rPr>
        <w:t>(</w:t>
      </w:r>
      <w:r w:rsidR="00A501D1">
        <w:rPr>
          <w:sz w:val="20"/>
          <w:szCs w:val="20"/>
        </w:rPr>
        <w:t>plus</w:t>
      </w:r>
      <w:r w:rsidR="004222A4">
        <w:rPr>
          <w:sz w:val="20"/>
          <w:szCs w:val="20"/>
        </w:rPr>
        <w:t>/minus minor</w:t>
      </w:r>
      <w:r w:rsidR="00A501D1">
        <w:rPr>
          <w:sz w:val="20"/>
          <w:szCs w:val="20"/>
        </w:rPr>
        <w:t xml:space="preserve"> </w:t>
      </w:r>
      <m:oMath>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p</m:t>
            </m:r>
          </m:sub>
        </m:sSub>
      </m:oMath>
      <w:r w:rsidR="00776E20">
        <w:rPr>
          <w:rFonts w:eastAsiaTheme="minorEastAsia"/>
          <w:sz w:val="20"/>
          <w:szCs w:val="20"/>
        </w:rPr>
        <w:t xml:space="preserve">change) </w:t>
      </w:r>
      <w:r w:rsidRPr="00DD7131">
        <w:rPr>
          <w:sz w:val="20"/>
          <w:szCs w:val="20"/>
        </w:rPr>
        <w:t xml:space="preserve">recovered as steam, generating a steam export. It is worth noting that typical integrated </w:t>
      </w:r>
      <w:r w:rsidR="00ED5564">
        <w:rPr>
          <w:sz w:val="20"/>
          <w:szCs w:val="20"/>
        </w:rPr>
        <w:t>chemical sites</w:t>
      </w:r>
      <w:r w:rsidRPr="00DD7131">
        <w:rPr>
          <w:sz w:val="20"/>
          <w:szCs w:val="20"/>
        </w:rPr>
        <w:t xml:space="preserve"> generally operate with a net steam deficit</w:t>
      </w:r>
      <w:r w:rsidR="00ED5564">
        <w:rPr>
          <w:sz w:val="20"/>
          <w:szCs w:val="20"/>
        </w:rPr>
        <w:t xml:space="preserve"> [3]</w:t>
      </w:r>
      <w:r w:rsidRPr="00DD7131">
        <w:rPr>
          <w:sz w:val="20"/>
          <w:szCs w:val="20"/>
        </w:rPr>
        <w:t xml:space="preserve">, which is conventionally offset by NG-fired steam generation. From this perspective, whether steam is produced from NG directly or as a byproduct of the SMR process is equivalent, neglecting minor differences in conversion efficiency. </w:t>
      </w:r>
      <w:r w:rsidR="00BC443D" w:rsidRPr="00BC443D">
        <w:rPr>
          <w:sz w:val="20"/>
          <w:szCs w:val="20"/>
          <w:lang w:val="en-GB"/>
        </w:rPr>
        <w:t>From a first-order energetic perspective</w:t>
      </w:r>
      <w:r w:rsidR="00BC443D">
        <w:rPr>
          <w:sz w:val="20"/>
          <w:szCs w:val="20"/>
          <w:lang w:val="en-GB"/>
        </w:rPr>
        <w:t xml:space="preserve">, </w:t>
      </w:r>
      <w:r w:rsidR="00BC443D">
        <w:rPr>
          <w:sz w:val="20"/>
          <w:szCs w:val="20"/>
        </w:rPr>
        <w:t>t</w:t>
      </w:r>
      <w:r w:rsidRPr="00DD7131">
        <w:rPr>
          <w:sz w:val="20"/>
          <w:szCs w:val="20"/>
        </w:rPr>
        <w:t xml:space="preserve">he </w:t>
      </w:r>
      <w:r w:rsidRPr="00501A50">
        <w:rPr>
          <w:b/>
          <w:bCs/>
          <w:sz w:val="20"/>
          <w:szCs w:val="20"/>
        </w:rPr>
        <w:t>only true differentiator</w:t>
      </w:r>
      <w:r w:rsidRPr="00DD7131">
        <w:rPr>
          <w:sz w:val="20"/>
          <w:szCs w:val="20"/>
        </w:rPr>
        <w:t xml:space="preserve"> is therefore the </w:t>
      </w:r>
      <w:r w:rsidRPr="00501A50">
        <w:rPr>
          <w:b/>
          <w:bCs/>
          <w:sz w:val="20"/>
          <w:szCs w:val="20"/>
        </w:rPr>
        <w:t>additional losses</w:t>
      </w:r>
      <w:r w:rsidRPr="00DD7131">
        <w:rPr>
          <w:sz w:val="20"/>
          <w:szCs w:val="20"/>
        </w:rPr>
        <w:t xml:space="preserve"> from flue gas and, potentially, insulation (due to the smaller reactor design in the eSMR concept). Even assuming an ideal, lossless eSMR process, </w:t>
      </w:r>
      <w:r w:rsidR="004B0D83" w:rsidRPr="004B0D83">
        <w:rPr>
          <w:b/>
          <w:bCs/>
          <w:sz w:val="20"/>
          <w:szCs w:val="20"/>
        </w:rPr>
        <w:t>an economic advantage appears unlikely</w:t>
      </w:r>
      <w:r w:rsidRPr="00DD7131">
        <w:rPr>
          <w:sz w:val="20"/>
          <w:szCs w:val="20"/>
        </w:rPr>
        <w:t>, given electricity prices</w:t>
      </w:r>
      <w:r w:rsidR="00B5363C">
        <w:rPr>
          <w:sz w:val="20"/>
          <w:szCs w:val="20"/>
        </w:rPr>
        <w:t xml:space="preserve"> are</w:t>
      </w:r>
      <w:r w:rsidRPr="00DD7131">
        <w:rPr>
          <w:sz w:val="20"/>
          <w:szCs w:val="20"/>
        </w:rPr>
        <w:t xml:space="preserve"> approximately </w:t>
      </w:r>
      <w:r w:rsidR="00794D2A">
        <w:rPr>
          <w:sz w:val="20"/>
          <w:szCs w:val="20"/>
        </w:rPr>
        <w:t>~</w:t>
      </w:r>
      <w:r w:rsidR="00794D2A" w:rsidRPr="00794D2A">
        <w:rPr>
          <w:sz w:val="20"/>
          <w:szCs w:val="20"/>
        </w:rPr>
        <w:t xml:space="preserve">250% </w:t>
      </w:r>
      <w:r w:rsidRPr="00794D2A">
        <w:rPr>
          <w:sz w:val="20"/>
          <w:szCs w:val="20"/>
        </w:rPr>
        <w:t xml:space="preserve">higher </w:t>
      </w:r>
      <w:r w:rsidRPr="00DD7131">
        <w:rPr>
          <w:sz w:val="20"/>
          <w:szCs w:val="20"/>
        </w:rPr>
        <w:t>than NG prices</w:t>
      </w:r>
      <w:r w:rsidR="00794D2A">
        <w:rPr>
          <w:sz w:val="20"/>
          <w:szCs w:val="20"/>
        </w:rPr>
        <w:t xml:space="preserve"> corresponding to Germany in</w:t>
      </w:r>
      <w:r w:rsidR="00790D87">
        <w:rPr>
          <w:sz w:val="20"/>
          <w:szCs w:val="20"/>
        </w:rPr>
        <w:t xml:space="preserve"> pre-crisis times</w:t>
      </w:r>
      <w:r w:rsidR="00794D2A">
        <w:rPr>
          <w:sz w:val="20"/>
          <w:szCs w:val="20"/>
        </w:rPr>
        <w:t xml:space="preserve"> </w:t>
      </w:r>
      <w:r w:rsidR="00790D87">
        <w:rPr>
          <w:sz w:val="20"/>
          <w:szCs w:val="20"/>
        </w:rPr>
        <w:t>(</w:t>
      </w:r>
      <w:r w:rsidR="00794D2A">
        <w:rPr>
          <w:sz w:val="20"/>
          <w:szCs w:val="20"/>
        </w:rPr>
        <w:t>2019</w:t>
      </w:r>
      <w:r w:rsidR="00790D87">
        <w:rPr>
          <w:sz w:val="20"/>
          <w:szCs w:val="20"/>
        </w:rPr>
        <w:t>)</w:t>
      </w:r>
      <w:r w:rsidR="00794D2A">
        <w:rPr>
          <w:sz w:val="20"/>
          <w:szCs w:val="20"/>
        </w:rPr>
        <w:t xml:space="preserve"> [3]</w:t>
      </w:r>
      <w:r w:rsidRPr="00DD7131">
        <w:rPr>
          <w:sz w:val="20"/>
          <w:szCs w:val="20"/>
        </w:rPr>
        <w:t>.</w:t>
      </w:r>
      <w:r w:rsidR="00857E2A">
        <w:rPr>
          <w:sz w:val="20"/>
          <w:szCs w:val="20"/>
        </w:rPr>
        <w:t xml:space="preserve"> In other European countries this correlation is less pronounced, but still significant</w:t>
      </w:r>
      <w:r w:rsidR="004222A4">
        <w:rPr>
          <w:sz w:val="20"/>
          <w:szCs w:val="20"/>
        </w:rPr>
        <w:t>.</w:t>
      </w:r>
      <w:r w:rsidR="00AD319E">
        <w:rPr>
          <w:sz w:val="20"/>
          <w:szCs w:val="20"/>
        </w:rPr>
        <w:t xml:space="preserve"> </w:t>
      </w:r>
      <w:r w:rsidR="004222A4">
        <w:rPr>
          <w:sz w:val="20"/>
          <w:szCs w:val="20"/>
        </w:rPr>
        <w:t>T</w:t>
      </w:r>
      <w:r w:rsidR="00AD319E" w:rsidRPr="00AD319E">
        <w:rPr>
          <w:sz w:val="20"/>
          <w:szCs w:val="20"/>
        </w:rPr>
        <w:t xml:space="preserve">his ratio is subject to significant fluctuations and </w:t>
      </w:r>
      <w:r w:rsidR="00790D87" w:rsidRPr="00790D87">
        <w:rPr>
          <w:sz w:val="20"/>
          <w:szCs w:val="20"/>
        </w:rPr>
        <w:t>is being exacerbated</w:t>
      </w:r>
      <w:r w:rsidR="00790D87">
        <w:rPr>
          <w:sz w:val="20"/>
          <w:szCs w:val="20"/>
        </w:rPr>
        <w:t xml:space="preserve"> </w:t>
      </w:r>
      <w:r w:rsidR="00AD319E" w:rsidRPr="00AD319E">
        <w:rPr>
          <w:sz w:val="20"/>
          <w:szCs w:val="20"/>
        </w:rPr>
        <w:t xml:space="preserve">by geopolitical </w:t>
      </w:r>
      <w:r w:rsidR="00790D87">
        <w:rPr>
          <w:sz w:val="20"/>
          <w:szCs w:val="20"/>
        </w:rPr>
        <w:t>crises</w:t>
      </w:r>
      <w:r w:rsidR="00AD319E">
        <w:rPr>
          <w:sz w:val="20"/>
          <w:szCs w:val="20"/>
        </w:rPr>
        <w:t xml:space="preserve"> [4]</w:t>
      </w:r>
      <w:r w:rsidR="00AD319E" w:rsidRPr="00AD319E">
        <w:rPr>
          <w:sz w:val="20"/>
          <w:szCs w:val="20"/>
        </w:rPr>
        <w:t>.</w:t>
      </w:r>
      <w:r w:rsidR="00AD319E">
        <w:rPr>
          <w:sz w:val="20"/>
          <w:szCs w:val="20"/>
        </w:rPr>
        <w:t xml:space="preserve"> </w:t>
      </w:r>
      <w:r w:rsidR="00501A50" w:rsidRPr="00501A50">
        <w:rPr>
          <w:sz w:val="20"/>
          <w:szCs w:val="20"/>
        </w:rPr>
        <w:t xml:space="preserve">In other regions the economics differ, yet the price differential remains </w:t>
      </w:r>
      <w:r w:rsidR="00501A50">
        <w:rPr>
          <w:sz w:val="20"/>
          <w:szCs w:val="20"/>
        </w:rPr>
        <w:t>more</w:t>
      </w:r>
      <w:r w:rsidR="00501A50" w:rsidRPr="00501A50">
        <w:rPr>
          <w:sz w:val="20"/>
          <w:szCs w:val="20"/>
        </w:rPr>
        <w:t xml:space="preserve"> dominant </w:t>
      </w:r>
      <w:r w:rsidR="00501A50">
        <w:rPr>
          <w:sz w:val="20"/>
          <w:szCs w:val="20"/>
        </w:rPr>
        <w:t>than</w:t>
      </w:r>
      <w:r w:rsidR="00501A50" w:rsidRPr="00501A50">
        <w:rPr>
          <w:sz w:val="20"/>
          <w:szCs w:val="20"/>
        </w:rPr>
        <w:t xml:space="preserve"> additional losses.</w:t>
      </w:r>
    </w:p>
    <w:tbl>
      <w:tblPr>
        <w:tblStyle w:val="TableGrid"/>
        <w:tblW w:w="0" w:type="auto"/>
        <w:tblLook w:val="04A0" w:firstRow="1" w:lastRow="0" w:firstColumn="1" w:lastColumn="0" w:noHBand="0" w:noVBand="1"/>
      </w:tblPr>
      <w:tblGrid>
        <w:gridCol w:w="2254"/>
        <w:gridCol w:w="2254"/>
        <w:gridCol w:w="2254"/>
        <w:gridCol w:w="2254"/>
      </w:tblGrid>
      <w:tr w:rsidR="00B16DBC" w14:paraId="7084132E" w14:textId="77777777" w:rsidTr="00B16DBC">
        <w:tc>
          <w:tcPr>
            <w:tcW w:w="2254" w:type="dxa"/>
          </w:tcPr>
          <w:p w14:paraId="4D95AD4F" w14:textId="5FF4F6D5" w:rsidR="00B16DBC" w:rsidRDefault="00B16DBC" w:rsidP="00DD7131">
            <w:pPr>
              <w:rPr>
                <w:sz w:val="20"/>
                <w:szCs w:val="20"/>
              </w:rPr>
            </w:pPr>
            <w:r>
              <w:rPr>
                <w:sz w:val="20"/>
                <w:szCs w:val="20"/>
              </w:rPr>
              <w:t>Region</w:t>
            </w:r>
          </w:p>
        </w:tc>
        <w:tc>
          <w:tcPr>
            <w:tcW w:w="2254" w:type="dxa"/>
          </w:tcPr>
          <w:p w14:paraId="0226A185" w14:textId="686D7A02" w:rsidR="00B16DBC" w:rsidRDefault="00AF6E1A" w:rsidP="00DD7131">
            <w:pPr>
              <w:rPr>
                <w:sz w:val="20"/>
                <w:szCs w:val="20"/>
              </w:rPr>
            </w:pPr>
            <w:r>
              <w:rPr>
                <w:sz w:val="20"/>
                <w:szCs w:val="20"/>
              </w:rPr>
              <w:t>Final lectricity prices in energy-intensive industries</w:t>
            </w:r>
            <w:r w:rsidR="00B16DBC">
              <w:rPr>
                <w:sz w:val="20"/>
                <w:szCs w:val="20"/>
              </w:rPr>
              <w:t xml:space="preserve"> (2019), USD/MWh [5]</w:t>
            </w:r>
          </w:p>
        </w:tc>
        <w:tc>
          <w:tcPr>
            <w:tcW w:w="2254" w:type="dxa"/>
          </w:tcPr>
          <w:p w14:paraId="1F0F1B6C" w14:textId="594C9D4A" w:rsidR="00B16DBC" w:rsidRDefault="00AF6E1A" w:rsidP="00DD7131">
            <w:pPr>
              <w:rPr>
                <w:sz w:val="20"/>
                <w:szCs w:val="20"/>
              </w:rPr>
            </w:pPr>
            <w:r>
              <w:rPr>
                <w:sz w:val="20"/>
                <w:szCs w:val="20"/>
              </w:rPr>
              <w:t>Natural gas prices for i</w:t>
            </w:r>
            <w:r w:rsidR="00B16DBC">
              <w:rPr>
                <w:sz w:val="20"/>
                <w:szCs w:val="20"/>
              </w:rPr>
              <w:t>ndustry end-user</w:t>
            </w:r>
            <w:r>
              <w:rPr>
                <w:sz w:val="20"/>
                <w:szCs w:val="20"/>
              </w:rPr>
              <w:t xml:space="preserve"> </w:t>
            </w:r>
            <w:r w:rsidR="00B16DBC">
              <w:rPr>
                <w:sz w:val="20"/>
                <w:szCs w:val="20"/>
              </w:rPr>
              <w:t>(2019), USD/MWh [6]</w:t>
            </w:r>
          </w:p>
        </w:tc>
        <w:tc>
          <w:tcPr>
            <w:tcW w:w="2254" w:type="dxa"/>
          </w:tcPr>
          <w:p w14:paraId="219BC93E" w14:textId="214EB33F" w:rsidR="00B16DBC" w:rsidRDefault="00B16DBC" w:rsidP="00DD7131">
            <w:pPr>
              <w:rPr>
                <w:sz w:val="20"/>
                <w:szCs w:val="20"/>
              </w:rPr>
            </w:pPr>
            <w:r>
              <w:rPr>
                <w:sz w:val="20"/>
                <w:szCs w:val="20"/>
              </w:rPr>
              <w:t>Ratio</w:t>
            </w:r>
          </w:p>
        </w:tc>
      </w:tr>
      <w:tr w:rsidR="00B16DBC" w14:paraId="1A0F2FE0" w14:textId="77777777" w:rsidTr="00B16DBC">
        <w:tc>
          <w:tcPr>
            <w:tcW w:w="2254" w:type="dxa"/>
          </w:tcPr>
          <w:p w14:paraId="15E0CCBE" w14:textId="7197E77A" w:rsidR="00B16DBC" w:rsidRDefault="00B16DBC" w:rsidP="00DD7131">
            <w:pPr>
              <w:rPr>
                <w:sz w:val="20"/>
                <w:szCs w:val="20"/>
              </w:rPr>
            </w:pPr>
            <w:r>
              <w:rPr>
                <w:sz w:val="20"/>
                <w:szCs w:val="20"/>
              </w:rPr>
              <w:lastRenderedPageBreak/>
              <w:t>Germany</w:t>
            </w:r>
          </w:p>
        </w:tc>
        <w:tc>
          <w:tcPr>
            <w:tcW w:w="2254" w:type="dxa"/>
          </w:tcPr>
          <w:p w14:paraId="6C1B4041" w14:textId="6845D5F4" w:rsidR="00B16DBC" w:rsidRDefault="00B16DBC" w:rsidP="00DD7131">
            <w:pPr>
              <w:rPr>
                <w:sz w:val="20"/>
                <w:szCs w:val="20"/>
              </w:rPr>
            </w:pPr>
            <w:r>
              <w:rPr>
                <w:sz w:val="20"/>
                <w:szCs w:val="20"/>
              </w:rPr>
              <w:t>~70</w:t>
            </w:r>
          </w:p>
        </w:tc>
        <w:tc>
          <w:tcPr>
            <w:tcW w:w="2254" w:type="dxa"/>
          </w:tcPr>
          <w:p w14:paraId="6C7CF665" w14:textId="2C983B75" w:rsidR="00B16DBC" w:rsidRDefault="00AF6E1A" w:rsidP="00DD7131">
            <w:pPr>
              <w:rPr>
                <w:sz w:val="20"/>
                <w:szCs w:val="20"/>
              </w:rPr>
            </w:pPr>
            <w:r>
              <w:rPr>
                <w:sz w:val="20"/>
                <w:szCs w:val="20"/>
              </w:rPr>
              <w:t>28-30</w:t>
            </w:r>
          </w:p>
        </w:tc>
        <w:tc>
          <w:tcPr>
            <w:tcW w:w="2254" w:type="dxa"/>
          </w:tcPr>
          <w:p w14:paraId="11057967" w14:textId="2F77B74F" w:rsidR="00B16DBC" w:rsidRDefault="00AF6E1A" w:rsidP="00DD7131">
            <w:pPr>
              <w:rPr>
                <w:sz w:val="20"/>
                <w:szCs w:val="20"/>
              </w:rPr>
            </w:pPr>
            <w:r>
              <w:rPr>
                <w:sz w:val="20"/>
                <w:szCs w:val="20"/>
              </w:rPr>
              <w:t>~2.5x</w:t>
            </w:r>
          </w:p>
        </w:tc>
      </w:tr>
      <w:tr w:rsidR="00B16DBC" w14:paraId="755AE211" w14:textId="77777777" w:rsidTr="00B16DBC">
        <w:tc>
          <w:tcPr>
            <w:tcW w:w="2254" w:type="dxa"/>
          </w:tcPr>
          <w:p w14:paraId="53AC547A" w14:textId="3958C737" w:rsidR="00B16DBC" w:rsidRDefault="00B16DBC" w:rsidP="00DD7131">
            <w:pPr>
              <w:rPr>
                <w:sz w:val="20"/>
                <w:szCs w:val="20"/>
              </w:rPr>
            </w:pPr>
            <w:r>
              <w:rPr>
                <w:sz w:val="20"/>
                <w:szCs w:val="20"/>
              </w:rPr>
              <w:t>United States</w:t>
            </w:r>
          </w:p>
        </w:tc>
        <w:tc>
          <w:tcPr>
            <w:tcW w:w="2254" w:type="dxa"/>
          </w:tcPr>
          <w:p w14:paraId="1531BDB1" w14:textId="7902A26A" w:rsidR="00B16DBC" w:rsidRDefault="00B16DBC" w:rsidP="00DD7131">
            <w:pPr>
              <w:rPr>
                <w:sz w:val="20"/>
                <w:szCs w:val="20"/>
              </w:rPr>
            </w:pPr>
            <w:r>
              <w:rPr>
                <w:sz w:val="20"/>
                <w:szCs w:val="20"/>
              </w:rPr>
              <w:t>~45</w:t>
            </w:r>
            <w:r w:rsidR="00AF6E1A">
              <w:rPr>
                <w:rStyle w:val="FootnoteReference"/>
                <w:sz w:val="20"/>
                <w:szCs w:val="20"/>
              </w:rPr>
              <w:footnoteReference w:id="1"/>
            </w:r>
          </w:p>
        </w:tc>
        <w:tc>
          <w:tcPr>
            <w:tcW w:w="2254" w:type="dxa"/>
          </w:tcPr>
          <w:p w14:paraId="3046DBF6" w14:textId="7956B94C" w:rsidR="00B16DBC" w:rsidRDefault="00AF6E1A" w:rsidP="00DD7131">
            <w:pPr>
              <w:rPr>
                <w:sz w:val="20"/>
                <w:szCs w:val="20"/>
              </w:rPr>
            </w:pPr>
            <w:r>
              <w:rPr>
                <w:sz w:val="20"/>
                <w:szCs w:val="20"/>
              </w:rPr>
              <w:t>11-15</w:t>
            </w:r>
          </w:p>
        </w:tc>
        <w:tc>
          <w:tcPr>
            <w:tcW w:w="2254" w:type="dxa"/>
          </w:tcPr>
          <w:p w14:paraId="297129BC" w14:textId="13F2CF91" w:rsidR="00B16DBC" w:rsidRDefault="00AF6E1A" w:rsidP="00DD7131">
            <w:pPr>
              <w:rPr>
                <w:sz w:val="20"/>
                <w:szCs w:val="20"/>
              </w:rPr>
            </w:pPr>
            <w:r>
              <w:rPr>
                <w:sz w:val="20"/>
                <w:szCs w:val="20"/>
              </w:rPr>
              <w:t>~3-4.1x</w:t>
            </w:r>
          </w:p>
        </w:tc>
      </w:tr>
      <w:tr w:rsidR="00B16DBC" w14:paraId="46F608EE" w14:textId="77777777" w:rsidTr="00B16DBC">
        <w:tc>
          <w:tcPr>
            <w:tcW w:w="2254" w:type="dxa"/>
          </w:tcPr>
          <w:p w14:paraId="3A9F9F09" w14:textId="7427F7E4" w:rsidR="00B16DBC" w:rsidRDefault="00B16DBC" w:rsidP="00DD7131">
            <w:pPr>
              <w:rPr>
                <w:sz w:val="20"/>
                <w:szCs w:val="20"/>
              </w:rPr>
            </w:pPr>
            <w:r>
              <w:rPr>
                <w:sz w:val="20"/>
                <w:szCs w:val="20"/>
              </w:rPr>
              <w:t>China</w:t>
            </w:r>
          </w:p>
        </w:tc>
        <w:tc>
          <w:tcPr>
            <w:tcW w:w="2254" w:type="dxa"/>
          </w:tcPr>
          <w:p w14:paraId="18A4F5A9" w14:textId="56FE7F4E" w:rsidR="00B16DBC" w:rsidRPr="00501A50" w:rsidRDefault="00B16DBC" w:rsidP="00DD7131">
            <w:pPr>
              <w:rPr>
                <w:sz w:val="20"/>
                <w:szCs w:val="20"/>
                <w:vertAlign w:val="superscript"/>
              </w:rPr>
            </w:pPr>
            <w:r>
              <w:rPr>
                <w:sz w:val="20"/>
                <w:szCs w:val="20"/>
              </w:rPr>
              <w:t>~55</w:t>
            </w:r>
            <w:r w:rsidR="00501A50">
              <w:rPr>
                <w:sz w:val="20"/>
                <w:szCs w:val="20"/>
                <w:vertAlign w:val="superscript"/>
              </w:rPr>
              <w:t>1</w:t>
            </w:r>
          </w:p>
        </w:tc>
        <w:tc>
          <w:tcPr>
            <w:tcW w:w="2254" w:type="dxa"/>
          </w:tcPr>
          <w:p w14:paraId="0B7122A0" w14:textId="0D845615" w:rsidR="00B16DBC" w:rsidRDefault="00AF6E1A" w:rsidP="00DD7131">
            <w:pPr>
              <w:rPr>
                <w:sz w:val="20"/>
                <w:szCs w:val="20"/>
              </w:rPr>
            </w:pPr>
            <w:r>
              <w:rPr>
                <w:sz w:val="20"/>
                <w:szCs w:val="20"/>
              </w:rPr>
              <w:t>31-53</w:t>
            </w:r>
          </w:p>
        </w:tc>
        <w:tc>
          <w:tcPr>
            <w:tcW w:w="2254" w:type="dxa"/>
          </w:tcPr>
          <w:p w14:paraId="0E49F985" w14:textId="05D9076A" w:rsidR="00B16DBC" w:rsidRDefault="00AF6E1A" w:rsidP="00DD7131">
            <w:pPr>
              <w:rPr>
                <w:sz w:val="20"/>
                <w:szCs w:val="20"/>
              </w:rPr>
            </w:pPr>
            <w:r>
              <w:rPr>
                <w:sz w:val="20"/>
                <w:szCs w:val="20"/>
              </w:rPr>
              <w:t>~1-1.8x</w:t>
            </w:r>
          </w:p>
        </w:tc>
      </w:tr>
    </w:tbl>
    <w:p w14:paraId="3B37D4EA" w14:textId="527B3A91" w:rsidR="00B16DBC" w:rsidRDefault="00B46249" w:rsidP="00DD7131">
      <w:pPr>
        <w:rPr>
          <w:sz w:val="20"/>
          <w:szCs w:val="20"/>
        </w:rPr>
      </w:pPr>
      <w:r>
        <w:rPr>
          <w:sz w:val="20"/>
          <w:szCs w:val="20"/>
        </w:rPr>
        <w:t>But it</w:t>
      </w:r>
      <w:r w:rsidR="00501A50">
        <w:rPr>
          <w:sz w:val="20"/>
          <w:szCs w:val="20"/>
        </w:rPr>
        <w:t xml:space="preserve"> becomes apparent</w:t>
      </w:r>
      <w:r>
        <w:rPr>
          <w:sz w:val="20"/>
          <w:szCs w:val="20"/>
        </w:rPr>
        <w:t xml:space="preserve">, that </w:t>
      </w:r>
      <w:r w:rsidRPr="00B46249">
        <w:rPr>
          <w:sz w:val="20"/>
          <w:szCs w:val="20"/>
        </w:rPr>
        <w:t>China represents a notable exception, with an electricity-to-gas price ratio significantly below that of the United States and Europe</w:t>
      </w:r>
      <w:r>
        <w:rPr>
          <w:sz w:val="20"/>
          <w:szCs w:val="20"/>
        </w:rPr>
        <w:t>; explainable</w:t>
      </w:r>
      <w:r w:rsidRPr="00B46249">
        <w:rPr>
          <w:sz w:val="20"/>
          <w:szCs w:val="20"/>
        </w:rPr>
        <w:t xml:space="preserve"> by low electricity prices resulting from coal and renewable energy</w:t>
      </w:r>
      <w:r w:rsidR="00807E3A">
        <w:rPr>
          <w:sz w:val="20"/>
          <w:szCs w:val="20"/>
        </w:rPr>
        <w:t xml:space="preserve"> [7]</w:t>
      </w:r>
      <w:r w:rsidRPr="00B46249">
        <w:rPr>
          <w:sz w:val="20"/>
          <w:szCs w:val="20"/>
        </w:rPr>
        <w:t xml:space="preserve">, coupled with a limited </w:t>
      </w:r>
      <w:r w:rsidR="00EA0F76">
        <w:rPr>
          <w:sz w:val="20"/>
          <w:szCs w:val="20"/>
        </w:rPr>
        <w:t xml:space="preserve">domestic </w:t>
      </w:r>
      <w:r w:rsidRPr="00B46249">
        <w:rPr>
          <w:sz w:val="20"/>
          <w:szCs w:val="20"/>
        </w:rPr>
        <w:t>supply of natural gas</w:t>
      </w:r>
      <w:r w:rsidR="00810481">
        <w:rPr>
          <w:sz w:val="20"/>
          <w:szCs w:val="20"/>
        </w:rPr>
        <w:t xml:space="preserve"> [8]</w:t>
      </w:r>
      <w:r w:rsidR="00EA0F76">
        <w:rPr>
          <w:sz w:val="20"/>
          <w:szCs w:val="20"/>
        </w:rPr>
        <w:t>[9]</w:t>
      </w:r>
      <w:r w:rsidRPr="00B46249">
        <w:rPr>
          <w:sz w:val="20"/>
          <w:szCs w:val="20"/>
        </w:rPr>
        <w:t xml:space="preserve">. </w:t>
      </w:r>
      <w:r w:rsidR="00CC1E8B">
        <w:rPr>
          <w:sz w:val="20"/>
          <w:szCs w:val="20"/>
        </w:rPr>
        <w:t>M</w:t>
      </w:r>
      <w:r w:rsidRPr="00B46249">
        <w:rPr>
          <w:sz w:val="20"/>
          <w:szCs w:val="20"/>
        </w:rPr>
        <w:t xml:space="preserve">aking </w:t>
      </w:r>
      <w:r w:rsidRPr="00964CCC">
        <w:rPr>
          <w:b/>
          <w:bCs/>
          <w:sz w:val="20"/>
          <w:szCs w:val="20"/>
        </w:rPr>
        <w:t>China</w:t>
      </w:r>
      <w:r w:rsidRPr="00B46249">
        <w:rPr>
          <w:sz w:val="20"/>
          <w:szCs w:val="20"/>
        </w:rPr>
        <w:t xml:space="preserve"> the </w:t>
      </w:r>
      <w:r w:rsidRPr="00964CCC">
        <w:rPr>
          <w:b/>
          <w:bCs/>
          <w:sz w:val="20"/>
          <w:szCs w:val="20"/>
        </w:rPr>
        <w:t>most near-term favorable market</w:t>
      </w:r>
      <w:r w:rsidRPr="00B46249">
        <w:rPr>
          <w:sz w:val="20"/>
          <w:szCs w:val="20"/>
        </w:rPr>
        <w:t xml:space="preserve"> for eSMR deployment from an </w:t>
      </w:r>
      <w:r w:rsidRPr="00964CCC">
        <w:rPr>
          <w:b/>
          <w:bCs/>
          <w:sz w:val="20"/>
          <w:szCs w:val="20"/>
        </w:rPr>
        <w:t>operational cost perspective</w:t>
      </w:r>
      <w:r w:rsidRPr="00B46249">
        <w:rPr>
          <w:sz w:val="20"/>
          <w:szCs w:val="20"/>
        </w:rPr>
        <w:t>.</w:t>
      </w:r>
      <w:r w:rsidR="00CC1E8B">
        <w:rPr>
          <w:sz w:val="20"/>
          <w:szCs w:val="20"/>
        </w:rPr>
        <w:t xml:space="preserve"> </w:t>
      </w:r>
      <w:r w:rsidR="00CC1E8B" w:rsidRPr="00CC1E8B">
        <w:rPr>
          <w:sz w:val="20"/>
          <w:szCs w:val="20"/>
        </w:rPr>
        <w:t xml:space="preserve">It must be acknowledged, however, that deploying an electrified process on a carbon-intensive grid </w:t>
      </w:r>
      <w:r w:rsidR="00810481">
        <w:rPr>
          <w:sz w:val="20"/>
          <w:szCs w:val="20"/>
        </w:rPr>
        <w:t>[</w:t>
      </w:r>
      <w:r w:rsidR="00EA0F76">
        <w:rPr>
          <w:sz w:val="20"/>
          <w:szCs w:val="20"/>
        </w:rPr>
        <w:t>10</w:t>
      </w:r>
      <w:r w:rsidR="00810481">
        <w:rPr>
          <w:sz w:val="20"/>
          <w:szCs w:val="20"/>
        </w:rPr>
        <w:t xml:space="preserve">] </w:t>
      </w:r>
      <w:r w:rsidR="00CC1E8B" w:rsidRPr="00CC1E8B">
        <w:rPr>
          <w:sz w:val="20"/>
          <w:szCs w:val="20"/>
        </w:rPr>
        <w:t>does not inherently improve sustainability outcomes.</w:t>
      </w:r>
    </w:p>
    <w:p w14:paraId="0E0E660F" w14:textId="77777777" w:rsidR="00E94823" w:rsidRDefault="00E94823" w:rsidP="00DD7131">
      <w:pPr>
        <w:rPr>
          <w:sz w:val="20"/>
          <w:szCs w:val="20"/>
        </w:rPr>
      </w:pPr>
    </w:p>
    <w:p w14:paraId="053C22B8" w14:textId="77777777" w:rsidR="00EC008A" w:rsidRDefault="00EC008A" w:rsidP="00DD7131">
      <w:pPr>
        <w:rPr>
          <w:sz w:val="20"/>
          <w:szCs w:val="20"/>
        </w:rPr>
      </w:pPr>
      <w:r w:rsidRPr="00EC008A">
        <w:rPr>
          <w:sz w:val="20"/>
          <w:szCs w:val="20"/>
        </w:rPr>
        <w:t>The preceding analysis has not yet accounted for the CO₂ certificate cost on NG combustion emissions, while the electricity price already incorporates the CO₂ penalty implicitly. After partially offsetting the ~150% electricity-to-NG price gap through the additional thermal losses of conventional SMR (~15%), the CO₂ penalty required to fully close the residual ~135% gap corresponds to a carbon price more than 6 times the prevailing NG price</w:t>
      </w:r>
      <w:r>
        <w:rPr>
          <w:sz w:val="20"/>
          <w:szCs w:val="20"/>
        </w:rPr>
        <w:t>:</w:t>
      </w:r>
    </w:p>
    <w:p w14:paraId="007C231C" w14:textId="32E811FB" w:rsidR="00C10A4E" w:rsidRDefault="001936CB" w:rsidP="00DD7131">
      <w:pPr>
        <w:rPr>
          <w:sz w:val="20"/>
          <w:szCs w:val="20"/>
        </w:rPr>
      </w:pPr>
      <m:oMathPara>
        <m:oMath>
          <m:r>
            <w:rPr>
              <w:rFonts w:ascii="Cambria Math" w:hAnsi="Cambria Math"/>
              <w:sz w:val="20"/>
              <w:szCs w:val="20"/>
            </w:rPr>
            <m:t>Carbon Price</m:t>
          </m:r>
          <m:d>
            <m:dPr>
              <m:begChr m:val="["/>
              <m:endChr m:val="]"/>
              <m:ctrlPr>
                <w:rPr>
                  <w:rFonts w:ascii="Cambria Math" w:eastAsiaTheme="minorHAnsi" w:hAnsi="Cambria Math" w:cstheme="minorBidi"/>
                  <w:i/>
                  <w:kern w:val="2"/>
                  <w:sz w:val="20"/>
                  <w:szCs w:val="20"/>
                  <w:lang w:eastAsia="en-US"/>
                  <w14:ligatures w14:val="standardContextual"/>
                </w:rPr>
              </m:ctrlPr>
            </m:dPr>
            <m:e>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USD C</m:t>
                  </m:r>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O</m:t>
                      </m:r>
                    </m:e>
                    <m:sub>
                      <m:r>
                        <w:rPr>
                          <w:rFonts w:ascii="Cambria Math" w:hAnsi="Cambria Math"/>
                          <w:sz w:val="20"/>
                          <w:szCs w:val="20"/>
                        </w:rPr>
                        <m:t>2</m:t>
                      </m:r>
                    </m:sub>
                  </m:sSub>
                </m:num>
                <m:den>
                  <m:r>
                    <w:rPr>
                      <w:rFonts w:ascii="Cambria Math" w:hAnsi="Cambria Math"/>
                      <w:sz w:val="20"/>
                      <w:szCs w:val="20"/>
                    </w:rPr>
                    <m:t>t C</m:t>
                  </m:r>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O</m:t>
                      </m:r>
                    </m:e>
                    <m:sub>
                      <m:r>
                        <w:rPr>
                          <w:rFonts w:ascii="Cambria Math" w:hAnsi="Cambria Math"/>
                          <w:sz w:val="20"/>
                          <w:szCs w:val="20"/>
                        </w:rPr>
                        <m:t>2</m:t>
                      </m:r>
                    </m:sub>
                  </m:sSub>
                </m:den>
              </m:f>
            </m:e>
          </m:d>
          <m:r>
            <w:rPr>
              <w:rFonts w:ascii="Cambria Math" w:hAnsi="Cambria Math"/>
              <w:sz w:val="20"/>
              <w:szCs w:val="20"/>
            </w:rPr>
            <m:t>=</m:t>
          </m:r>
          <m:r>
            <w:rPr>
              <w:rFonts w:ascii="Cambria Math" w:hAnsi="Cambria Math"/>
              <w:sz w:val="20"/>
              <w:szCs w:val="20"/>
            </w:rPr>
            <m:t>N</m:t>
          </m:r>
          <m:r>
            <w:rPr>
              <w:rFonts w:ascii="Cambria Math" w:hAnsi="Cambria Math"/>
              <w:sz w:val="20"/>
              <w:szCs w:val="20"/>
            </w:rPr>
            <m:t>G</m:t>
          </m:r>
          <m:r>
            <w:rPr>
              <w:rFonts w:ascii="Cambria Math" w:hAnsi="Cambria Math"/>
              <w:sz w:val="20"/>
              <w:szCs w:val="20"/>
            </w:rPr>
            <m:t xml:space="preserve"> Price</m:t>
          </m:r>
          <m:d>
            <m:dPr>
              <m:begChr m:val="["/>
              <m:endChr m:val="]"/>
              <m:ctrlPr>
                <w:rPr>
                  <w:rFonts w:ascii="Cambria Math" w:eastAsiaTheme="minorHAnsi" w:hAnsi="Cambria Math" w:cstheme="minorBidi"/>
                  <w:i/>
                  <w:kern w:val="2"/>
                  <w:sz w:val="20"/>
                  <w:szCs w:val="20"/>
                  <w:lang w:eastAsia="en-US"/>
                  <w14:ligatures w14:val="standardContextual"/>
                </w:rPr>
              </m:ctrlPr>
            </m:dPr>
            <m:e>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USD NG</m:t>
                  </m:r>
                </m:num>
                <m:den>
                  <m:r>
                    <w:rPr>
                      <w:rFonts w:ascii="Cambria Math" w:hAnsi="Cambria Math"/>
                      <w:sz w:val="20"/>
                      <w:szCs w:val="20"/>
                    </w:rPr>
                    <m:t>MWh NG</m:t>
                  </m:r>
                </m:den>
              </m:f>
            </m:e>
          </m:d>
          <m:r>
            <w:rPr>
              <w:rFonts w:ascii="Cambria Math" w:hAnsi="Cambria Math"/>
              <w:sz w:val="20"/>
              <w:szCs w:val="20"/>
            </w:rPr>
            <m:t>∙</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Gap</m:t>
              </m:r>
              <m:d>
                <m:dPr>
                  <m:begChr m:val="["/>
                  <m:endChr m:val="]"/>
                  <m:ctrlPr>
                    <w:rPr>
                      <w:rFonts w:ascii="Cambria Math" w:eastAsiaTheme="minorHAnsi" w:hAnsi="Cambria Math" w:cstheme="minorBidi"/>
                      <w:i/>
                      <w:kern w:val="2"/>
                      <w:sz w:val="20"/>
                      <w:szCs w:val="20"/>
                      <w:lang w:eastAsia="en-US"/>
                      <w14:ligatures w14:val="standardContextual"/>
                    </w:rPr>
                  </m:ctrlPr>
                </m:dPr>
                <m:e>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 xml:space="preserve">USD </m:t>
                      </m:r>
                      <m:r>
                        <w:rPr>
                          <w:rFonts w:ascii="Cambria Math" w:hAnsi="Cambria Math"/>
                          <w:sz w:val="20"/>
                          <w:szCs w:val="20"/>
                        </w:rPr>
                        <m:t>C</m:t>
                      </m:r>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O</m:t>
                          </m:r>
                        </m:e>
                        <m:sub>
                          <m:r>
                            <w:rPr>
                              <w:rFonts w:ascii="Cambria Math" w:hAnsi="Cambria Math"/>
                              <w:sz w:val="20"/>
                              <w:szCs w:val="20"/>
                            </w:rPr>
                            <m:t>2</m:t>
                          </m:r>
                        </m:sub>
                      </m:sSub>
                    </m:num>
                    <m:den>
                      <m:r>
                        <w:rPr>
                          <w:rFonts w:ascii="Cambria Math" w:hAnsi="Cambria Math"/>
                          <w:sz w:val="20"/>
                          <w:szCs w:val="20"/>
                        </w:rPr>
                        <m:t>USD</m:t>
                      </m:r>
                      <m:r>
                        <w:rPr>
                          <w:rFonts w:ascii="Cambria Math" w:hAnsi="Cambria Math"/>
                          <w:sz w:val="20"/>
                          <w:szCs w:val="20"/>
                        </w:rPr>
                        <m:t xml:space="preserve"> NG</m:t>
                      </m:r>
                    </m:den>
                  </m:f>
                </m:e>
              </m:d>
            </m:num>
            <m:den>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EF</m:t>
                  </m:r>
                </m:e>
                <m:sub>
                  <m:r>
                    <w:rPr>
                      <w:rFonts w:ascii="Cambria Math" w:hAnsi="Cambria Math"/>
                      <w:sz w:val="20"/>
                      <w:szCs w:val="20"/>
                    </w:rPr>
                    <m:t>NG</m:t>
                  </m:r>
                </m:sub>
              </m:sSub>
              <m:d>
                <m:dPr>
                  <m:begChr m:val="["/>
                  <m:endChr m:val="]"/>
                  <m:ctrlPr>
                    <w:rPr>
                      <w:rFonts w:ascii="Cambria Math" w:eastAsiaTheme="minorHAnsi" w:hAnsi="Cambria Math" w:cstheme="minorBidi"/>
                      <w:i/>
                      <w:kern w:val="2"/>
                      <w:sz w:val="20"/>
                      <w:szCs w:val="20"/>
                      <w:lang w:eastAsia="en-US"/>
                      <w14:ligatures w14:val="standardContextual"/>
                    </w:rPr>
                  </m:ctrlPr>
                </m:dPr>
                <m:e>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t C</m:t>
                      </m:r>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O</m:t>
                          </m:r>
                        </m:e>
                        <m:sub>
                          <m:r>
                            <w:rPr>
                              <w:rFonts w:ascii="Cambria Math" w:hAnsi="Cambria Math"/>
                              <w:sz w:val="20"/>
                              <w:szCs w:val="20"/>
                            </w:rPr>
                            <m:t>2</m:t>
                          </m:r>
                        </m:sub>
                      </m:sSub>
                    </m:num>
                    <m:den>
                      <m:r>
                        <w:rPr>
                          <w:rFonts w:ascii="Cambria Math" w:hAnsi="Cambria Math"/>
                          <w:sz w:val="20"/>
                          <w:szCs w:val="20"/>
                        </w:rPr>
                        <m:t>MWh NG</m:t>
                      </m:r>
                    </m:den>
                  </m:f>
                </m:e>
              </m:d>
            </m:den>
          </m:f>
          <m:r>
            <w:rPr>
              <w:rFonts w:ascii="Cambria Math" w:eastAsiaTheme="minorEastAsia" w:hAnsi="Cambria Math"/>
              <w:sz w:val="20"/>
              <w:szCs w:val="20"/>
            </w:rPr>
            <m:t>↔</m:t>
          </m:r>
          <m:f>
            <m:fPr>
              <m:ctrlPr>
                <w:rPr>
                  <w:rFonts w:ascii="Cambria Math" w:eastAsiaTheme="minorEastAsia" w:hAnsi="Cambria Math" w:cstheme="minorBidi"/>
                  <w:i/>
                  <w:kern w:val="2"/>
                  <w:sz w:val="20"/>
                  <w:szCs w:val="20"/>
                  <w:lang w:eastAsia="en-US"/>
                  <w14:ligatures w14:val="standardContextual"/>
                </w:rPr>
              </m:ctrlPr>
            </m:fPr>
            <m:num>
              <m:r>
                <w:rPr>
                  <w:rFonts w:ascii="Cambria Math" w:hAnsi="Cambria Math"/>
                  <w:sz w:val="20"/>
                  <w:szCs w:val="20"/>
                </w:rPr>
                <m:t>Carbon Price</m:t>
              </m:r>
            </m:num>
            <m:den>
              <m:r>
                <w:rPr>
                  <w:rFonts w:ascii="Cambria Math" w:hAnsi="Cambria Math"/>
                  <w:sz w:val="20"/>
                  <w:szCs w:val="20"/>
                </w:rPr>
                <m:t>Natural Gas Price</m:t>
              </m:r>
            </m:den>
          </m:f>
          <m:r>
            <w:rPr>
              <w:rFonts w:ascii="Cambria Math" w:eastAsiaTheme="minorEastAsia" w:hAnsi="Cambria Math"/>
              <w:sz w:val="20"/>
              <w:szCs w:val="20"/>
            </w:rPr>
            <m:t>=</m:t>
          </m:r>
          <m:f>
            <m:fPr>
              <m:ctrlPr>
                <w:rPr>
                  <w:rFonts w:ascii="Cambria Math" w:eastAsiaTheme="minorEastAsia" w:hAnsi="Cambria Math" w:cstheme="minorBidi"/>
                  <w:i/>
                  <w:kern w:val="2"/>
                  <w:sz w:val="20"/>
                  <w:szCs w:val="20"/>
                  <w:lang w:eastAsia="en-US"/>
                  <w14:ligatures w14:val="standardContextual"/>
                </w:rPr>
              </m:ctrlPr>
            </m:fPr>
            <m:num>
              <m:r>
                <w:rPr>
                  <w:rFonts w:ascii="Cambria Math" w:eastAsiaTheme="minorEastAsia" w:hAnsi="Cambria Math"/>
                  <w:sz w:val="20"/>
                  <w:szCs w:val="20"/>
                </w:rPr>
                <m:t>135%</m:t>
              </m:r>
            </m:num>
            <m:den>
              <m:r>
                <w:rPr>
                  <w:rFonts w:ascii="Cambria Math" w:eastAsiaTheme="minorEastAsia" w:hAnsi="Cambria Math"/>
                  <w:sz w:val="20"/>
                  <w:szCs w:val="20"/>
                </w:rPr>
                <m:t>0.205</m:t>
              </m:r>
            </m:den>
          </m:f>
          <m:r>
            <w:rPr>
              <w:rFonts w:ascii="Cambria Math" w:eastAsiaTheme="minorEastAsia" w:hAnsi="Cambria Math"/>
              <w:sz w:val="20"/>
              <w:szCs w:val="20"/>
            </w:rPr>
            <m:t>=6.6</m:t>
          </m:r>
        </m:oMath>
      </m:oMathPara>
    </w:p>
    <w:p w14:paraId="11E84BF1" w14:textId="77777777" w:rsidR="001936CB" w:rsidRPr="001936CB" w:rsidRDefault="001936CB" w:rsidP="001936CB">
      <w:pPr>
        <w:rPr>
          <w:sz w:val="20"/>
          <w:szCs w:val="20"/>
        </w:rPr>
      </w:pPr>
      <w:r w:rsidRPr="001936CB">
        <w:rPr>
          <w:sz w:val="20"/>
          <w:szCs w:val="20"/>
        </w:rPr>
        <w:t>Well beyond current and near-term projected EU ETS price levels, the CO₂ penalty therefore does not materially alter the conclusions drawn above.</w:t>
      </w:r>
    </w:p>
    <w:p w14:paraId="130395A5" w14:textId="77777777" w:rsidR="001936CB" w:rsidRPr="00A01C16" w:rsidRDefault="001936CB" w:rsidP="001936CB">
      <w:pPr>
        <w:rPr>
          <w:color w:val="00B0F0"/>
          <w:sz w:val="20"/>
          <w:szCs w:val="20"/>
        </w:rPr>
      </w:pPr>
      <w:r w:rsidRPr="00A01C16">
        <w:rPr>
          <w:rFonts w:eastAsiaTheme="minorEastAsia"/>
          <w:color w:val="00B0F0"/>
          <w:sz w:val="20"/>
          <w:szCs w:val="20"/>
        </w:rPr>
        <w:t>EF source: [https://www.umweltbundesamt.de/system/files/medien/479/publikationen/cc_29-2022_emission-factors-fossil-fuels.pdf]</w:t>
      </w:r>
    </w:p>
    <w:p w14:paraId="25F7DCE7" w14:textId="77777777" w:rsidR="00000212" w:rsidRDefault="00000212" w:rsidP="00DD7131">
      <w:pPr>
        <w:rPr>
          <w:sz w:val="20"/>
          <w:szCs w:val="20"/>
        </w:rPr>
      </w:pPr>
    </w:p>
    <w:p w14:paraId="6FEC80BC" w14:textId="409FBEDB" w:rsidR="00D12643" w:rsidRDefault="00AF7FF7" w:rsidP="00DD7131">
      <w:pPr>
        <w:rPr>
          <w:b/>
          <w:bCs/>
          <w:i/>
          <w:iCs/>
          <w:sz w:val="20"/>
          <w:szCs w:val="20"/>
        </w:rPr>
      </w:pPr>
      <w:r w:rsidRPr="00AF7FF7">
        <w:rPr>
          <w:b/>
          <w:bCs/>
          <w:i/>
          <w:iCs/>
          <w:sz w:val="20"/>
          <w:szCs w:val="20"/>
        </w:rPr>
        <w:t>Comparative Assessment of P</w:t>
      </w:r>
      <w:r>
        <w:rPr>
          <w:b/>
          <w:bCs/>
          <w:i/>
          <w:iCs/>
          <w:sz w:val="20"/>
          <w:szCs w:val="20"/>
        </w:rPr>
        <w:t>ost</w:t>
      </w:r>
      <w:r w:rsidRPr="00AF7FF7">
        <w:rPr>
          <w:b/>
          <w:bCs/>
          <w:i/>
          <w:iCs/>
          <w:sz w:val="20"/>
          <w:szCs w:val="20"/>
        </w:rPr>
        <w:t>-</w:t>
      </w:r>
      <w:r>
        <w:rPr>
          <w:b/>
          <w:bCs/>
          <w:i/>
          <w:iCs/>
          <w:sz w:val="20"/>
          <w:szCs w:val="20"/>
        </w:rPr>
        <w:t xml:space="preserve">, </w:t>
      </w:r>
      <w:r w:rsidRPr="00AF7FF7">
        <w:rPr>
          <w:b/>
          <w:bCs/>
          <w:i/>
          <w:iCs/>
          <w:sz w:val="20"/>
          <w:szCs w:val="20"/>
        </w:rPr>
        <w:t>P</w:t>
      </w:r>
      <w:r>
        <w:rPr>
          <w:b/>
          <w:bCs/>
          <w:i/>
          <w:iCs/>
          <w:sz w:val="20"/>
          <w:szCs w:val="20"/>
        </w:rPr>
        <w:t xml:space="preserve">re- and Oxyfuel </w:t>
      </w:r>
      <w:r w:rsidRPr="00AF7FF7">
        <w:rPr>
          <w:b/>
          <w:bCs/>
          <w:i/>
          <w:iCs/>
          <w:sz w:val="20"/>
          <w:szCs w:val="20"/>
        </w:rPr>
        <w:t>Combustion</w:t>
      </w:r>
      <w:r>
        <w:rPr>
          <w:b/>
          <w:bCs/>
          <w:i/>
          <w:iCs/>
          <w:sz w:val="20"/>
          <w:szCs w:val="20"/>
        </w:rPr>
        <w:t xml:space="preserve"> </w:t>
      </w:r>
      <w:r w:rsidRPr="00AF7FF7">
        <w:rPr>
          <w:b/>
          <w:bCs/>
          <w:i/>
          <w:iCs/>
          <w:sz w:val="20"/>
          <w:szCs w:val="20"/>
        </w:rPr>
        <w:t xml:space="preserve">CO₂ </w:t>
      </w:r>
      <w:r>
        <w:rPr>
          <w:b/>
          <w:bCs/>
          <w:i/>
          <w:iCs/>
          <w:sz w:val="20"/>
          <w:szCs w:val="20"/>
        </w:rPr>
        <w:t>Capture</w:t>
      </w:r>
    </w:p>
    <w:p w14:paraId="6B443BC7" w14:textId="10EE06D1" w:rsidR="000053AA" w:rsidRPr="000053AA" w:rsidRDefault="000053AA" w:rsidP="000053AA">
      <w:pPr>
        <w:rPr>
          <w:sz w:val="20"/>
          <w:szCs w:val="20"/>
        </w:rPr>
      </w:pPr>
      <w:r w:rsidRPr="000053AA">
        <w:rPr>
          <w:sz w:val="20"/>
          <w:szCs w:val="20"/>
        </w:rPr>
        <w:t xml:space="preserve">Since eSMR produces near-zero direct CO₂ emissions, a fair comparison requires an equally low-carbon reference </w:t>
      </w:r>
      <w:r>
        <w:rPr>
          <w:sz w:val="20"/>
          <w:szCs w:val="20"/>
        </w:rPr>
        <w:t>–</w:t>
      </w:r>
      <w:r w:rsidRPr="000053AA">
        <w:rPr>
          <w:sz w:val="20"/>
          <w:szCs w:val="20"/>
        </w:rPr>
        <w:t xml:space="preserve"> namely, conventional SMR equipped with flue gas carbon capture.</w:t>
      </w:r>
    </w:p>
    <w:p w14:paraId="475BF77C" w14:textId="4DDBAE05" w:rsidR="00DD7131" w:rsidRPr="00A84BD4" w:rsidRDefault="00DD7131" w:rsidP="00DD7131">
      <w:pPr>
        <w:rPr>
          <w:rFonts w:eastAsiaTheme="minorEastAsia"/>
          <w:sz w:val="20"/>
          <w:szCs w:val="20"/>
        </w:rPr>
      </w:pPr>
      <w:r w:rsidRPr="00DD7131">
        <w:rPr>
          <w:sz w:val="20"/>
          <w:szCs w:val="20"/>
        </w:rPr>
        <w:t>In th</w:t>
      </w:r>
      <w:r w:rsidR="000053AA">
        <w:rPr>
          <w:sz w:val="20"/>
          <w:szCs w:val="20"/>
        </w:rPr>
        <w:t>e eSMR process</w:t>
      </w:r>
      <w:r w:rsidRPr="00DD7131">
        <w:rPr>
          <w:sz w:val="20"/>
          <w:szCs w:val="20"/>
        </w:rPr>
        <w:t>, carbon is removed from a CO₂-rich stream downstream of the shift reactor</w:t>
      </w:r>
      <w:r w:rsidR="00D12643">
        <w:rPr>
          <w:sz w:val="20"/>
          <w:szCs w:val="20"/>
        </w:rPr>
        <w:t xml:space="preserve"> </w:t>
      </w:r>
      <w:r w:rsidR="00A26D0E">
        <w:rPr>
          <w:sz w:val="20"/>
          <w:szCs w:val="20"/>
        </w:rPr>
        <w:t xml:space="preserve">at </w:t>
      </w:r>
      <w:r w:rsidR="00A26D0E" w:rsidRPr="00A26D0E">
        <w:rPr>
          <w:b/>
          <w:bCs/>
          <w:sz w:val="20"/>
          <w:szCs w:val="20"/>
        </w:rPr>
        <w:t xml:space="preserve">high pressures </w:t>
      </w:r>
      <w:r w:rsidR="00A26D0E">
        <w:rPr>
          <w:sz w:val="20"/>
          <w:szCs w:val="20"/>
        </w:rPr>
        <w:t>(</w:t>
      </w:r>
      <w:r w:rsidR="00A26D0E">
        <w:rPr>
          <w:sz w:val="20"/>
          <w:szCs w:val="20"/>
        </w:rPr>
        <w:t>pre-combustion capture)</w:t>
      </w:r>
      <w:r w:rsidRPr="00DD7131">
        <w:rPr>
          <w:sz w:val="20"/>
          <w:szCs w:val="20"/>
        </w:rPr>
        <w:t xml:space="preserve">. </w:t>
      </w:r>
      <w:r w:rsidR="00525586">
        <w:rPr>
          <w:sz w:val="20"/>
          <w:szCs w:val="20"/>
        </w:rPr>
        <w:t>A</w:t>
      </w:r>
      <w:r w:rsidRPr="00DD7131">
        <w:rPr>
          <w:sz w:val="20"/>
          <w:szCs w:val="20"/>
        </w:rPr>
        <w:t xml:space="preserve">ssuming complete conversion in both the reformer and shift reactor, the maximum achievable </w:t>
      </w:r>
      <w:r w:rsidRPr="00964CCC">
        <w:rPr>
          <w:b/>
          <w:bCs/>
          <w:sz w:val="20"/>
          <w:szCs w:val="20"/>
        </w:rPr>
        <w:t xml:space="preserve">CO₂ content </w:t>
      </w:r>
      <w:r w:rsidRPr="00964CCC">
        <w:rPr>
          <w:sz w:val="20"/>
          <w:szCs w:val="20"/>
        </w:rPr>
        <w:t>is</w:t>
      </w:r>
      <w:r w:rsidRPr="00964CCC">
        <w:rPr>
          <w:b/>
          <w:bCs/>
          <w:sz w:val="20"/>
          <w:szCs w:val="20"/>
        </w:rPr>
        <w:t xml:space="preserve"> 20%</w:t>
      </w:r>
      <w:r w:rsidRPr="00DD7131">
        <w:rPr>
          <w:sz w:val="20"/>
          <w:szCs w:val="20"/>
        </w:rPr>
        <w:t>, as dictated by the combined SMR and WGS stoichiometry:</w:t>
      </w:r>
      <w:r w:rsidRPr="00DD7131">
        <w:rPr>
          <w:sz w:val="20"/>
          <w:szCs w:val="20"/>
        </w:rPr>
        <w:br/>
      </w:r>
      <m:oMathPara>
        <m:oMath>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4</m:t>
              </m:r>
            </m:sub>
          </m:sSub>
          <m:r>
            <w:rPr>
              <w:rFonts w:ascii="Cambria Math" w:hAnsi="Cambria Math"/>
              <w:sz w:val="20"/>
              <w:szCs w:val="20"/>
            </w:rPr>
            <m:t xml:space="preserve">+2 </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2</m:t>
              </m:r>
            </m:sub>
          </m:sSub>
          <m:r>
            <w:rPr>
              <w:rFonts w:ascii="Cambria Math" w:hAnsi="Cambria Math"/>
              <w:sz w:val="20"/>
              <w:szCs w:val="20"/>
            </w:rPr>
            <m:t>O→C</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 xml:space="preserve">+4 </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2</m:t>
              </m:r>
            </m:sub>
          </m:sSub>
        </m:oMath>
      </m:oMathPara>
    </w:p>
    <w:p w14:paraId="5EFB92B8" w14:textId="315492AD" w:rsidR="00A84BD4" w:rsidRPr="00DD7131" w:rsidRDefault="00A84BD4" w:rsidP="00DD7131">
      <w:pPr>
        <w:rPr>
          <w:sz w:val="20"/>
          <w:szCs w:val="20"/>
        </w:rPr>
      </w:pPr>
      <m:oMathPara>
        <m:oMath>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x</m:t>
              </m:r>
            </m:e>
            <m: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,max</m:t>
              </m:r>
            </m:sub>
          </m:sSub>
          <m:r>
            <w:rPr>
              <w:rFonts w:ascii="Cambria Math" w:hAnsi="Cambria Math"/>
              <w:sz w:val="20"/>
              <w:szCs w:val="20"/>
            </w:rPr>
            <m:t>=</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1</m:t>
              </m:r>
            </m:num>
            <m:den>
              <m:r>
                <w:rPr>
                  <w:rFonts w:ascii="Cambria Math" w:hAnsi="Cambria Math"/>
                  <w:sz w:val="20"/>
                  <w:szCs w:val="20"/>
                </w:rPr>
                <m:t>1+</m:t>
              </m:r>
              <m:r>
                <w:rPr>
                  <w:rFonts w:ascii="Cambria Math" w:hAnsi="Cambria Math"/>
                  <w:sz w:val="20"/>
                  <w:szCs w:val="20"/>
                </w:rPr>
                <m:t>4</m:t>
              </m:r>
            </m:den>
          </m:f>
          <m:r>
            <w:rPr>
              <w:rFonts w:ascii="Cambria Math" w:hAnsi="Cambria Math"/>
              <w:sz w:val="20"/>
              <w:szCs w:val="20"/>
            </w:rPr>
            <m:t>=20%</m:t>
          </m:r>
        </m:oMath>
      </m:oMathPara>
    </w:p>
    <w:p w14:paraId="0488582B" w14:textId="21899D86" w:rsidR="00DD2441" w:rsidRDefault="00DD2441" w:rsidP="00DD7131">
      <w:pPr>
        <w:rPr>
          <w:sz w:val="20"/>
          <w:szCs w:val="20"/>
        </w:rPr>
      </w:pPr>
      <w:r>
        <w:rPr>
          <w:sz w:val="20"/>
          <w:szCs w:val="20"/>
        </w:rPr>
        <w:t xml:space="preserve">Although </w:t>
      </w:r>
      <w:r w:rsidR="00525586">
        <w:rPr>
          <w:sz w:val="20"/>
          <w:szCs w:val="20"/>
        </w:rPr>
        <w:t>the</w:t>
      </w:r>
      <w:r>
        <w:rPr>
          <w:sz w:val="20"/>
          <w:szCs w:val="20"/>
        </w:rPr>
        <w:t xml:space="preserve"> </w:t>
      </w:r>
      <w:r w:rsidRPr="00E73259">
        <w:rPr>
          <w:sz w:val="20"/>
          <w:szCs w:val="20"/>
        </w:rPr>
        <w:t>CO₂ content</w:t>
      </w:r>
      <w:r w:rsidRPr="00DD7131">
        <w:rPr>
          <w:sz w:val="20"/>
          <w:szCs w:val="20"/>
        </w:rPr>
        <w:t xml:space="preserve"> </w:t>
      </w:r>
      <w:r>
        <w:rPr>
          <w:sz w:val="20"/>
          <w:szCs w:val="20"/>
        </w:rPr>
        <w:t>of a stoichiometric CH</w:t>
      </w:r>
      <w:r w:rsidRPr="008559F9">
        <w:rPr>
          <w:sz w:val="20"/>
          <w:szCs w:val="20"/>
          <w:vertAlign w:val="subscript"/>
        </w:rPr>
        <w:t>4</w:t>
      </w:r>
      <w:r>
        <w:rPr>
          <w:sz w:val="20"/>
          <w:szCs w:val="20"/>
        </w:rPr>
        <w:t xml:space="preserve"> combustion flue gas</w:t>
      </w:r>
      <w:r w:rsidR="00525586">
        <w:rPr>
          <w:sz w:val="20"/>
          <w:szCs w:val="20"/>
        </w:rPr>
        <w:t xml:space="preserve"> </w:t>
      </w:r>
      <w:r>
        <w:rPr>
          <w:sz w:val="20"/>
          <w:szCs w:val="20"/>
        </w:rPr>
        <w:t xml:space="preserve">of </w:t>
      </w:r>
      <w:r w:rsidR="00525586" w:rsidRPr="00DD2441">
        <w:rPr>
          <w:sz w:val="20"/>
          <w:szCs w:val="20"/>
        </w:rPr>
        <w:t xml:space="preserve">maximal </w:t>
      </w:r>
      <w:r w:rsidR="00A84BD4" w:rsidRPr="00DD2441">
        <w:rPr>
          <w:sz w:val="20"/>
          <w:szCs w:val="20"/>
        </w:rPr>
        <w:t>~</w:t>
      </w:r>
      <w:r w:rsidR="00525586" w:rsidRPr="00DD2441">
        <w:rPr>
          <w:sz w:val="20"/>
          <w:szCs w:val="20"/>
        </w:rPr>
        <w:t>1</w:t>
      </w:r>
      <w:r w:rsidR="00A84BD4" w:rsidRPr="00DD2441">
        <w:rPr>
          <w:sz w:val="20"/>
          <w:szCs w:val="20"/>
        </w:rPr>
        <w:t>2</w:t>
      </w:r>
      <w:r w:rsidR="00525586" w:rsidRPr="00DD2441">
        <w:rPr>
          <w:sz w:val="20"/>
          <w:szCs w:val="20"/>
        </w:rPr>
        <w:t>%</w:t>
      </w:r>
      <w:r w:rsidRPr="00DD2441">
        <w:rPr>
          <w:sz w:val="20"/>
          <w:szCs w:val="20"/>
        </w:rPr>
        <w:t xml:space="preserve"> </w:t>
      </w:r>
      <w:r w:rsidRPr="00DD2441">
        <w:rPr>
          <w:sz w:val="20"/>
          <w:szCs w:val="20"/>
        </w:rPr>
        <w:t>is</w:t>
      </w:r>
      <w:r>
        <w:rPr>
          <w:sz w:val="20"/>
          <w:szCs w:val="20"/>
        </w:rPr>
        <w:t xml:space="preserve"> notably lower</w:t>
      </w:r>
      <w:r>
        <w:rPr>
          <w:sz w:val="20"/>
          <w:szCs w:val="20"/>
        </w:rPr>
        <w:t>,</w:t>
      </w:r>
    </w:p>
    <w:p w14:paraId="55EB15F2" w14:textId="77777777" w:rsidR="00DD2441" w:rsidRPr="00A84BD4" w:rsidRDefault="00DD2441" w:rsidP="00DD2441">
      <w:pPr>
        <w:rPr>
          <w:rFonts w:eastAsiaTheme="minorEastAsia"/>
          <w:sz w:val="20"/>
          <w:szCs w:val="20"/>
        </w:rPr>
      </w:pPr>
      <m:oMathPara>
        <m:oMath>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4</m:t>
              </m:r>
            </m:sub>
          </m:sSub>
          <m:r>
            <w:rPr>
              <w:rFonts w:ascii="Cambria Math" w:hAnsi="Cambria Math"/>
              <w:sz w:val="20"/>
              <w:szCs w:val="20"/>
            </w:rPr>
            <m:t xml:space="preserve">+2 </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+2∙</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0.79</m:t>
              </m:r>
            </m:num>
            <m:den>
              <m:r>
                <w:rPr>
                  <w:rFonts w:ascii="Cambria Math" w:hAnsi="Cambria Math"/>
                  <w:sz w:val="20"/>
                  <w:szCs w:val="20"/>
                </w:rPr>
                <m:t>0.21</m:t>
              </m:r>
            </m:den>
          </m:f>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m:t>
              </m:r>
            </m:sub>
          </m:s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 xml:space="preserve">+2 </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2</m:t>
              </m:r>
            </m:sub>
          </m:sSub>
          <m:r>
            <w:rPr>
              <w:rFonts w:ascii="Cambria Math" w:hAnsi="Cambria Math"/>
              <w:sz w:val="20"/>
              <w:szCs w:val="20"/>
            </w:rPr>
            <m:t>O+7.52</m:t>
          </m:r>
          <m:sSub>
            <m:sSubPr>
              <m:ctrlPr>
                <w:rPr>
                  <w:rFonts w:ascii="Cambria Math" w:hAnsi="Cambria Math"/>
                  <w:i/>
                  <w:sz w:val="20"/>
                  <w:szCs w:val="20"/>
                </w:rPr>
              </m:ctrlPr>
            </m:sSubPr>
            <m:e>
              <m:r>
                <w:rPr>
                  <w:rFonts w:ascii="Cambria Math" w:hAnsi="Cambria Math"/>
                  <w:sz w:val="20"/>
                  <w:szCs w:val="20"/>
                </w:rPr>
                <m:t xml:space="preserve"> N</m:t>
              </m:r>
            </m:e>
            <m:sub>
              <m:r>
                <w:rPr>
                  <w:rFonts w:ascii="Cambria Math" w:hAnsi="Cambria Math"/>
                  <w:sz w:val="20"/>
                  <w:szCs w:val="20"/>
                </w:rPr>
                <m:t>2</m:t>
              </m:r>
            </m:sub>
          </m:sSub>
        </m:oMath>
      </m:oMathPara>
    </w:p>
    <w:p w14:paraId="2B063D0C" w14:textId="5F7495D8" w:rsidR="00DD2441" w:rsidRDefault="00DD2441" w:rsidP="00DD7131">
      <w:pPr>
        <w:rPr>
          <w:sz w:val="20"/>
          <w:szCs w:val="20"/>
        </w:rPr>
      </w:pPr>
      <m:oMathPara>
        <m:oMath>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x</m:t>
              </m:r>
            </m:e>
            <m: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,max</m:t>
              </m:r>
            </m:sub>
          </m:sSub>
          <m:r>
            <w:rPr>
              <w:rFonts w:ascii="Cambria Math" w:hAnsi="Cambria Math"/>
              <w:sz w:val="20"/>
              <w:szCs w:val="20"/>
            </w:rPr>
            <m:t>=</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1</m:t>
              </m:r>
            </m:num>
            <m:den>
              <m:r>
                <w:rPr>
                  <w:rFonts w:ascii="Cambria Math" w:hAnsi="Cambria Math"/>
                  <w:sz w:val="20"/>
                  <w:szCs w:val="20"/>
                </w:rPr>
                <m:t>1+7.52</m:t>
              </m:r>
            </m:den>
          </m:f>
          <m:r>
            <w:rPr>
              <w:rFonts w:ascii="Cambria Math" w:eastAsiaTheme="minorEastAsia" w:hAnsi="Cambria Math"/>
              <w:sz w:val="20"/>
              <w:szCs w:val="20"/>
            </w:rPr>
            <m:t>=11.7%</m:t>
          </m:r>
        </m:oMath>
      </m:oMathPara>
    </w:p>
    <w:p w14:paraId="55B2F0A4" w14:textId="5A97DC19" w:rsidR="00C3381C" w:rsidRDefault="00DD2441" w:rsidP="00DD7131">
      <w:pPr>
        <w:rPr>
          <w:sz w:val="20"/>
          <w:szCs w:val="20"/>
        </w:rPr>
      </w:pPr>
      <w:r w:rsidRPr="00DD2441">
        <w:rPr>
          <w:sz w:val="20"/>
          <w:szCs w:val="20"/>
        </w:rPr>
        <w:t>the</w:t>
      </w:r>
      <w:r>
        <w:rPr>
          <w:sz w:val="20"/>
          <w:szCs w:val="20"/>
        </w:rPr>
        <w:t xml:space="preserve"> stoichiometric process emissions are also included due to PSA off-gas combustion.</w:t>
      </w:r>
      <w:r w:rsidR="00A222E2">
        <w:rPr>
          <w:sz w:val="20"/>
          <w:szCs w:val="20"/>
        </w:rPr>
        <w:t xml:space="preserve">This leads to </w:t>
      </w:r>
      <w:r w:rsidR="00A222E2" w:rsidRPr="0029376A">
        <w:rPr>
          <w:b/>
          <w:bCs/>
          <w:sz w:val="20"/>
          <w:szCs w:val="20"/>
        </w:rPr>
        <w:t xml:space="preserve">CO₂ </w:t>
      </w:r>
      <w:r w:rsidR="00A222E2" w:rsidRPr="0029376A">
        <w:rPr>
          <w:b/>
          <w:bCs/>
          <w:sz w:val="20"/>
          <w:szCs w:val="20"/>
        </w:rPr>
        <w:t>concentrations</w:t>
      </w:r>
      <w:r w:rsidR="00A222E2" w:rsidRPr="0029376A">
        <w:rPr>
          <w:b/>
          <w:bCs/>
          <w:sz w:val="20"/>
          <w:szCs w:val="20"/>
        </w:rPr>
        <w:t xml:space="preserve"> </w:t>
      </w:r>
      <w:r w:rsidR="00A222E2">
        <w:rPr>
          <w:sz w:val="20"/>
          <w:szCs w:val="20"/>
        </w:rPr>
        <w:t xml:space="preserve">of e.g. </w:t>
      </w:r>
      <w:r w:rsidR="00A222E2" w:rsidRPr="0029376A">
        <w:rPr>
          <w:b/>
          <w:bCs/>
          <w:sz w:val="20"/>
          <w:szCs w:val="20"/>
        </w:rPr>
        <w:t>21%</w:t>
      </w:r>
      <w:r w:rsidR="00A222E2">
        <w:rPr>
          <w:sz w:val="20"/>
          <w:szCs w:val="20"/>
        </w:rPr>
        <w:t xml:space="preserve"> [11] at</w:t>
      </w:r>
      <w:r w:rsidR="00A26D0E">
        <w:rPr>
          <w:sz w:val="20"/>
          <w:szCs w:val="20"/>
        </w:rPr>
        <w:t xml:space="preserve"> </w:t>
      </w:r>
      <w:r w:rsidR="00A26D0E" w:rsidRPr="00A26D0E">
        <w:rPr>
          <w:b/>
          <w:bCs/>
          <w:sz w:val="20"/>
          <w:szCs w:val="20"/>
        </w:rPr>
        <w:t>atmospheric pressure</w:t>
      </w:r>
      <w:r w:rsidR="00D12643">
        <w:rPr>
          <w:sz w:val="20"/>
          <w:szCs w:val="20"/>
        </w:rPr>
        <w:t xml:space="preserve"> (post-combustion capture)</w:t>
      </w:r>
      <w:r w:rsidR="00C3381C">
        <w:rPr>
          <w:sz w:val="20"/>
          <w:szCs w:val="20"/>
        </w:rPr>
        <w:t>:</w:t>
      </w:r>
    </w:p>
    <w:p w14:paraId="530FD0E1" w14:textId="0D02B913" w:rsidR="00E73259" w:rsidRDefault="006B63ED" w:rsidP="00DD7131">
      <w:pPr>
        <w:rPr>
          <w:sz w:val="20"/>
          <w:szCs w:val="20"/>
        </w:rPr>
      </w:pPr>
      <w:r>
        <w:rPr>
          <w:sz w:val="20"/>
          <w:szCs w:val="20"/>
        </w:rPr>
        <w:t>From the associated CO</w:t>
      </w:r>
      <w:r w:rsidRPr="006B63ED">
        <w:rPr>
          <w:sz w:val="20"/>
          <w:szCs w:val="20"/>
          <w:vertAlign w:val="subscript"/>
        </w:rPr>
        <w:t>2</w:t>
      </w:r>
      <w:r>
        <w:rPr>
          <w:sz w:val="20"/>
          <w:szCs w:val="20"/>
        </w:rPr>
        <w:t xml:space="preserve"> partial pressures</w:t>
      </w:r>
      <w:r w:rsidR="00DD7131" w:rsidRPr="00DD7131">
        <w:rPr>
          <w:sz w:val="20"/>
          <w:szCs w:val="20"/>
        </w:rPr>
        <w:t xml:space="preserve"> follows that </w:t>
      </w:r>
      <w:r w:rsidR="00DD7131" w:rsidRPr="00964CCC">
        <w:rPr>
          <w:b/>
          <w:bCs/>
          <w:sz w:val="20"/>
          <w:szCs w:val="20"/>
        </w:rPr>
        <w:t>carbon capture integrated into the eSMR</w:t>
      </w:r>
      <w:r w:rsidR="00DD7131" w:rsidRPr="00DD7131">
        <w:rPr>
          <w:sz w:val="20"/>
          <w:szCs w:val="20"/>
        </w:rPr>
        <w:t xml:space="preserve"> concept is associated with </w:t>
      </w:r>
      <w:r w:rsidR="008559F9" w:rsidRPr="00964CCC">
        <w:rPr>
          <w:b/>
          <w:bCs/>
          <w:sz w:val="20"/>
          <w:szCs w:val="20"/>
        </w:rPr>
        <w:t>lower</w:t>
      </w:r>
      <w:r w:rsidR="00E73259">
        <w:rPr>
          <w:b/>
          <w:bCs/>
          <w:sz w:val="20"/>
          <w:szCs w:val="20"/>
        </w:rPr>
        <w:t xml:space="preserve"> energetic</w:t>
      </w:r>
      <w:r w:rsidR="00DD7131" w:rsidRPr="00964CCC">
        <w:rPr>
          <w:b/>
          <w:bCs/>
          <w:sz w:val="20"/>
          <w:szCs w:val="20"/>
        </w:rPr>
        <w:t xml:space="preserve"> effort and </w:t>
      </w:r>
      <w:r w:rsidR="00B5363C" w:rsidRPr="00964CCC">
        <w:rPr>
          <w:b/>
          <w:bCs/>
          <w:sz w:val="20"/>
          <w:szCs w:val="20"/>
        </w:rPr>
        <w:t xml:space="preserve">thus </w:t>
      </w:r>
      <w:r w:rsidR="00DD7131" w:rsidRPr="00964CCC">
        <w:rPr>
          <w:b/>
          <w:bCs/>
          <w:sz w:val="20"/>
          <w:szCs w:val="20"/>
        </w:rPr>
        <w:t>cost</w:t>
      </w:r>
      <w:r w:rsidR="00DD7131" w:rsidRPr="00DD7131">
        <w:rPr>
          <w:sz w:val="20"/>
          <w:szCs w:val="20"/>
        </w:rPr>
        <w:t xml:space="preserve"> </w:t>
      </w:r>
      <w:r w:rsidR="008559F9">
        <w:rPr>
          <w:sz w:val="20"/>
          <w:szCs w:val="20"/>
        </w:rPr>
        <w:t>than</w:t>
      </w:r>
      <w:r w:rsidR="00DD7131" w:rsidRPr="00DD7131">
        <w:rPr>
          <w:sz w:val="20"/>
          <w:szCs w:val="20"/>
        </w:rPr>
        <w:t xml:space="preserve"> flue gas carbon capture</w:t>
      </w:r>
      <w:r w:rsidR="00A43055">
        <w:rPr>
          <w:sz w:val="20"/>
          <w:szCs w:val="20"/>
        </w:rPr>
        <w:t xml:space="preserve">. </w:t>
      </w:r>
      <w:r w:rsidR="00E73259">
        <w:rPr>
          <w:sz w:val="20"/>
          <w:szCs w:val="20"/>
        </w:rPr>
        <w:t>P</w:t>
      </w:r>
      <w:r w:rsidR="00E73259" w:rsidRPr="00E73259">
        <w:rPr>
          <w:sz w:val="20"/>
          <w:szCs w:val="20"/>
        </w:rPr>
        <w:t>rimarily due to the reduced absolute quantity of CO₂ requiring separation, but also owing to enhanced absorption efficiency at higher partial pressures.</w:t>
      </w:r>
    </w:p>
    <w:p w14:paraId="3798AFE5" w14:textId="7DFB1A6E" w:rsidR="00E73259" w:rsidRDefault="00E73259" w:rsidP="00DD7131">
      <w:pPr>
        <w:rPr>
          <w:sz w:val="20"/>
          <w:szCs w:val="20"/>
        </w:rPr>
      </w:pPr>
      <w:r w:rsidRPr="00E73259">
        <w:rPr>
          <w:sz w:val="20"/>
          <w:szCs w:val="20"/>
        </w:rPr>
        <w:t>Based on the energy balance derived from a techno-economic evaluation of post- and pre-combustion CO₂ capture</w:t>
      </w:r>
      <w:r>
        <w:rPr>
          <w:sz w:val="20"/>
          <w:szCs w:val="20"/>
        </w:rPr>
        <w:t xml:space="preserve"> [11]</w:t>
      </w:r>
      <w:r w:rsidRPr="00E73259">
        <w:rPr>
          <w:sz w:val="20"/>
          <w:szCs w:val="20"/>
        </w:rPr>
        <w:t xml:space="preserve">, it can be concluded that the higher costs associated with post-combustion capture </w:t>
      </w:r>
      <w:r w:rsidRPr="00E73259">
        <w:rPr>
          <w:b/>
          <w:bCs/>
          <w:sz w:val="20"/>
          <w:szCs w:val="20"/>
        </w:rPr>
        <w:t>narrow the cost gap by 11%</w:t>
      </w:r>
      <w:r w:rsidRPr="00E73259">
        <w:rPr>
          <w:sz w:val="20"/>
          <w:szCs w:val="20"/>
        </w:rPr>
        <w:t xml:space="preserve"> (see Appendix</w:t>
      </w:r>
      <w:r w:rsidR="005A268B">
        <w:rPr>
          <w:sz w:val="20"/>
          <w:szCs w:val="20"/>
        </w:rPr>
        <w:t xml:space="preserve"> 1</w:t>
      </w:r>
      <w:r w:rsidRPr="00E73259">
        <w:rPr>
          <w:sz w:val="20"/>
          <w:szCs w:val="20"/>
        </w:rPr>
        <w:t>).</w:t>
      </w:r>
      <w:r>
        <w:rPr>
          <w:sz w:val="20"/>
          <w:szCs w:val="20"/>
        </w:rPr>
        <w:t xml:space="preserve"> </w:t>
      </w:r>
      <w:r w:rsidRPr="00E73259">
        <w:rPr>
          <w:sz w:val="20"/>
          <w:szCs w:val="20"/>
        </w:rPr>
        <w:t xml:space="preserve">As the evaluated pre-combustion case operates at 25 bar </w:t>
      </w:r>
      <w:r>
        <w:rPr>
          <w:sz w:val="20"/>
          <w:szCs w:val="20"/>
        </w:rPr>
        <w:t xml:space="preserve">– </w:t>
      </w:r>
      <w:r w:rsidRPr="00E73259">
        <w:rPr>
          <w:sz w:val="20"/>
          <w:szCs w:val="20"/>
        </w:rPr>
        <w:t>below</w:t>
      </w:r>
      <w:r>
        <w:rPr>
          <w:sz w:val="20"/>
          <w:szCs w:val="20"/>
        </w:rPr>
        <w:t xml:space="preserve"> </w:t>
      </w:r>
      <w:r w:rsidRPr="00E73259">
        <w:rPr>
          <w:sz w:val="20"/>
          <w:szCs w:val="20"/>
        </w:rPr>
        <w:t xml:space="preserve">the feasible pressure range of the OCMC concept </w:t>
      </w:r>
      <w:r>
        <w:rPr>
          <w:sz w:val="20"/>
          <w:szCs w:val="20"/>
        </w:rPr>
        <w:t>–</w:t>
      </w:r>
      <w:r w:rsidRPr="00E73259">
        <w:rPr>
          <w:sz w:val="20"/>
          <w:szCs w:val="20"/>
        </w:rPr>
        <w:t xml:space="preserve"> its thermodynamic efficiency is reduced</w:t>
      </w:r>
      <w:r>
        <w:rPr>
          <w:sz w:val="20"/>
          <w:szCs w:val="20"/>
        </w:rPr>
        <w:t>, but e</w:t>
      </w:r>
      <w:r w:rsidRPr="00E73259">
        <w:rPr>
          <w:sz w:val="20"/>
          <w:szCs w:val="20"/>
        </w:rPr>
        <w:t>ven under the idealized borderline case</w:t>
      </w:r>
      <w:r>
        <w:rPr>
          <w:sz w:val="20"/>
          <w:szCs w:val="20"/>
        </w:rPr>
        <w:t xml:space="preserve"> (pre-combustion capturing costs of 0)</w:t>
      </w:r>
      <w:r w:rsidRPr="00E73259">
        <w:rPr>
          <w:sz w:val="20"/>
          <w:szCs w:val="20"/>
        </w:rPr>
        <w:t xml:space="preserve">, the resulting </w:t>
      </w:r>
      <w:r w:rsidR="00845AAC">
        <w:rPr>
          <w:sz w:val="20"/>
          <w:szCs w:val="20"/>
        </w:rPr>
        <w:t>25</w:t>
      </w:r>
      <w:r w:rsidRPr="00E73259">
        <w:rPr>
          <w:sz w:val="20"/>
          <w:szCs w:val="20"/>
        </w:rPr>
        <w:t>% differential remains insufficient to close the gap between electricity and natural gas costs.</w:t>
      </w:r>
    </w:p>
    <w:p w14:paraId="00B65107" w14:textId="77777777" w:rsidR="008D199F" w:rsidRDefault="008D199F" w:rsidP="00DD7131">
      <w:pPr>
        <w:rPr>
          <w:sz w:val="20"/>
          <w:szCs w:val="20"/>
        </w:rPr>
      </w:pPr>
    </w:p>
    <w:p w14:paraId="055DF3F5" w14:textId="401680AC" w:rsidR="00AF7FF7" w:rsidRDefault="00AF7FF7" w:rsidP="00DD7131">
      <w:pPr>
        <w:rPr>
          <w:sz w:val="20"/>
          <w:szCs w:val="20"/>
        </w:rPr>
      </w:pPr>
      <w:r w:rsidRPr="00AF7FF7">
        <w:rPr>
          <w:sz w:val="20"/>
          <w:szCs w:val="20"/>
        </w:rPr>
        <w:t xml:space="preserve">The CO₂ loading capacity of chemical and physical absorption solvents intersects at approximately 10 bar CO₂ partial pressure </w:t>
      </w:r>
      <w:r>
        <w:rPr>
          <w:sz w:val="20"/>
          <w:szCs w:val="20"/>
        </w:rPr>
        <w:t>–</w:t>
      </w:r>
      <w:r w:rsidRPr="00AF7FF7">
        <w:rPr>
          <w:sz w:val="20"/>
          <w:szCs w:val="20"/>
        </w:rPr>
        <w:t xml:space="preserve"> the primary thermodynamic driver for capture efficiency. Below this threshold, chemical absorption is generally preferred, while physical absorption becomes more favorable at system pressures above ~50 bar</w:t>
      </w:r>
      <w:r w:rsidR="004B0D83">
        <w:rPr>
          <w:sz w:val="20"/>
          <w:szCs w:val="20"/>
        </w:rPr>
        <w:t xml:space="preserve"> (</w:t>
      </w:r>
      <w:r w:rsidR="00B91A17">
        <w:rPr>
          <w:sz w:val="20"/>
          <w:szCs w:val="20"/>
        </w:rPr>
        <w:t>in case</w:t>
      </w:r>
      <w:r w:rsidR="004B0D83">
        <w:rPr>
          <w:sz w:val="20"/>
          <w:szCs w:val="20"/>
        </w:rPr>
        <w:t xml:space="preserve"> of 20% CO</w:t>
      </w:r>
      <w:r w:rsidR="004B0D83">
        <w:rPr>
          <w:sz w:val="20"/>
          <w:szCs w:val="20"/>
          <w:vertAlign w:val="subscript"/>
        </w:rPr>
        <w:t>2</w:t>
      </w:r>
      <w:r w:rsidR="004B0D83">
        <w:rPr>
          <w:sz w:val="20"/>
          <w:szCs w:val="20"/>
        </w:rPr>
        <w:t xml:space="preserve"> content). </w:t>
      </w:r>
      <w:r w:rsidRPr="00AF7FF7">
        <w:rPr>
          <w:sz w:val="20"/>
          <w:szCs w:val="20"/>
        </w:rPr>
        <w:t>Only beyond this threshold do differing capture methods warrant consideration in a techno-economic comparison.</w:t>
      </w:r>
    </w:p>
    <w:p w14:paraId="16BD92EA" w14:textId="77777777" w:rsidR="004D7172" w:rsidRDefault="004D7172" w:rsidP="00DD7131">
      <w:pPr>
        <w:rPr>
          <w:sz w:val="20"/>
          <w:szCs w:val="20"/>
        </w:rPr>
      </w:pPr>
    </w:p>
    <w:p w14:paraId="39A17B69" w14:textId="77777777" w:rsidR="00AF7FF7" w:rsidRDefault="00AF7FF7" w:rsidP="00DD7131">
      <w:pPr>
        <w:rPr>
          <w:sz w:val="20"/>
          <w:szCs w:val="20"/>
        </w:rPr>
      </w:pPr>
    </w:p>
    <w:p w14:paraId="2B25C861" w14:textId="1A660418" w:rsidR="00A81026" w:rsidRDefault="00D12643" w:rsidP="003F0FCF">
      <w:pPr>
        <w:rPr>
          <w:sz w:val="20"/>
          <w:szCs w:val="20"/>
        </w:rPr>
      </w:pPr>
      <w:r>
        <w:rPr>
          <w:sz w:val="20"/>
          <w:szCs w:val="20"/>
        </w:rPr>
        <w:t xml:space="preserve">Another CCS-related separation technology is </w:t>
      </w:r>
      <w:r>
        <w:rPr>
          <w:b/>
          <w:bCs/>
          <w:sz w:val="20"/>
          <w:szCs w:val="20"/>
        </w:rPr>
        <w:t>o</w:t>
      </w:r>
      <w:r w:rsidR="00701B02" w:rsidRPr="00701B02">
        <w:rPr>
          <w:b/>
          <w:bCs/>
          <w:sz w:val="20"/>
          <w:szCs w:val="20"/>
        </w:rPr>
        <w:t>xyfuel combustio</w:t>
      </w:r>
      <w:r w:rsidR="00BD27B7">
        <w:rPr>
          <w:b/>
          <w:bCs/>
          <w:sz w:val="20"/>
          <w:szCs w:val="20"/>
        </w:rPr>
        <w:t xml:space="preserve">n </w:t>
      </w:r>
      <w:r w:rsidR="00BD27B7" w:rsidRPr="00BF3CD6">
        <w:rPr>
          <w:sz w:val="20"/>
          <w:szCs w:val="20"/>
        </w:rPr>
        <w:t>[Ullmann’s Carbon Dioxide, S.27</w:t>
      </w:r>
      <w:r w:rsidR="00BD27B7">
        <w:rPr>
          <w:sz w:val="20"/>
          <w:szCs w:val="20"/>
        </w:rPr>
        <w:t>]</w:t>
      </w:r>
      <w:r w:rsidR="00BD27B7">
        <w:rPr>
          <w:b/>
          <w:bCs/>
          <w:sz w:val="20"/>
          <w:szCs w:val="20"/>
        </w:rPr>
        <w:t xml:space="preserve">, </w:t>
      </w:r>
      <w:r w:rsidR="00BD27B7" w:rsidRPr="00BD27B7">
        <w:rPr>
          <w:sz w:val="20"/>
          <w:szCs w:val="20"/>
        </w:rPr>
        <w:t>which shows better efficiency than post- and pre-combustion at high capture rates</w:t>
      </w:r>
      <w:r w:rsidR="00BD27B7">
        <w:rPr>
          <w:sz w:val="20"/>
          <w:szCs w:val="20"/>
        </w:rPr>
        <w:t xml:space="preserve"> (&gt;92%)</w:t>
      </w:r>
      <w:r w:rsidR="002A1605">
        <w:rPr>
          <w:sz w:val="20"/>
          <w:szCs w:val="20"/>
        </w:rPr>
        <w:t xml:space="preserve"> </w:t>
      </w:r>
      <w:r w:rsidR="007A0E20" w:rsidRPr="00A01C16">
        <w:rPr>
          <w:color w:val="00B0F0"/>
          <w:sz w:val="20"/>
          <w:szCs w:val="20"/>
        </w:rPr>
        <w:t>[https://doi.org/10.1016/j.jece.2021.105777</w:t>
      </w:r>
      <w:r w:rsidR="00FD6E78" w:rsidRPr="00A01C16">
        <w:rPr>
          <w:color w:val="00B0F0"/>
          <w:sz w:val="20"/>
          <w:szCs w:val="20"/>
        </w:rPr>
        <w:t xml:space="preserve">; </w:t>
      </w:r>
      <w:r w:rsidR="00FD6E78" w:rsidRPr="00A01C16">
        <w:rPr>
          <w:color w:val="00B0F0"/>
          <w:sz w:val="20"/>
          <w:szCs w:val="20"/>
        </w:rPr>
        <w:t>https://doi.org/10.1021/acsomega.3c05034</w:t>
      </w:r>
      <w:r w:rsidR="007A0E20" w:rsidRPr="00A01C16">
        <w:rPr>
          <w:color w:val="00B0F0"/>
          <w:sz w:val="20"/>
          <w:szCs w:val="20"/>
        </w:rPr>
        <w:t>]</w:t>
      </w:r>
      <w:r w:rsidR="00BD27B7" w:rsidRPr="00BD27B7">
        <w:rPr>
          <w:sz w:val="20"/>
          <w:szCs w:val="20"/>
        </w:rPr>
        <w:t>.</w:t>
      </w:r>
      <w:r w:rsidR="00BD27B7">
        <w:rPr>
          <w:b/>
          <w:bCs/>
          <w:sz w:val="20"/>
          <w:szCs w:val="20"/>
        </w:rPr>
        <w:t xml:space="preserve"> </w:t>
      </w:r>
      <w:r w:rsidR="002A1605">
        <w:rPr>
          <w:b/>
          <w:bCs/>
          <w:sz w:val="20"/>
          <w:szCs w:val="20"/>
        </w:rPr>
        <w:t>This technology</w:t>
      </w:r>
      <w:r w:rsidR="00701B02" w:rsidRPr="00BF3CD6">
        <w:rPr>
          <w:sz w:val="20"/>
          <w:szCs w:val="20"/>
        </w:rPr>
        <w:t>,</w:t>
      </w:r>
      <w:r w:rsidR="00701B02">
        <w:rPr>
          <w:sz w:val="20"/>
          <w:szCs w:val="20"/>
        </w:rPr>
        <w:t xml:space="preserve"> by contrast,</w:t>
      </w:r>
      <w:r w:rsidR="00701B02" w:rsidRPr="00701B02">
        <w:rPr>
          <w:sz w:val="20"/>
          <w:szCs w:val="20"/>
        </w:rPr>
        <w:t xml:space="preserve"> yields a nearly </w:t>
      </w:r>
      <w:r w:rsidR="00701B02" w:rsidRPr="00701B02">
        <w:rPr>
          <w:b/>
          <w:bCs/>
          <w:sz w:val="20"/>
          <w:szCs w:val="20"/>
        </w:rPr>
        <w:t>pure CO₂ flue gas</w:t>
      </w:r>
      <w:r w:rsidR="007A0E20">
        <w:rPr>
          <w:b/>
          <w:bCs/>
          <w:sz w:val="20"/>
          <w:szCs w:val="20"/>
        </w:rPr>
        <w:t xml:space="preserve"> </w:t>
      </w:r>
      <w:r w:rsidR="00701B02" w:rsidRPr="00701B02">
        <w:rPr>
          <w:sz w:val="20"/>
          <w:szCs w:val="20"/>
        </w:rPr>
        <w:t>with minimal separation effort</w:t>
      </w:r>
      <w:r w:rsidR="008F30BA">
        <w:rPr>
          <w:sz w:val="20"/>
          <w:szCs w:val="20"/>
        </w:rPr>
        <w:t xml:space="preserve">, </w:t>
      </w:r>
      <w:r w:rsidR="00701B02" w:rsidRPr="00701B02">
        <w:rPr>
          <w:sz w:val="20"/>
          <w:szCs w:val="20"/>
        </w:rPr>
        <w:t>but</w:t>
      </w:r>
      <w:r w:rsidR="007A0E20">
        <w:rPr>
          <w:sz w:val="20"/>
          <w:szCs w:val="20"/>
        </w:rPr>
        <w:t xml:space="preserve"> </w:t>
      </w:r>
      <w:r w:rsidR="00701B02" w:rsidRPr="00701B02">
        <w:rPr>
          <w:sz w:val="20"/>
          <w:szCs w:val="20"/>
        </w:rPr>
        <w:t>has not reached commercial maturity</w:t>
      </w:r>
      <w:r w:rsidR="008F30BA">
        <w:rPr>
          <w:sz w:val="20"/>
          <w:szCs w:val="20"/>
        </w:rPr>
        <w:t xml:space="preserve"> due to </w:t>
      </w:r>
      <w:r w:rsidR="008F30BA" w:rsidRPr="008F30BA">
        <w:rPr>
          <w:sz w:val="20"/>
          <w:szCs w:val="20"/>
        </w:rPr>
        <w:t>unfavorable economic</w:t>
      </w:r>
      <w:r w:rsidR="008F30BA">
        <w:rPr>
          <w:sz w:val="20"/>
          <w:szCs w:val="20"/>
        </w:rPr>
        <w:t>s</w:t>
      </w:r>
      <w:r w:rsidR="003F0FCF">
        <w:rPr>
          <w:sz w:val="20"/>
          <w:szCs w:val="20"/>
        </w:rPr>
        <w:t xml:space="preserve">; mainly because of additional air separation unit (ASU) and compression and purification unit (CPU) </w:t>
      </w:r>
      <w:r w:rsidR="003F0FCF" w:rsidRPr="00A01C16">
        <w:rPr>
          <w:color w:val="00B0F0"/>
          <w:sz w:val="20"/>
          <w:szCs w:val="20"/>
        </w:rPr>
        <w:t>[</w:t>
      </w:r>
      <w:r w:rsidR="003F0FCF" w:rsidRPr="00A01C16">
        <w:rPr>
          <w:color w:val="00B0F0"/>
          <w:sz w:val="20"/>
          <w:szCs w:val="20"/>
        </w:rPr>
        <w:t>https://doi.org/10.1016/j.fuel.2021.122057</w:t>
      </w:r>
      <w:r w:rsidR="003F0FCF" w:rsidRPr="00A01C16">
        <w:rPr>
          <w:color w:val="00B0F0"/>
          <w:sz w:val="20"/>
          <w:szCs w:val="20"/>
        </w:rPr>
        <w:t>]</w:t>
      </w:r>
      <w:r w:rsidR="007A0E20">
        <w:rPr>
          <w:sz w:val="20"/>
          <w:szCs w:val="20"/>
        </w:rPr>
        <w:t>.</w:t>
      </w:r>
    </w:p>
    <w:p w14:paraId="7F9435A5" w14:textId="54CA580B" w:rsidR="002C1EBF" w:rsidRDefault="002C1EBF" w:rsidP="003F0FCF">
      <w:pPr>
        <w:rPr>
          <w:sz w:val="20"/>
          <w:szCs w:val="20"/>
        </w:rPr>
      </w:pPr>
      <w:r w:rsidRPr="002C1EBF">
        <w:rPr>
          <w:sz w:val="20"/>
          <w:szCs w:val="20"/>
        </w:rPr>
        <w:t xml:space="preserve">In retrofit-oriented low-temperature designs, the diluent N₂ of combustion air is replaced by recycled CO₂-rich flue gas, maintaining peak flame temperatures comparable to conventional air-fired operation. High-temperature designs, by contrast, operate without flue gas recirculation, resulting in adiabatic flame temperatures </w:t>
      </w:r>
      <w:r w:rsidRPr="00265587">
        <w:rPr>
          <w:b/>
          <w:bCs/>
          <w:sz w:val="20"/>
          <w:szCs w:val="20"/>
        </w:rPr>
        <w:t>exceeding 2,700 °C</w:t>
      </w:r>
      <w:r w:rsidR="00265587">
        <w:rPr>
          <w:sz w:val="20"/>
          <w:szCs w:val="20"/>
        </w:rPr>
        <w:t xml:space="preserve"> </w:t>
      </w:r>
      <w:r w:rsidR="00265587" w:rsidRPr="00A01C16">
        <w:rPr>
          <w:color w:val="00B0F0"/>
          <w:sz w:val="20"/>
          <w:szCs w:val="20"/>
        </w:rPr>
        <w:t>[https://papers.ssrn.com/sol3/papers.cfm?abstract_id=4547389]</w:t>
      </w:r>
      <w:r w:rsidR="00265587" w:rsidRPr="00A01C16">
        <w:rPr>
          <w:color w:val="00B0F0"/>
          <w:sz w:val="20"/>
          <w:szCs w:val="20"/>
        </w:rPr>
        <w:t xml:space="preserve"> </w:t>
      </w:r>
      <w:r>
        <w:rPr>
          <w:sz w:val="20"/>
          <w:szCs w:val="20"/>
        </w:rPr>
        <w:t xml:space="preserve">– </w:t>
      </w:r>
      <w:r w:rsidRPr="002C1EBF">
        <w:rPr>
          <w:sz w:val="20"/>
          <w:szCs w:val="20"/>
        </w:rPr>
        <w:t>an</w:t>
      </w:r>
      <w:r>
        <w:rPr>
          <w:sz w:val="20"/>
          <w:szCs w:val="20"/>
        </w:rPr>
        <w:t xml:space="preserve"> </w:t>
      </w:r>
      <w:r w:rsidRPr="002C1EBF">
        <w:rPr>
          <w:sz w:val="20"/>
          <w:szCs w:val="20"/>
        </w:rPr>
        <w:t xml:space="preserve">increase of approximately 800 K </w:t>
      </w:r>
      <w:r>
        <w:rPr>
          <w:sz w:val="20"/>
          <w:szCs w:val="20"/>
        </w:rPr>
        <w:t>–</w:t>
      </w:r>
      <w:r w:rsidRPr="002C1EBF">
        <w:rPr>
          <w:sz w:val="20"/>
          <w:szCs w:val="20"/>
        </w:rPr>
        <w:t xml:space="preserve"> which surpasses the material tolerance of the OCMC reactor concept. Moreover, this approach </w:t>
      </w:r>
      <w:r>
        <w:rPr>
          <w:sz w:val="20"/>
          <w:szCs w:val="20"/>
        </w:rPr>
        <w:t xml:space="preserve">does </w:t>
      </w:r>
      <w:r w:rsidRPr="00265587">
        <w:rPr>
          <w:b/>
          <w:bCs/>
          <w:sz w:val="20"/>
          <w:szCs w:val="20"/>
        </w:rPr>
        <w:t>not leverage</w:t>
      </w:r>
      <w:r w:rsidRPr="002C1EBF">
        <w:rPr>
          <w:sz w:val="20"/>
          <w:szCs w:val="20"/>
        </w:rPr>
        <w:t xml:space="preserve"> the </w:t>
      </w:r>
      <w:r>
        <w:rPr>
          <w:sz w:val="20"/>
          <w:szCs w:val="20"/>
        </w:rPr>
        <w:t>innovative</w:t>
      </w:r>
      <w:r w:rsidRPr="002C1EBF">
        <w:rPr>
          <w:sz w:val="20"/>
          <w:szCs w:val="20"/>
        </w:rPr>
        <w:t xml:space="preserve"> feature of the OCMC design, namely the </w:t>
      </w:r>
      <w:r w:rsidRPr="00265587">
        <w:rPr>
          <w:b/>
          <w:bCs/>
          <w:sz w:val="20"/>
          <w:szCs w:val="20"/>
        </w:rPr>
        <w:t>electrical energy input</w:t>
      </w:r>
      <w:r w:rsidR="00265587">
        <w:rPr>
          <w:sz w:val="20"/>
          <w:szCs w:val="20"/>
        </w:rPr>
        <w:t>. For those reasons</w:t>
      </w:r>
      <w:r w:rsidR="00265587" w:rsidRPr="00265587">
        <w:rPr>
          <w:sz w:val="20"/>
          <w:szCs w:val="20"/>
        </w:rPr>
        <w:t>, oxy-fuel combustion is not considered for further investigation as a use case</w:t>
      </w:r>
      <w:r w:rsidR="00265587">
        <w:rPr>
          <w:sz w:val="20"/>
          <w:szCs w:val="20"/>
        </w:rPr>
        <w:t>.</w:t>
      </w:r>
    </w:p>
    <w:p w14:paraId="1BF2DF5A" w14:textId="77777777" w:rsidR="00EA0F76" w:rsidRDefault="00EA0F76" w:rsidP="00DD7131">
      <w:pPr>
        <w:rPr>
          <w:sz w:val="20"/>
          <w:szCs w:val="20"/>
        </w:rPr>
      </w:pPr>
    </w:p>
    <w:p w14:paraId="7B3DFF68" w14:textId="77777777" w:rsidR="00764BCF" w:rsidRDefault="00764BCF" w:rsidP="00DD7131">
      <w:pPr>
        <w:rPr>
          <w:sz w:val="20"/>
          <w:szCs w:val="20"/>
        </w:rPr>
      </w:pPr>
    </w:p>
    <w:p w14:paraId="13BC562F" w14:textId="51FEB687" w:rsidR="00C80016" w:rsidRDefault="00C80016" w:rsidP="00DD7131">
      <w:pPr>
        <w:rPr>
          <w:b/>
          <w:bCs/>
          <w:i/>
          <w:iCs/>
          <w:sz w:val="20"/>
          <w:szCs w:val="20"/>
        </w:rPr>
      </w:pPr>
      <w:r w:rsidRPr="00C80016">
        <w:rPr>
          <w:b/>
          <w:bCs/>
          <w:i/>
          <w:iCs/>
          <w:sz w:val="20"/>
          <w:szCs w:val="20"/>
        </w:rPr>
        <w:t xml:space="preserve">Pressure as a Design Parameter: </w:t>
      </w:r>
      <w:r>
        <w:rPr>
          <w:b/>
          <w:bCs/>
          <w:i/>
          <w:iCs/>
          <w:sz w:val="20"/>
          <w:szCs w:val="20"/>
        </w:rPr>
        <w:t xml:space="preserve">Compression Penalty of </w:t>
      </w:r>
      <w:r w:rsidRPr="00C80016">
        <w:rPr>
          <w:b/>
          <w:bCs/>
          <w:i/>
          <w:iCs/>
          <w:sz w:val="20"/>
          <w:szCs w:val="20"/>
        </w:rPr>
        <w:t>Conventional SMR vs. Pressure-Independent eSMR</w:t>
      </w:r>
    </w:p>
    <w:p w14:paraId="774F2369" w14:textId="343FEEE3" w:rsidR="00261821" w:rsidRDefault="00A01C16" w:rsidP="00DD7131">
      <w:pPr>
        <w:rPr>
          <w:color w:val="EE0000"/>
          <w:sz w:val="20"/>
          <w:szCs w:val="20"/>
        </w:rPr>
      </w:pPr>
      <w:r w:rsidRPr="00A01C16">
        <w:rPr>
          <w:sz w:val="20"/>
          <w:szCs w:val="20"/>
        </w:rPr>
        <w:t>Conventional SMR operates at 3</w:t>
      </w:r>
      <w:r w:rsidR="00D856FE">
        <w:rPr>
          <w:sz w:val="20"/>
          <w:szCs w:val="20"/>
        </w:rPr>
        <w:t>-3.5 MPa</w:t>
      </w:r>
      <w:r w:rsidR="00203CE5" w:rsidRPr="00203CE5">
        <w:rPr>
          <w:sz w:val="20"/>
          <w:szCs w:val="20"/>
        </w:rPr>
        <w:t xml:space="preserve"> </w:t>
      </w:r>
      <w:r w:rsidR="00203CE5">
        <w:rPr>
          <w:sz w:val="20"/>
          <w:szCs w:val="20"/>
        </w:rPr>
        <w:t>and</w:t>
      </w:r>
      <w:r w:rsidR="00203CE5" w:rsidRPr="00A01C16">
        <w:rPr>
          <w:sz w:val="20"/>
          <w:szCs w:val="20"/>
        </w:rPr>
        <w:t xml:space="preserve"> typical operating temperatures of 850</w:t>
      </w:r>
      <w:r w:rsidR="00203CE5">
        <w:rPr>
          <w:sz w:val="20"/>
          <w:szCs w:val="20"/>
        </w:rPr>
        <w:t>-</w:t>
      </w:r>
      <w:r w:rsidR="00203CE5" w:rsidRPr="00A01C16">
        <w:rPr>
          <w:sz w:val="20"/>
          <w:szCs w:val="20"/>
        </w:rPr>
        <w:t>9</w:t>
      </w:r>
      <w:r w:rsidR="00203CE5">
        <w:rPr>
          <w:sz w:val="20"/>
          <w:szCs w:val="20"/>
        </w:rPr>
        <w:t>0</w:t>
      </w:r>
      <w:r w:rsidR="00203CE5" w:rsidRPr="00A01C16">
        <w:rPr>
          <w:sz w:val="20"/>
          <w:szCs w:val="20"/>
        </w:rPr>
        <w:t>0 °C</w:t>
      </w:r>
      <w:r w:rsidR="00203CE5">
        <w:rPr>
          <w:sz w:val="20"/>
          <w:szCs w:val="20"/>
        </w:rPr>
        <w:t xml:space="preserve"> </w:t>
      </w:r>
      <w:r w:rsidR="00203CE5" w:rsidRPr="00D856FE">
        <w:rPr>
          <w:color w:val="00B0F0"/>
          <w:sz w:val="20"/>
          <w:szCs w:val="20"/>
        </w:rPr>
        <w:t>[http://dx.doi.org/10.1016/B978-0-08-100116-5.00004-1]</w:t>
      </w:r>
      <w:r w:rsidRPr="00A01C16">
        <w:rPr>
          <w:sz w:val="20"/>
          <w:szCs w:val="20"/>
        </w:rPr>
        <w:t xml:space="preserve">, with </w:t>
      </w:r>
      <w:r w:rsidR="00261821" w:rsidRPr="00261821">
        <w:rPr>
          <w:sz w:val="20"/>
          <w:szCs w:val="20"/>
        </w:rPr>
        <w:t xml:space="preserve">current materials being pushed close to their design limits </w:t>
      </w:r>
      <w:r w:rsidR="00261821">
        <w:rPr>
          <w:sz w:val="20"/>
          <w:szCs w:val="20"/>
        </w:rPr>
        <w:t xml:space="preserve">at </w:t>
      </w:r>
      <w:r w:rsidR="00D856FE">
        <w:rPr>
          <w:sz w:val="20"/>
          <w:szCs w:val="20"/>
        </w:rPr>
        <w:t>4 M</w:t>
      </w:r>
      <w:r w:rsidR="00203CE5">
        <w:rPr>
          <w:sz w:val="20"/>
          <w:szCs w:val="20"/>
        </w:rPr>
        <w:t>P</w:t>
      </w:r>
      <w:r w:rsidR="00D856FE">
        <w:rPr>
          <w:sz w:val="20"/>
          <w:szCs w:val="20"/>
        </w:rPr>
        <w:t>a</w:t>
      </w:r>
      <w:r w:rsidR="006E3370">
        <w:rPr>
          <w:sz w:val="20"/>
          <w:szCs w:val="20"/>
        </w:rPr>
        <w:t xml:space="preserve"> </w:t>
      </w:r>
      <w:r w:rsidR="006E3370" w:rsidRPr="006E3370">
        <w:rPr>
          <w:color w:val="00B0F0"/>
          <w:sz w:val="20"/>
          <w:szCs w:val="20"/>
        </w:rPr>
        <w:t>[</w:t>
      </w:r>
      <w:r w:rsidR="005D5E58">
        <w:rPr>
          <w:color w:val="00B0F0"/>
          <w:sz w:val="20"/>
          <w:szCs w:val="20"/>
        </w:rPr>
        <w:t>12</w:t>
      </w:r>
      <w:r w:rsidR="006E3370" w:rsidRPr="006E3370">
        <w:rPr>
          <w:color w:val="00B0F0"/>
          <w:sz w:val="20"/>
          <w:szCs w:val="20"/>
        </w:rPr>
        <w:t>]</w:t>
      </w:r>
      <w:r w:rsidR="006E3370">
        <w:rPr>
          <w:sz w:val="20"/>
          <w:szCs w:val="20"/>
        </w:rPr>
        <w:t xml:space="preserve">. </w:t>
      </w:r>
      <w:r w:rsidRPr="00A01C16">
        <w:rPr>
          <w:sz w:val="20"/>
          <w:szCs w:val="20"/>
        </w:rPr>
        <w:t>Operating at the natural gas supply pressure</w:t>
      </w:r>
      <w:r w:rsidR="00D856FE">
        <w:rPr>
          <w:sz w:val="20"/>
          <w:szCs w:val="20"/>
        </w:rPr>
        <w:t>s &gt;4</w:t>
      </w:r>
      <w:r w:rsidRPr="00A01C16">
        <w:rPr>
          <w:sz w:val="20"/>
          <w:szCs w:val="20"/>
        </w:rPr>
        <w:t xml:space="preserve"> </w:t>
      </w:r>
      <w:r w:rsidR="00D856FE">
        <w:rPr>
          <w:sz w:val="20"/>
          <w:szCs w:val="20"/>
        </w:rPr>
        <w:t>MPa</w:t>
      </w:r>
      <w:r w:rsidRPr="00A01C16">
        <w:rPr>
          <w:sz w:val="20"/>
          <w:szCs w:val="20"/>
        </w:rPr>
        <w:t xml:space="preserve"> is not feasible because tube hoop stress </w:t>
      </w:r>
      <w:r w:rsidRPr="00D856FE">
        <w:rPr>
          <w:color w:val="EE0000"/>
          <w:sz w:val="20"/>
          <w:szCs w:val="20"/>
        </w:rPr>
        <w:t xml:space="preserve">σ = P·D/(2t) </w:t>
      </w:r>
      <w:r w:rsidRPr="00A01C16">
        <w:rPr>
          <w:sz w:val="20"/>
          <w:szCs w:val="20"/>
        </w:rPr>
        <w:t>would exceed the ~30 MPa creep design stress of current Ni-Cr alloys</w:t>
      </w:r>
      <w:r w:rsidR="006E3370">
        <w:rPr>
          <w:sz w:val="20"/>
          <w:szCs w:val="20"/>
        </w:rPr>
        <w:t xml:space="preserve"> (HP-Micro)</w:t>
      </w:r>
      <w:r w:rsidRPr="00A01C16">
        <w:rPr>
          <w:sz w:val="20"/>
          <w:szCs w:val="20"/>
        </w:rPr>
        <w:t xml:space="preserve"> at 100,000 h service life </w:t>
      </w:r>
      <w:r w:rsidRPr="00A01C16">
        <w:rPr>
          <w:color w:val="EE0000"/>
          <w:sz w:val="20"/>
          <w:szCs w:val="20"/>
        </w:rPr>
        <w:t>[API STD 530</w:t>
      </w:r>
      <w:r w:rsidR="00203CE5">
        <w:rPr>
          <w:color w:val="EE0000"/>
          <w:sz w:val="20"/>
          <w:szCs w:val="20"/>
        </w:rPr>
        <w:t xml:space="preserve">, </w:t>
      </w:r>
      <w:r w:rsidR="00203CE5" w:rsidRPr="00203CE5">
        <w:rPr>
          <w:color w:val="EE0000"/>
          <w:sz w:val="20"/>
          <w:szCs w:val="20"/>
        </w:rPr>
        <w:t>Guglielmino et al., 2016</w:t>
      </w:r>
      <w:r w:rsidRPr="00A01C16">
        <w:rPr>
          <w:color w:val="EE0000"/>
          <w:sz w:val="20"/>
          <w:szCs w:val="20"/>
        </w:rPr>
        <w:t>]</w:t>
      </w:r>
      <w:r>
        <w:rPr>
          <w:color w:val="EE0000"/>
          <w:sz w:val="20"/>
          <w:szCs w:val="20"/>
        </w:rPr>
        <w:t>.</w:t>
      </w:r>
      <w:r w:rsidR="003B2A86">
        <w:rPr>
          <w:color w:val="EE0000"/>
          <w:sz w:val="20"/>
          <w:szCs w:val="20"/>
        </w:rPr>
        <w:t xml:space="preserve"> </w:t>
      </w:r>
    </w:p>
    <w:p w14:paraId="1D01B349" w14:textId="77777777" w:rsidR="005D5E58" w:rsidRPr="000B6C3B" w:rsidRDefault="005D5E58" w:rsidP="005D5E58">
      <w:pPr>
        <w:rPr>
          <w:sz w:val="20"/>
          <w:szCs w:val="20"/>
        </w:rPr>
      </w:pPr>
      <w:r w:rsidRPr="000B6C3B">
        <w:rPr>
          <w:sz w:val="20"/>
          <w:szCs w:val="20"/>
        </w:rPr>
        <w:t>Operating the SMR at elevated pressure offers several process advantages:</w:t>
      </w:r>
    </w:p>
    <w:p w14:paraId="5A28704C" w14:textId="076933B4" w:rsidR="000B6C3B" w:rsidRPr="000B6C3B" w:rsidRDefault="00A944D9" w:rsidP="000B6C3B">
      <w:pPr>
        <w:pStyle w:val="ListParagraph"/>
        <w:numPr>
          <w:ilvl w:val="0"/>
          <w:numId w:val="4"/>
        </w:numPr>
        <w:rPr>
          <w:sz w:val="20"/>
          <w:szCs w:val="20"/>
        </w:rPr>
      </w:pPr>
      <w:r w:rsidRPr="006948FE">
        <w:rPr>
          <w:sz w:val="20"/>
          <w:szCs w:val="20"/>
        </w:rPr>
        <w:t>Feed compression prior to the mole-increasing reforming reaction is energetically more favourable than downstream product compression</w:t>
      </w:r>
      <w:r w:rsidR="005D5E58" w:rsidRPr="006948FE">
        <w:rPr>
          <w:sz w:val="20"/>
          <w:szCs w:val="20"/>
        </w:rPr>
        <w:t xml:space="preserve">, </w:t>
      </w:r>
      <w:r w:rsidR="000B6C3B" w:rsidRPr="006948FE">
        <w:rPr>
          <w:color w:val="EE0000"/>
          <w:sz w:val="20"/>
          <w:szCs w:val="20"/>
        </w:rPr>
        <w:t>[</w:t>
      </w:r>
      <w:r w:rsidR="000B6C3B" w:rsidRPr="000B6C3B">
        <w:rPr>
          <w:color w:val="EE0000"/>
          <w:sz w:val="20"/>
          <w:szCs w:val="20"/>
        </w:rPr>
        <w:t>source!]</w:t>
      </w:r>
    </w:p>
    <w:p w14:paraId="34DA57E5" w14:textId="3235EF41" w:rsidR="00A944D9" w:rsidRPr="000B6C3B" w:rsidRDefault="000B6C3B" w:rsidP="000B6C3B">
      <w:pPr>
        <w:pStyle w:val="ListParagraph"/>
        <w:rPr>
          <w:sz w:val="20"/>
          <w:szCs w:val="20"/>
        </w:rPr>
      </w:pPr>
      <m:oMathPara>
        <m:oMath>
          <m:r>
            <w:rPr>
              <w:rFonts w:ascii="Cambria Math" w:hAnsi="Cambria Math"/>
              <w:sz w:val="20"/>
              <w:szCs w:val="20"/>
            </w:rPr>
            <m:t>W</m:t>
          </m:r>
          <m:r>
            <w:rPr>
              <w:rFonts w:ascii="Cambria Math" w:hAnsi="Cambria Math"/>
              <w:sz w:val="20"/>
              <w:szCs w:val="20"/>
            </w:rPr>
            <m:t>=n∙</m:t>
          </m:r>
          <m:f>
            <m:fPr>
              <m:ctrlPr>
                <w:rPr>
                  <w:rFonts w:ascii="Cambria Math" w:eastAsiaTheme="minorHAnsi" w:hAnsi="Cambria Math"/>
                  <w:i/>
                  <w:sz w:val="20"/>
                  <w:szCs w:val="20"/>
                </w:rPr>
              </m:ctrlPr>
            </m:fPr>
            <m:num>
              <m:r>
                <w:rPr>
                  <w:rFonts w:ascii="Cambria Math" w:hAnsi="Cambria Math"/>
                  <w:sz w:val="20"/>
                  <w:szCs w:val="20"/>
                </w:rPr>
                <m:t>γ</m:t>
              </m:r>
            </m:num>
            <m:den>
              <m:r>
                <w:rPr>
                  <w:rFonts w:ascii="Cambria Math" w:hAnsi="Cambria Math"/>
                  <w:sz w:val="20"/>
                  <w:szCs w:val="20"/>
                </w:rPr>
                <m:t>γ</m:t>
              </m:r>
              <m:r>
                <w:rPr>
                  <w:rFonts w:ascii="Cambria Math" w:hAnsi="Cambria Math"/>
                  <w:sz w:val="20"/>
                  <w:szCs w:val="20"/>
                </w:rPr>
                <m:t>-1</m:t>
              </m:r>
            </m:den>
          </m:f>
          <m:r>
            <w:rPr>
              <w:rFonts w:ascii="Cambria Math" w:hAnsi="Cambria Math"/>
              <w:sz w:val="20"/>
              <w:szCs w:val="20"/>
            </w:rPr>
            <m:t>∙</m:t>
          </m:r>
          <m:r>
            <w:rPr>
              <w:rFonts w:ascii="Cambria Math" w:hAnsi="Cambria Math"/>
              <w:sz w:val="20"/>
              <w:szCs w:val="20"/>
            </w:rPr>
            <m:t>R</m:t>
          </m:r>
          <m:r>
            <w:rPr>
              <w:rFonts w:ascii="Cambria Math" w:hAnsi="Cambria Math"/>
              <w:sz w:val="20"/>
              <w:szCs w:val="20"/>
            </w:rPr>
            <m:t>∙</m:t>
          </m:r>
          <m:sSub>
            <m:sSubPr>
              <m:ctrlPr>
                <w:rPr>
                  <w:rFonts w:ascii="Cambria Math" w:eastAsiaTheme="minorHAnsi"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d>
            <m:dPr>
              <m:begChr m:val="["/>
              <m:endChr m:val="]"/>
              <m:ctrlPr>
                <w:rPr>
                  <w:rFonts w:ascii="Cambria Math" w:eastAsiaTheme="minorHAnsi" w:hAnsi="Cambria Math"/>
                  <w:i/>
                  <w:sz w:val="20"/>
                  <w:szCs w:val="20"/>
                </w:rPr>
              </m:ctrlPr>
            </m:dPr>
            <m:e>
              <m:sSup>
                <m:sSupPr>
                  <m:ctrlPr>
                    <w:rPr>
                      <w:rFonts w:ascii="Cambria Math" w:eastAsiaTheme="minorHAnsi" w:hAnsi="Cambria Math"/>
                      <w:i/>
                      <w:sz w:val="20"/>
                      <w:szCs w:val="20"/>
                    </w:rPr>
                  </m:ctrlPr>
                </m:sSupPr>
                <m:e>
                  <m:d>
                    <m:dPr>
                      <m:ctrlPr>
                        <w:rPr>
                          <w:rFonts w:ascii="Cambria Math" w:eastAsiaTheme="minorHAnsi" w:hAnsi="Cambria Math"/>
                          <w:i/>
                          <w:sz w:val="20"/>
                          <w:szCs w:val="20"/>
                        </w:rPr>
                      </m:ctrlPr>
                    </m:dPr>
                    <m:e>
                      <m:f>
                        <m:fPr>
                          <m:ctrlPr>
                            <w:rPr>
                              <w:rFonts w:ascii="Cambria Math" w:eastAsiaTheme="minorHAnsi" w:hAnsi="Cambria Math"/>
                              <w:i/>
                              <w:sz w:val="20"/>
                              <w:szCs w:val="20"/>
                            </w:rPr>
                          </m:ctrlPr>
                        </m:fPr>
                        <m:num>
                          <m:sSub>
                            <m:sSubPr>
                              <m:ctrlPr>
                                <w:rPr>
                                  <w:rFonts w:ascii="Cambria Math" w:eastAsiaTheme="minorHAnsi" w:hAnsi="Cambria Math"/>
                                  <w:i/>
                                  <w:sz w:val="20"/>
                                  <w:szCs w:val="20"/>
                                </w:rPr>
                              </m:ctrlPr>
                            </m:sSubPr>
                            <m:e>
                              <m:r>
                                <w:rPr>
                                  <w:rFonts w:ascii="Cambria Math" w:hAnsi="Cambria Math"/>
                                  <w:sz w:val="20"/>
                                  <w:szCs w:val="20"/>
                                </w:rPr>
                                <m:t>p</m:t>
                              </m:r>
                            </m:e>
                            <m:sub>
                              <m:r>
                                <w:rPr>
                                  <w:rFonts w:ascii="Cambria Math" w:hAnsi="Cambria Math"/>
                                  <w:sz w:val="20"/>
                                  <w:szCs w:val="20"/>
                                </w:rPr>
                                <m:t>2</m:t>
                              </m:r>
                            </m:sub>
                          </m:sSub>
                        </m:num>
                        <m:den>
                          <m:sSub>
                            <m:sSubPr>
                              <m:ctrlPr>
                                <w:rPr>
                                  <w:rFonts w:ascii="Cambria Math" w:eastAsiaTheme="minorHAnsi" w:hAnsi="Cambria Math"/>
                                  <w:i/>
                                  <w:sz w:val="20"/>
                                  <w:szCs w:val="20"/>
                                </w:rPr>
                              </m:ctrlPr>
                            </m:sSubPr>
                            <m:e>
                              <m:r>
                                <w:rPr>
                                  <w:rFonts w:ascii="Cambria Math" w:hAnsi="Cambria Math"/>
                                  <w:sz w:val="20"/>
                                  <w:szCs w:val="20"/>
                                </w:rPr>
                                <m:t>p</m:t>
                              </m:r>
                            </m:e>
                            <m:sub>
                              <m:r>
                                <w:rPr>
                                  <w:rFonts w:ascii="Cambria Math" w:hAnsi="Cambria Math"/>
                                  <w:sz w:val="20"/>
                                  <w:szCs w:val="20"/>
                                </w:rPr>
                                <m:t>1</m:t>
                              </m:r>
                            </m:sub>
                          </m:sSub>
                        </m:den>
                      </m:f>
                    </m:e>
                  </m:d>
                </m:e>
                <m:sup>
                  <m:f>
                    <m:fPr>
                      <m:ctrlPr>
                        <w:rPr>
                          <w:rFonts w:ascii="Cambria Math" w:eastAsiaTheme="minorHAnsi" w:hAnsi="Cambria Math"/>
                          <w:i/>
                          <w:sz w:val="20"/>
                          <w:szCs w:val="20"/>
                        </w:rPr>
                      </m:ctrlPr>
                    </m:fPr>
                    <m:num>
                      <m:r>
                        <w:rPr>
                          <w:rFonts w:ascii="Cambria Math" w:hAnsi="Cambria Math"/>
                          <w:sz w:val="20"/>
                          <w:szCs w:val="20"/>
                        </w:rPr>
                        <m:t>γ</m:t>
                      </m:r>
                      <m:r>
                        <w:rPr>
                          <w:rFonts w:ascii="Cambria Math" w:hAnsi="Cambria Math"/>
                          <w:sz w:val="20"/>
                          <w:szCs w:val="20"/>
                        </w:rPr>
                        <m:t>-1</m:t>
                      </m:r>
                    </m:num>
                    <m:den>
                      <m:r>
                        <w:rPr>
                          <w:rFonts w:ascii="Cambria Math" w:hAnsi="Cambria Math"/>
                          <w:sz w:val="20"/>
                          <w:szCs w:val="20"/>
                        </w:rPr>
                        <m:t>γ</m:t>
                      </m:r>
                    </m:den>
                  </m:f>
                </m:sup>
              </m:sSup>
              <m:r>
                <w:rPr>
                  <w:rFonts w:ascii="Cambria Math" w:hAnsi="Cambria Math"/>
                  <w:sz w:val="20"/>
                  <w:szCs w:val="20"/>
                </w:rPr>
                <m:t>-1</m:t>
              </m:r>
            </m:e>
          </m:d>
          <m:r>
            <w:rPr>
              <w:rFonts w:ascii="Cambria Math" w:hAnsi="Cambria Math"/>
              <w:sz w:val="20"/>
              <w:szCs w:val="20"/>
            </w:rPr>
            <m:t xml:space="preserve"> with </m:t>
          </m:r>
          <m:sSub>
            <m:sSubPr>
              <m:ctrlPr>
                <w:rPr>
                  <w:rFonts w:ascii="Cambria Math" w:eastAsiaTheme="minorHAnsi" w:hAnsi="Cambria Math"/>
                  <w:i/>
                  <w:sz w:val="20"/>
                  <w:szCs w:val="20"/>
                </w:rPr>
              </m:ctrlPr>
            </m:sSubPr>
            <m:e>
              <m:r>
                <w:rPr>
                  <w:rFonts w:ascii="Cambria Math" w:hAnsi="Cambria Math"/>
                  <w:sz w:val="20"/>
                  <w:szCs w:val="20"/>
                </w:rPr>
                <m:t>n</m:t>
              </m:r>
            </m:e>
            <m:sub>
              <m:r>
                <w:rPr>
                  <w:rFonts w:ascii="Cambria Math" w:hAnsi="Cambria Math"/>
                  <w:sz w:val="20"/>
                  <w:szCs w:val="20"/>
                </w:rPr>
                <m:t>feed</m:t>
              </m:r>
            </m:sub>
          </m:sSub>
          <m:r>
            <w:rPr>
              <w:rFonts w:ascii="Cambria Math" w:hAnsi="Cambria Math"/>
              <w:sz w:val="20"/>
              <w:szCs w:val="20"/>
            </w:rPr>
            <m:t>&lt;</m:t>
          </m:r>
          <m:sSub>
            <m:sSubPr>
              <m:ctrlPr>
                <w:rPr>
                  <w:rFonts w:ascii="Cambria Math" w:eastAsiaTheme="minorHAnsi" w:hAnsi="Cambria Math"/>
                  <w:i/>
                  <w:sz w:val="20"/>
                  <w:szCs w:val="20"/>
                </w:rPr>
              </m:ctrlPr>
            </m:sSubPr>
            <m:e>
              <m:r>
                <w:rPr>
                  <w:rFonts w:ascii="Cambria Math" w:hAnsi="Cambria Math"/>
                  <w:sz w:val="20"/>
                  <w:szCs w:val="20"/>
                </w:rPr>
                <m:t>n</m:t>
              </m:r>
            </m:e>
            <m:sub>
              <m:r>
                <w:rPr>
                  <w:rFonts w:ascii="Cambria Math" w:hAnsi="Cambria Math"/>
                  <w:sz w:val="20"/>
                  <w:szCs w:val="20"/>
                </w:rPr>
                <m:t>prod</m:t>
              </m:r>
            </m:sub>
          </m:sSub>
        </m:oMath>
      </m:oMathPara>
    </w:p>
    <w:p w14:paraId="41F6399D" w14:textId="6181852C" w:rsidR="00FC74D9" w:rsidRPr="006948FE" w:rsidRDefault="00FC74D9" w:rsidP="00A944D9">
      <w:pPr>
        <w:pStyle w:val="ListParagraph"/>
        <w:numPr>
          <w:ilvl w:val="0"/>
          <w:numId w:val="4"/>
        </w:numPr>
        <w:rPr>
          <w:sz w:val="20"/>
          <w:szCs w:val="20"/>
        </w:rPr>
      </w:pPr>
      <w:r w:rsidRPr="006948FE">
        <w:rPr>
          <w:sz w:val="20"/>
          <w:szCs w:val="20"/>
        </w:rPr>
        <w:t>Increased</w:t>
      </w:r>
      <w:r w:rsidRPr="006948FE">
        <w:rPr>
          <w:sz w:val="20"/>
          <w:szCs w:val="20"/>
        </w:rPr>
        <w:t xml:space="preserve"> volumetric throughput, enabling more compact reactor designs</w:t>
      </w:r>
      <w:r w:rsidRPr="006948FE">
        <w:rPr>
          <w:sz w:val="20"/>
          <w:szCs w:val="20"/>
        </w:rPr>
        <w:t>.</w:t>
      </w:r>
    </w:p>
    <w:p w14:paraId="2C9EC1E7" w14:textId="77777777" w:rsidR="00FC74D9" w:rsidRPr="006948FE" w:rsidRDefault="00FC74D9" w:rsidP="00A944D9">
      <w:pPr>
        <w:pStyle w:val="ListParagraph"/>
        <w:numPr>
          <w:ilvl w:val="0"/>
          <w:numId w:val="4"/>
        </w:numPr>
        <w:rPr>
          <w:sz w:val="20"/>
          <w:szCs w:val="20"/>
        </w:rPr>
      </w:pPr>
      <w:r w:rsidRPr="006948FE">
        <w:rPr>
          <w:sz w:val="20"/>
          <w:szCs w:val="20"/>
        </w:rPr>
        <w:t>Higher partial pressures enhance reaction kinetics, reducing the required reactor volume.</w:t>
      </w:r>
    </w:p>
    <w:p w14:paraId="15B6F31D" w14:textId="75DCC61C" w:rsidR="00FC74D9" w:rsidRPr="006948FE" w:rsidRDefault="00FC74D9" w:rsidP="00A944D9">
      <w:pPr>
        <w:pStyle w:val="ListParagraph"/>
        <w:numPr>
          <w:ilvl w:val="0"/>
          <w:numId w:val="4"/>
        </w:numPr>
        <w:rPr>
          <w:sz w:val="20"/>
          <w:szCs w:val="20"/>
        </w:rPr>
      </w:pPr>
      <w:r w:rsidRPr="006948FE">
        <w:rPr>
          <w:sz w:val="20"/>
          <w:szCs w:val="20"/>
        </w:rPr>
        <w:t>No impact on mole-</w:t>
      </w:r>
      <w:r w:rsidR="00E32719" w:rsidRPr="006948FE">
        <w:rPr>
          <w:sz w:val="20"/>
          <w:szCs w:val="20"/>
        </w:rPr>
        <w:t>neutral</w:t>
      </w:r>
      <w:r w:rsidRPr="006948FE">
        <w:rPr>
          <w:sz w:val="20"/>
          <w:szCs w:val="20"/>
        </w:rPr>
        <w:t xml:space="preserve"> WGSR</w:t>
      </w:r>
      <w:r w:rsidR="00E32719" w:rsidRPr="006948FE">
        <w:rPr>
          <w:sz w:val="20"/>
          <w:szCs w:val="20"/>
        </w:rPr>
        <w:t xml:space="preserve"> under </w:t>
      </w:r>
      <w:r w:rsidR="00E32719" w:rsidRPr="006948FE">
        <w:rPr>
          <w:sz w:val="20"/>
          <w:szCs w:val="20"/>
        </w:rPr>
        <w:t>ideal-gas assumptions</w:t>
      </w:r>
      <w:r w:rsidR="00E32719" w:rsidRPr="006948FE">
        <w:rPr>
          <w:sz w:val="20"/>
          <w:szCs w:val="20"/>
        </w:rPr>
        <w:t>.</w:t>
      </w:r>
    </w:p>
    <w:p w14:paraId="7134614D" w14:textId="441E8933" w:rsidR="00FE681D" w:rsidRPr="000B6C3B" w:rsidRDefault="00EF7378" w:rsidP="00A944D9">
      <w:pPr>
        <w:pStyle w:val="ListParagraph"/>
        <w:numPr>
          <w:ilvl w:val="0"/>
          <w:numId w:val="4"/>
        </w:numPr>
        <w:rPr>
          <w:sz w:val="20"/>
          <w:szCs w:val="20"/>
        </w:rPr>
      </w:pPr>
      <w:r w:rsidRPr="006948FE">
        <w:rPr>
          <w:sz w:val="20"/>
          <w:szCs w:val="20"/>
        </w:rPr>
        <w:t>Increased</w:t>
      </w:r>
      <w:r w:rsidRPr="006948FE">
        <w:rPr>
          <w:sz w:val="20"/>
          <w:szCs w:val="20"/>
        </w:rPr>
        <w:t xml:space="preserve"> theoretical maximum H₂ recovery</w:t>
      </w:r>
      <w:r w:rsidR="00FC74D9" w:rsidRPr="006948FE">
        <w:rPr>
          <w:sz w:val="20"/>
          <w:szCs w:val="20"/>
        </w:rPr>
        <w:t xml:space="preserve"> in PSA</w:t>
      </w:r>
      <w:r w:rsidRPr="006948FE">
        <w:rPr>
          <w:sz w:val="20"/>
          <w:szCs w:val="20"/>
        </w:rPr>
        <w:t>,</w:t>
      </w:r>
      <w:r w:rsidR="000B6C3B" w:rsidRPr="006948FE">
        <w:rPr>
          <w:sz w:val="20"/>
          <w:szCs w:val="20"/>
        </w:rPr>
        <w:t xml:space="preserve"> </w:t>
      </w:r>
      <w:r w:rsidR="000B6C3B" w:rsidRPr="000B6C3B">
        <w:rPr>
          <w:color w:val="EE0000"/>
          <w:sz w:val="20"/>
          <w:szCs w:val="20"/>
        </w:rPr>
        <w:t>[source!]</w:t>
      </w:r>
    </w:p>
    <w:p w14:paraId="6F6F1F66" w14:textId="04A0B31C" w:rsidR="00EF7378" w:rsidRPr="000B6C3B" w:rsidRDefault="00FC74D9" w:rsidP="00FE681D">
      <w:pPr>
        <w:pStyle w:val="ListParagraph"/>
        <w:rPr>
          <w:sz w:val="20"/>
          <w:szCs w:val="20"/>
        </w:rPr>
      </w:pPr>
      <m:oMathPara>
        <m:oMath>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Thermodynamic condition:</m:t>
              </m:r>
              <m:r>
                <w:rPr>
                  <w:rFonts w:ascii="Cambria Math" w:hAnsi="Cambria Math"/>
                  <w:sz w:val="20"/>
                  <w:szCs w:val="20"/>
                </w:rPr>
                <m:t xml:space="preserve"> </m:t>
              </m:r>
              <m:sSubSup>
                <m:sSubSupPr>
                  <m:ctrlPr>
                    <w:rPr>
                      <w:rFonts w:ascii="Cambria Math" w:eastAsiaTheme="minorHAnsi" w:hAnsi="Cambria Math" w:cstheme="minorBidi"/>
                      <w:i/>
                      <w:kern w:val="2"/>
                      <w:sz w:val="20"/>
                      <w:szCs w:val="20"/>
                      <w:lang w:eastAsia="en-US"/>
                      <w14:ligatures w14:val="standardContextual"/>
                    </w:rPr>
                  </m:ctrlPr>
                </m:sSubSupPr>
                <m:e>
                  <m:r>
                    <w:rPr>
                      <w:rFonts w:ascii="Cambria Math" w:hAnsi="Cambria Math"/>
                      <w:sz w:val="20"/>
                      <w:szCs w:val="20"/>
                    </w:rPr>
                    <m:t>p</m:t>
                  </m:r>
                </m:e>
                <m:sub>
                  <m:r>
                    <w:rPr>
                      <w:rFonts w:ascii="Cambria Math" w:hAnsi="Cambria Math"/>
                      <w:sz w:val="20"/>
                      <w:szCs w:val="20"/>
                    </w:rPr>
                    <m:t>pollut.</m:t>
                  </m:r>
                </m:sub>
                <m:sup>
                  <m:r>
                    <w:rPr>
                      <w:rFonts w:ascii="Cambria Math" w:hAnsi="Cambria Math"/>
                      <w:sz w:val="20"/>
                      <w:szCs w:val="20"/>
                    </w:rPr>
                    <m:t>ads</m:t>
                  </m:r>
                </m:sup>
              </m:sSubSup>
              <m:r>
                <w:rPr>
                  <w:rFonts w:ascii="Cambria Math" w:hAnsi="Cambria Math"/>
                  <w:sz w:val="20"/>
                  <w:szCs w:val="20"/>
                </w:rPr>
                <m:t>≥</m:t>
              </m:r>
              <m:sSubSup>
                <m:sSubSupPr>
                  <m:ctrlPr>
                    <w:rPr>
                      <w:rFonts w:ascii="Cambria Math" w:eastAsiaTheme="minorHAnsi" w:hAnsi="Cambria Math" w:cstheme="minorBidi"/>
                      <w:i/>
                      <w:kern w:val="2"/>
                      <w:sz w:val="20"/>
                      <w:szCs w:val="20"/>
                      <w:lang w:eastAsia="en-US"/>
                      <w14:ligatures w14:val="standardContextual"/>
                    </w:rPr>
                  </m:ctrlPr>
                </m:sSubSupPr>
                <m:e>
                  <m:r>
                    <w:rPr>
                      <w:rFonts w:ascii="Cambria Math" w:hAnsi="Cambria Math"/>
                      <w:sz w:val="20"/>
                      <w:szCs w:val="20"/>
                    </w:rPr>
                    <m:t>p</m:t>
                  </m:r>
                </m:e>
                <m:sub>
                  <m:r>
                    <w:rPr>
                      <w:rFonts w:ascii="Cambria Math" w:hAnsi="Cambria Math"/>
                      <w:sz w:val="20"/>
                      <w:szCs w:val="20"/>
                    </w:rPr>
                    <m:t>pollut.</m:t>
                  </m:r>
                </m:sub>
                <m:sup>
                  <m:r>
                    <w:rPr>
                      <w:rFonts w:ascii="Cambria Math" w:hAnsi="Cambria Math"/>
                      <w:sz w:val="20"/>
                      <w:szCs w:val="20"/>
                    </w:rPr>
                    <m:t>des</m:t>
                  </m:r>
                </m:sup>
              </m:sSubSup>
              <m:r>
                <w:rPr>
                  <w:rFonts w:ascii="Cambria Math" w:hAnsi="Cambria Math"/>
                  <w:sz w:val="20"/>
                  <w:szCs w:val="20"/>
                </w:rPr>
                <m:t>→φ</m:t>
              </m:r>
            </m:e>
            <m:sub>
              <m:r>
                <w:rPr>
                  <w:rFonts w:ascii="Cambria Math" w:hAnsi="Cambria Math"/>
                  <w:sz w:val="20"/>
                  <w:szCs w:val="20"/>
                </w:rPr>
                <m:t>max</m:t>
              </m:r>
            </m:sub>
          </m:sSub>
          <m:r>
            <w:rPr>
              <w:rFonts w:ascii="Cambria Math" w:hAnsi="Cambria Math"/>
              <w:sz w:val="20"/>
              <w:szCs w:val="20"/>
            </w:rPr>
            <m:t>=</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1-</m:t>
              </m:r>
              <m:f>
                <m:fPr>
                  <m:ctrlPr>
                    <w:rPr>
                      <w:rFonts w:ascii="Cambria Math" w:eastAsiaTheme="minorHAnsi" w:hAnsi="Cambria Math" w:cstheme="minorBidi"/>
                      <w:i/>
                      <w:kern w:val="2"/>
                      <w:sz w:val="20"/>
                      <w:szCs w:val="20"/>
                      <w:lang w:eastAsia="en-US"/>
                      <w14:ligatures w14:val="standardContextual"/>
                    </w:rPr>
                  </m:ctrlPr>
                </m:fPr>
                <m:num>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p</m:t>
                      </m:r>
                    </m:e>
                    <m:sub>
                      <m:r>
                        <w:rPr>
                          <w:rFonts w:ascii="Cambria Math" w:hAnsi="Cambria Math"/>
                          <w:sz w:val="20"/>
                          <w:szCs w:val="20"/>
                        </w:rPr>
                        <m:t>des</m:t>
                      </m:r>
                    </m:sub>
                  </m:sSub>
                </m:num>
                <m:den>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p</m:t>
                      </m:r>
                    </m:e>
                    <m:sub>
                      <m:r>
                        <w:rPr>
                          <w:rFonts w:ascii="Cambria Math" w:hAnsi="Cambria Math"/>
                          <w:sz w:val="20"/>
                          <w:szCs w:val="20"/>
                        </w:rPr>
                        <m:t>ads</m:t>
                      </m:r>
                    </m:sub>
                  </m:sSub>
                </m:den>
              </m:f>
            </m:num>
            <m:den>
              <m:sSubSup>
                <m:sSubSupPr>
                  <m:ctrlPr>
                    <w:rPr>
                      <w:rFonts w:ascii="Cambria Math" w:eastAsiaTheme="minorHAnsi" w:hAnsi="Cambria Math" w:cstheme="minorBidi"/>
                      <w:i/>
                      <w:kern w:val="2"/>
                      <w:sz w:val="20"/>
                      <w:szCs w:val="20"/>
                      <w:lang w:eastAsia="en-US"/>
                      <w14:ligatures w14:val="standardContextual"/>
                    </w:rPr>
                  </m:ctrlPr>
                </m:sSubSupPr>
                <m:e>
                  <m:r>
                    <w:rPr>
                      <w:rFonts w:ascii="Cambria Math" w:hAnsi="Cambria Math"/>
                      <w:sz w:val="20"/>
                      <w:szCs w:val="20"/>
                    </w:rPr>
                    <m:t>y</m:t>
                  </m:r>
                </m:e>
                <m:sub>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H</m:t>
                      </m:r>
                    </m:e>
                    <m:sub>
                      <m:r>
                        <w:rPr>
                          <w:rFonts w:ascii="Cambria Math" w:hAnsi="Cambria Math"/>
                          <w:sz w:val="20"/>
                          <w:szCs w:val="20"/>
                        </w:rPr>
                        <m:t>2</m:t>
                      </m:r>
                    </m:sub>
                  </m:sSub>
                </m:sub>
                <m:sup>
                  <m:r>
                    <w:rPr>
                      <w:rFonts w:ascii="Cambria Math" w:hAnsi="Cambria Math"/>
                      <w:sz w:val="20"/>
                      <w:szCs w:val="20"/>
                    </w:rPr>
                    <m:t>0</m:t>
                  </m:r>
                </m:sup>
              </m:sSubSup>
            </m:den>
          </m:f>
        </m:oMath>
      </m:oMathPara>
    </w:p>
    <w:p w14:paraId="135BFAE1" w14:textId="2AA24AD8" w:rsidR="00FE681D" w:rsidRPr="000B6C3B" w:rsidRDefault="00FE681D" w:rsidP="00FE681D">
      <w:pPr>
        <w:rPr>
          <w:sz w:val="20"/>
          <w:szCs w:val="20"/>
        </w:rPr>
      </w:pPr>
      <w:r w:rsidRPr="000B6C3B">
        <w:rPr>
          <w:sz w:val="20"/>
          <w:szCs w:val="20"/>
        </w:rPr>
        <w:t>But i</w:t>
      </w:r>
      <w:r w:rsidR="00E4290E" w:rsidRPr="000B6C3B">
        <w:rPr>
          <w:sz w:val="20"/>
          <w:szCs w:val="20"/>
        </w:rPr>
        <w:t xml:space="preserve">ncreasing thickness of wall tubes is economically limited by </w:t>
      </w:r>
      <w:r w:rsidR="005D5E58" w:rsidRPr="006948FE">
        <w:rPr>
          <w:color w:val="00B0F0"/>
          <w:sz w:val="20"/>
          <w:szCs w:val="20"/>
        </w:rPr>
        <w:t>[12]</w:t>
      </w:r>
    </w:p>
    <w:p w14:paraId="76708F6E" w14:textId="7C9AF867" w:rsidR="00FE681D" w:rsidRPr="006948FE" w:rsidRDefault="00E4290E" w:rsidP="00A944D9">
      <w:pPr>
        <w:pStyle w:val="ListParagraph"/>
        <w:numPr>
          <w:ilvl w:val="0"/>
          <w:numId w:val="5"/>
        </w:numPr>
        <w:rPr>
          <w:sz w:val="20"/>
          <w:szCs w:val="20"/>
        </w:rPr>
      </w:pPr>
      <w:r w:rsidRPr="006948FE">
        <w:rPr>
          <w:sz w:val="20"/>
          <w:szCs w:val="20"/>
        </w:rPr>
        <w:t xml:space="preserve">increased </w:t>
      </w:r>
      <w:r w:rsidR="00FE681D" w:rsidRPr="006948FE">
        <w:rPr>
          <w:sz w:val="20"/>
          <w:szCs w:val="20"/>
        </w:rPr>
        <w:t>material</w:t>
      </w:r>
      <w:r w:rsidRPr="006948FE">
        <w:rPr>
          <w:sz w:val="20"/>
          <w:szCs w:val="20"/>
        </w:rPr>
        <w:t xml:space="preserve"> cost</w:t>
      </w:r>
      <w:r w:rsidR="00FE681D" w:rsidRPr="006948FE">
        <w:rPr>
          <w:sz w:val="20"/>
          <w:szCs w:val="20"/>
        </w:rPr>
        <w:t>s</w:t>
      </w:r>
      <w:r w:rsidRPr="006948FE">
        <w:rPr>
          <w:sz w:val="20"/>
          <w:szCs w:val="20"/>
        </w:rPr>
        <w:t xml:space="preserve">, </w:t>
      </w:r>
    </w:p>
    <w:p w14:paraId="1E5F361A" w14:textId="5D0ECE40" w:rsidR="00FE681D" w:rsidRPr="006948FE" w:rsidRDefault="00945ED6" w:rsidP="00A944D9">
      <w:pPr>
        <w:pStyle w:val="ListParagraph"/>
        <w:numPr>
          <w:ilvl w:val="0"/>
          <w:numId w:val="5"/>
        </w:numPr>
        <w:rPr>
          <w:sz w:val="20"/>
          <w:szCs w:val="20"/>
        </w:rPr>
      </w:pPr>
      <w:r w:rsidRPr="006948FE">
        <w:rPr>
          <w:sz w:val="20"/>
          <w:szCs w:val="20"/>
        </w:rPr>
        <w:t>decreased production capacity</w:t>
      </w:r>
      <w:r w:rsidR="00FE681D" w:rsidRPr="006948FE">
        <w:rPr>
          <w:sz w:val="20"/>
          <w:szCs w:val="20"/>
        </w:rPr>
        <w:t xml:space="preserve"> due to </w:t>
      </w:r>
      <w:r w:rsidR="00E4290E" w:rsidRPr="006948FE">
        <w:rPr>
          <w:sz w:val="20"/>
          <w:szCs w:val="20"/>
        </w:rPr>
        <w:t>less catalyst volume</w:t>
      </w:r>
      <w:r w:rsidR="00FE681D" w:rsidRPr="006948FE">
        <w:rPr>
          <w:sz w:val="20"/>
          <w:szCs w:val="20"/>
        </w:rPr>
        <w:t>,</w:t>
      </w:r>
      <w:r w:rsidR="000B6C3B" w:rsidRPr="006948FE">
        <w:rPr>
          <w:sz w:val="20"/>
          <w:szCs w:val="20"/>
        </w:rPr>
        <w:t xml:space="preserve"> and</w:t>
      </w:r>
    </w:p>
    <w:p w14:paraId="3196073A" w14:textId="44C8393A" w:rsidR="00E4290E" w:rsidRPr="006948FE" w:rsidRDefault="00945ED6" w:rsidP="00A944D9">
      <w:pPr>
        <w:pStyle w:val="ListParagraph"/>
        <w:numPr>
          <w:ilvl w:val="0"/>
          <w:numId w:val="5"/>
        </w:numPr>
        <w:rPr>
          <w:sz w:val="20"/>
          <w:szCs w:val="20"/>
        </w:rPr>
      </w:pPr>
      <w:r w:rsidRPr="006948FE">
        <w:rPr>
          <w:sz w:val="20"/>
          <w:szCs w:val="20"/>
        </w:rPr>
        <w:t>deteriorated</w:t>
      </w:r>
      <w:r w:rsidRPr="006948FE">
        <w:rPr>
          <w:sz w:val="20"/>
          <w:szCs w:val="20"/>
        </w:rPr>
        <w:t xml:space="preserve"> heat transfer due to higher thermal resistance.</w:t>
      </w:r>
    </w:p>
    <w:p w14:paraId="6E6F9D25" w14:textId="2632AC1D" w:rsidR="000B6C3B" w:rsidRPr="000B6C3B" w:rsidRDefault="000B6C3B" w:rsidP="000B6C3B">
      <w:pPr>
        <w:rPr>
          <w:sz w:val="20"/>
          <w:szCs w:val="20"/>
        </w:rPr>
      </w:pPr>
      <w:r w:rsidRPr="000B6C3B">
        <w:rPr>
          <w:sz w:val="20"/>
          <w:szCs w:val="20"/>
        </w:rPr>
        <w:t xml:space="preserve">The </w:t>
      </w:r>
      <w:r w:rsidRPr="000B6C3B">
        <w:rPr>
          <w:sz w:val="20"/>
          <w:szCs w:val="20"/>
        </w:rPr>
        <w:t>only downside</w:t>
      </w:r>
      <w:r w:rsidRPr="000B6C3B">
        <w:rPr>
          <w:sz w:val="20"/>
          <w:szCs w:val="20"/>
        </w:rPr>
        <w:t xml:space="preserve"> of elevated pressure </w:t>
      </w:r>
      <w:r w:rsidRPr="000B6C3B">
        <w:rPr>
          <w:sz w:val="20"/>
          <w:szCs w:val="20"/>
        </w:rPr>
        <w:t>–</w:t>
      </w:r>
      <w:r w:rsidRPr="000B6C3B">
        <w:rPr>
          <w:sz w:val="20"/>
          <w:szCs w:val="20"/>
        </w:rPr>
        <w:t xml:space="preserve"> an unfavourable equilibrium shift of the mole-increasing reforming reaction per Le Chatelier's principle </w:t>
      </w:r>
      <w:r w:rsidRPr="000B6C3B">
        <w:rPr>
          <w:sz w:val="20"/>
          <w:szCs w:val="20"/>
        </w:rPr>
        <w:t>–</w:t>
      </w:r>
      <w:r w:rsidRPr="000B6C3B">
        <w:rPr>
          <w:sz w:val="20"/>
          <w:szCs w:val="20"/>
        </w:rPr>
        <w:t xml:space="preserve"> can be offset by increasing the reaction temperature, leveraging the endothermic nature of the reforming reaction to maintain high conversion</w:t>
      </w:r>
      <w:r w:rsidRPr="000B6C3B">
        <w:rPr>
          <w:sz w:val="20"/>
          <w:szCs w:val="20"/>
        </w:rPr>
        <w:t>.</w:t>
      </w:r>
    </w:p>
    <w:p w14:paraId="63FD5814" w14:textId="6AB89F56" w:rsidR="00FE681D" w:rsidRDefault="000D68DB" w:rsidP="00DD7131">
      <w:pPr>
        <w:rPr>
          <w:sz w:val="20"/>
          <w:szCs w:val="20"/>
        </w:rPr>
      </w:pPr>
      <w:r w:rsidRPr="000D68DB">
        <w:rPr>
          <w:sz w:val="20"/>
          <w:szCs w:val="20"/>
        </w:rPr>
        <w:t>In conclusion, it can be said that there is an interest in operating at high pressures if material and temperature limitations can be overcome.</w:t>
      </w:r>
    </w:p>
    <w:p w14:paraId="0048065D" w14:textId="77777777" w:rsidR="000D68DB" w:rsidRPr="000D68DB" w:rsidRDefault="000D68DB" w:rsidP="00DD7131">
      <w:pPr>
        <w:rPr>
          <w:sz w:val="20"/>
          <w:szCs w:val="20"/>
        </w:rPr>
      </w:pPr>
    </w:p>
    <w:p w14:paraId="31982853" w14:textId="458FD353" w:rsidR="009D0974" w:rsidRDefault="00A9612D" w:rsidP="009D0974">
      <w:pPr>
        <w:rPr>
          <w:sz w:val="20"/>
          <w:szCs w:val="20"/>
        </w:rPr>
      </w:pPr>
      <w:r w:rsidRPr="005170F2">
        <w:rPr>
          <w:sz w:val="20"/>
          <w:szCs w:val="20"/>
        </w:rPr>
        <w:t xml:space="preserve">Natural gas is transported in the German transmission network at pressures of up to 100 bar </w:t>
      </w:r>
      <w:r w:rsidRPr="005170F2">
        <w:rPr>
          <w:color w:val="00B0F0"/>
          <w:sz w:val="20"/>
          <w:szCs w:val="20"/>
        </w:rPr>
        <w:t>[</w:t>
      </w:r>
      <w:r w:rsidR="00A944D9" w:rsidRPr="005170F2">
        <w:rPr>
          <w:color w:val="00B0F0"/>
          <w:sz w:val="20"/>
          <w:szCs w:val="20"/>
        </w:rPr>
        <w:t>https://fnb-gas.de/erdgastransport/fernleitungsnetz/</w:t>
      </w:r>
      <w:r w:rsidRPr="005170F2">
        <w:rPr>
          <w:color w:val="00B0F0"/>
          <w:sz w:val="20"/>
          <w:szCs w:val="20"/>
        </w:rPr>
        <w:t>]</w:t>
      </w:r>
      <w:r w:rsidRPr="005170F2">
        <w:rPr>
          <w:sz w:val="20"/>
          <w:szCs w:val="20"/>
        </w:rPr>
        <w:t xml:space="preserve">, making high-pressure </w:t>
      </w:r>
      <w:r w:rsidR="00A944D9" w:rsidRPr="005170F2">
        <w:rPr>
          <w:sz w:val="20"/>
          <w:szCs w:val="20"/>
        </w:rPr>
        <w:t>e</w:t>
      </w:r>
      <w:r w:rsidRPr="005170F2">
        <w:rPr>
          <w:sz w:val="20"/>
          <w:szCs w:val="20"/>
        </w:rPr>
        <w:t>SMR operation compatible with direct pipeline supply</w:t>
      </w:r>
      <w:r w:rsidR="000D68DB" w:rsidRPr="005170F2">
        <w:rPr>
          <w:sz w:val="20"/>
          <w:szCs w:val="20"/>
        </w:rPr>
        <w:t>.</w:t>
      </w:r>
      <w:r w:rsidR="000D68DB" w:rsidRPr="005170F2">
        <w:rPr>
          <w:sz w:val="20"/>
          <w:szCs w:val="20"/>
          <w:lang w:val="en-GB"/>
        </w:rPr>
        <w:t xml:space="preserve"> </w:t>
      </w:r>
      <w:r w:rsidR="009D0974" w:rsidRPr="009D0974">
        <w:rPr>
          <w:sz w:val="20"/>
          <w:szCs w:val="20"/>
        </w:rPr>
        <w:t xml:space="preserve">Refinery units operate at pressures of </w:t>
      </w:r>
      <w:r>
        <w:rPr>
          <w:sz w:val="20"/>
          <w:szCs w:val="20"/>
        </w:rPr>
        <w:t>20</w:t>
      </w:r>
      <w:r w:rsidR="009D0974">
        <w:rPr>
          <w:sz w:val="20"/>
          <w:szCs w:val="20"/>
        </w:rPr>
        <w:t>-</w:t>
      </w:r>
      <w:r>
        <w:rPr>
          <w:sz w:val="20"/>
          <w:szCs w:val="20"/>
        </w:rPr>
        <w:t xml:space="preserve">200 </w:t>
      </w:r>
      <w:r w:rsidR="009D0974" w:rsidRPr="009D0974">
        <w:rPr>
          <w:sz w:val="20"/>
          <w:szCs w:val="20"/>
        </w:rPr>
        <w:t xml:space="preserve">bar for hydrotreating </w:t>
      </w:r>
      <w:r>
        <w:rPr>
          <w:sz w:val="20"/>
          <w:szCs w:val="20"/>
        </w:rPr>
        <w:t>and 60</w:t>
      </w:r>
      <w:r w:rsidR="009D0974">
        <w:rPr>
          <w:sz w:val="20"/>
          <w:szCs w:val="20"/>
        </w:rPr>
        <w:t>-</w:t>
      </w:r>
      <w:r w:rsidR="009D0974" w:rsidRPr="009D0974">
        <w:rPr>
          <w:sz w:val="20"/>
          <w:szCs w:val="20"/>
        </w:rPr>
        <w:t>20</w:t>
      </w:r>
      <w:r>
        <w:rPr>
          <w:sz w:val="20"/>
          <w:szCs w:val="20"/>
        </w:rPr>
        <w:t>0</w:t>
      </w:r>
      <w:r w:rsidR="009D0974" w:rsidRPr="009D0974">
        <w:rPr>
          <w:sz w:val="20"/>
          <w:szCs w:val="20"/>
        </w:rPr>
        <w:t xml:space="preserve"> bar for hydrocracking [</w:t>
      </w:r>
      <w:r w:rsidRPr="00A9612D">
        <w:rPr>
          <w:sz w:val="20"/>
          <w:szCs w:val="20"/>
        </w:rPr>
        <w:t>https://doi.org/10.1007/978-0-387-25789-1_7</w:t>
      </w:r>
      <w:r>
        <w:rPr>
          <w:sz w:val="20"/>
          <w:szCs w:val="20"/>
        </w:rPr>
        <w:t xml:space="preserve">] </w:t>
      </w:r>
      <w:r w:rsidR="009D0974" w:rsidRPr="009D0974">
        <w:rPr>
          <w:sz w:val="20"/>
          <w:szCs w:val="20"/>
        </w:rPr>
        <w:t xml:space="preserve">requiring substantial compression of the hydrogen supply </w:t>
      </w:r>
      <w:r>
        <w:rPr>
          <w:sz w:val="20"/>
          <w:szCs w:val="20"/>
        </w:rPr>
        <w:t xml:space="preserve">after </w:t>
      </w:r>
      <w:r w:rsidR="00764BCF">
        <w:rPr>
          <w:sz w:val="20"/>
          <w:szCs w:val="20"/>
        </w:rPr>
        <w:t xml:space="preserve">conventional </w:t>
      </w:r>
      <w:r>
        <w:rPr>
          <w:sz w:val="20"/>
          <w:szCs w:val="20"/>
        </w:rPr>
        <w:t>SMR</w:t>
      </w:r>
      <w:r w:rsidR="009D0974" w:rsidRPr="009D0974">
        <w:rPr>
          <w:sz w:val="20"/>
          <w:szCs w:val="20"/>
        </w:rPr>
        <w:t>.</w:t>
      </w:r>
    </w:p>
    <w:p w14:paraId="1497D7FE" w14:textId="77777777" w:rsidR="00083F5E" w:rsidRDefault="00764BCF" w:rsidP="00083F5E">
      <w:pPr>
        <w:rPr>
          <w:sz w:val="20"/>
          <w:szCs w:val="20"/>
        </w:rPr>
      </w:pPr>
      <w:r>
        <w:rPr>
          <w:sz w:val="20"/>
          <w:szCs w:val="20"/>
        </w:rPr>
        <w:t xml:space="preserve">Pressure reduction to SMR operating conditions requires an expansion step, </w:t>
      </w:r>
      <w:r w:rsidRPr="00764BCF">
        <w:rPr>
          <w:sz w:val="20"/>
          <w:szCs w:val="20"/>
        </w:rPr>
        <w:t>followed by recompression for downstream processes</w:t>
      </w:r>
      <w:r>
        <w:rPr>
          <w:sz w:val="20"/>
          <w:szCs w:val="20"/>
        </w:rPr>
        <w:t>, while a</w:t>
      </w:r>
      <w:r w:rsidRPr="00764BCF">
        <w:rPr>
          <w:sz w:val="20"/>
          <w:szCs w:val="20"/>
        </w:rPr>
        <w:t xml:space="preserve"> pressure-independent reforming concept, such as OCMC, would eliminate both steps</w:t>
      </w:r>
      <w:r>
        <w:rPr>
          <w:sz w:val="20"/>
          <w:szCs w:val="20"/>
        </w:rPr>
        <w:t>:</w:t>
      </w:r>
    </w:p>
    <w:p w14:paraId="4F22A7C1" w14:textId="5FB74EBB" w:rsidR="00083F5E" w:rsidRPr="003F785B" w:rsidRDefault="00B44E2A" w:rsidP="00083F5E">
      <w:pPr>
        <w:rPr>
          <w:rFonts w:eastAsiaTheme="minorEastAsia"/>
          <w:sz w:val="20"/>
          <w:szCs w:val="20"/>
        </w:rPr>
      </w:pPr>
      <m:oMathPara>
        <m:oMath>
          <m:r>
            <w:rPr>
              <w:rFonts w:ascii="Cambria Math" w:hAnsi="Cambria Math"/>
              <w:sz w:val="20"/>
              <w:szCs w:val="20"/>
            </w:rPr>
            <m:t xml:space="preserve">ideal: </m:t>
          </m:r>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γ</m:t>
              </m:r>
            </m:e>
            <m:sub>
              <m:r>
                <w:rPr>
                  <w:rFonts w:ascii="Cambria Math" w:hAnsi="Cambria Math"/>
                  <w:sz w:val="20"/>
                  <w:szCs w:val="20"/>
                </w:rPr>
                <m:t>C</m:t>
              </m:r>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H</m:t>
                  </m:r>
                </m:e>
                <m:sub>
                  <m:r>
                    <w:rPr>
                      <w:rFonts w:ascii="Cambria Math" w:hAnsi="Cambria Math"/>
                      <w:sz w:val="20"/>
                      <w:szCs w:val="20"/>
                    </w:rPr>
                    <m:t>4</m:t>
                  </m:r>
                </m:sub>
              </m:sSub>
            </m:sub>
          </m:sSub>
          <m:r>
            <w:rPr>
              <w:rFonts w:ascii="Cambria Math" w:hAnsi="Cambria Math"/>
              <w:sz w:val="20"/>
              <w:szCs w:val="20"/>
            </w:rPr>
            <m:t>=</m:t>
          </m:r>
          <m:f>
            <m:fPr>
              <m:ctrlPr>
                <w:rPr>
                  <w:rFonts w:ascii="Cambria Math" w:eastAsiaTheme="minorHAnsi" w:hAnsi="Cambria Math" w:cstheme="minorBidi"/>
                  <w:i/>
                  <w:kern w:val="2"/>
                  <w:sz w:val="20"/>
                  <w:szCs w:val="20"/>
                  <w:lang w:eastAsia="en-US"/>
                  <w14:ligatures w14:val="standardContextual"/>
                </w:rPr>
              </m:ctrlPr>
            </m:fPr>
            <m:num>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c</m:t>
                  </m:r>
                </m:e>
                <m:sub>
                  <m:r>
                    <w:rPr>
                      <w:rFonts w:ascii="Cambria Math" w:hAnsi="Cambria Math"/>
                      <w:sz w:val="20"/>
                      <w:szCs w:val="20"/>
                    </w:rPr>
                    <m:t>p</m:t>
                  </m:r>
                </m:sub>
              </m:sSub>
            </m:num>
            <m:den>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c</m:t>
                  </m:r>
                </m:e>
                <m:sub>
                  <m:r>
                    <w:rPr>
                      <w:rFonts w:ascii="Cambria Math" w:hAnsi="Cambria Math"/>
                      <w:sz w:val="20"/>
                      <w:szCs w:val="20"/>
                    </w:rPr>
                    <m:t>v</m:t>
                  </m:r>
                </m:sub>
              </m:sSub>
            </m:den>
          </m:f>
          <m:r>
            <w:rPr>
              <w:rFonts w:ascii="Cambria Math" w:eastAsiaTheme="minorEastAsia" w:hAnsi="Cambria Math"/>
              <w:sz w:val="20"/>
              <w:szCs w:val="20"/>
            </w:rPr>
            <m:t>=</m:t>
          </m:r>
          <m:f>
            <m:fPr>
              <m:ctrlPr>
                <w:rPr>
                  <w:rFonts w:ascii="Cambria Math" w:eastAsiaTheme="minorHAnsi" w:hAnsi="Cambria Math" w:cstheme="minorBidi"/>
                  <w:i/>
                  <w:kern w:val="2"/>
                  <w:sz w:val="20"/>
                  <w:szCs w:val="20"/>
                  <w:lang w:eastAsia="en-US"/>
                  <w14:ligatures w14:val="standardContextual"/>
                </w:rPr>
              </m:ctrlPr>
            </m:fPr>
            <m:num>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c</m:t>
                  </m:r>
                </m:e>
                <m:sub>
                  <m:r>
                    <w:rPr>
                      <w:rFonts w:ascii="Cambria Math" w:hAnsi="Cambria Math"/>
                      <w:sz w:val="20"/>
                      <w:szCs w:val="20"/>
                    </w:rPr>
                    <m:t>p</m:t>
                  </m:r>
                </m:sub>
              </m:sSub>
              <m:r>
                <w:rPr>
                  <w:rFonts w:ascii="Cambria Math" w:hAnsi="Cambria Math"/>
                  <w:sz w:val="20"/>
                  <w:szCs w:val="20"/>
                </w:rPr>
                <m:t>(</m:t>
              </m:r>
              <m:sSub>
                <m:sSubPr>
                  <m:ctrlPr>
                    <w:rPr>
                      <w:rFonts w:ascii="Cambria Math" w:eastAsiaTheme="minorHAnsi"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num>
            <m:den>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c</m:t>
                  </m:r>
                </m:e>
                <m:sub>
                  <m:r>
                    <w:rPr>
                      <w:rFonts w:ascii="Cambria Math" w:hAnsi="Cambria Math"/>
                      <w:sz w:val="20"/>
                      <w:szCs w:val="20"/>
                    </w:rPr>
                    <m:t>p</m:t>
                  </m:r>
                </m:sub>
              </m:sSub>
              <m:r>
                <w:rPr>
                  <w:rFonts w:ascii="Cambria Math" w:hAnsi="Cambria Math"/>
                  <w:sz w:val="20"/>
                  <w:szCs w:val="20"/>
                </w:rPr>
                <m:t>(</m:t>
              </m:r>
              <m:sSub>
                <m:sSubPr>
                  <m:ctrlPr>
                    <w:rPr>
                      <w:rFonts w:ascii="Cambria Math" w:eastAsiaTheme="minorHAnsi"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)-R</m:t>
              </m:r>
            </m:den>
          </m:f>
          <m:r>
            <w:rPr>
              <w:rFonts w:ascii="Cambria Math" w:eastAsiaTheme="minorEastAsia" w:hAnsi="Cambria Math"/>
              <w:sz w:val="20"/>
              <w:szCs w:val="20"/>
            </w:rPr>
            <m:t>=</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3</m:t>
              </m:r>
              <m:r>
                <w:rPr>
                  <w:rFonts w:ascii="Cambria Math" w:hAnsi="Cambria Math"/>
                  <w:sz w:val="20"/>
                  <w:szCs w:val="20"/>
                </w:rPr>
                <m:t>5</m:t>
              </m:r>
              <m:r>
                <w:rPr>
                  <w:rFonts w:ascii="Cambria Math" w:hAnsi="Cambria Math"/>
                  <w:sz w:val="20"/>
                  <w:szCs w:val="20"/>
                </w:rPr>
                <m:t>.</m:t>
              </m:r>
              <m:r>
                <w:rPr>
                  <w:rFonts w:ascii="Cambria Math" w:hAnsi="Cambria Math"/>
                  <w:sz w:val="20"/>
                  <w:szCs w:val="20"/>
                </w:rPr>
                <m:t>69</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J</m:t>
                  </m:r>
                </m:num>
                <m:den>
                  <m:r>
                    <w:rPr>
                      <w:rFonts w:ascii="Cambria Math" w:hAnsi="Cambria Math"/>
                      <w:sz w:val="20"/>
                      <w:szCs w:val="20"/>
                    </w:rPr>
                    <m:t>mol K</m:t>
                  </m:r>
                </m:den>
              </m:f>
            </m:num>
            <m:den>
              <m:d>
                <m:dPr>
                  <m:ctrlPr>
                    <w:rPr>
                      <w:rFonts w:ascii="Cambria Math" w:eastAsiaTheme="minorHAnsi" w:hAnsi="Cambria Math" w:cstheme="minorBidi"/>
                      <w:i/>
                      <w:kern w:val="2"/>
                      <w:sz w:val="20"/>
                      <w:szCs w:val="20"/>
                      <w:lang w:eastAsia="en-US"/>
                      <w14:ligatures w14:val="standardContextual"/>
                    </w:rPr>
                  </m:ctrlPr>
                </m:dPr>
                <m:e>
                  <m:r>
                    <w:rPr>
                      <w:rFonts w:ascii="Cambria Math" w:hAnsi="Cambria Math"/>
                      <w:sz w:val="20"/>
                      <w:szCs w:val="20"/>
                    </w:rPr>
                    <m:t>3</m:t>
                  </m:r>
                  <m:r>
                    <w:rPr>
                      <w:rFonts w:ascii="Cambria Math" w:hAnsi="Cambria Math"/>
                      <w:sz w:val="20"/>
                      <w:szCs w:val="20"/>
                    </w:rPr>
                    <m:t>5</m:t>
                  </m:r>
                  <m:r>
                    <w:rPr>
                      <w:rFonts w:ascii="Cambria Math" w:hAnsi="Cambria Math"/>
                      <w:sz w:val="20"/>
                      <w:szCs w:val="20"/>
                    </w:rPr>
                    <m:t>.</m:t>
                  </m:r>
                  <m:r>
                    <w:rPr>
                      <w:rFonts w:ascii="Cambria Math" w:hAnsi="Cambria Math"/>
                      <w:sz w:val="20"/>
                      <w:szCs w:val="20"/>
                    </w:rPr>
                    <m:t>69</m:t>
                  </m:r>
                  <m:r>
                    <w:rPr>
                      <w:rFonts w:ascii="Cambria Math" w:hAnsi="Cambria Math"/>
                      <w:sz w:val="20"/>
                      <w:szCs w:val="20"/>
                    </w:rPr>
                    <m:t>-</m:t>
                  </m:r>
                  <m:r>
                    <w:rPr>
                      <w:rFonts w:ascii="Cambria Math" w:hAnsi="Cambria Math"/>
                      <w:sz w:val="20"/>
                      <w:szCs w:val="20"/>
                    </w:rPr>
                    <m:t>8.314</m:t>
                  </m:r>
                </m:e>
              </m:d>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J</m:t>
                  </m:r>
                </m:num>
                <m:den>
                  <m:r>
                    <w:rPr>
                      <w:rFonts w:ascii="Cambria Math" w:hAnsi="Cambria Math"/>
                      <w:sz w:val="20"/>
                      <w:szCs w:val="20"/>
                    </w:rPr>
                    <m:t>mol K</m:t>
                  </m:r>
                </m:den>
              </m:f>
            </m:den>
          </m:f>
          <m:r>
            <w:rPr>
              <w:rFonts w:ascii="Cambria Math" w:hAnsi="Cambria Math"/>
              <w:sz w:val="20"/>
              <w:szCs w:val="20"/>
            </w:rPr>
            <m:t>=1.3</m:t>
          </m:r>
          <m:r>
            <w:rPr>
              <w:rFonts w:ascii="Cambria Math" w:hAnsi="Cambria Math"/>
              <w:sz w:val="20"/>
              <w:szCs w:val="20"/>
            </w:rPr>
            <m:t>0</m:t>
          </m:r>
          <m:r>
            <w:rPr>
              <w:rFonts w:ascii="Cambria Math" w:eastAsiaTheme="minorEastAsia" w:hAnsi="Cambria Math"/>
              <w:sz w:val="20"/>
              <w:szCs w:val="20"/>
            </w:rPr>
            <m:t>→</m:t>
          </m:r>
          <m:f>
            <m:fPr>
              <m:ctrlPr>
                <w:rPr>
                  <w:rFonts w:ascii="Cambria Math" w:eastAsiaTheme="minorHAnsi" w:hAnsi="Cambria Math"/>
                  <w:i/>
                  <w:sz w:val="20"/>
                  <w:szCs w:val="20"/>
                </w:rPr>
              </m:ctrlPr>
            </m:fPr>
            <m:num>
              <m:r>
                <w:rPr>
                  <w:rFonts w:ascii="Cambria Math" w:hAnsi="Cambria Math"/>
                  <w:sz w:val="20"/>
                  <w:szCs w:val="20"/>
                </w:rPr>
                <m:t>γ</m:t>
              </m:r>
            </m:num>
            <m:den>
              <m:r>
                <w:rPr>
                  <w:rFonts w:ascii="Cambria Math" w:hAnsi="Cambria Math"/>
                  <w:sz w:val="20"/>
                  <w:szCs w:val="20"/>
                </w:rPr>
                <m:t>γ-1</m:t>
              </m:r>
            </m:den>
          </m:f>
          <m:r>
            <w:rPr>
              <w:rFonts w:ascii="Cambria Math" w:hAnsi="Cambria Math"/>
              <w:sz w:val="20"/>
              <w:szCs w:val="20"/>
            </w:rPr>
            <m:t>=</m:t>
          </m:r>
          <m:r>
            <w:rPr>
              <w:rFonts w:ascii="Cambria Math" w:hAnsi="Cambria Math"/>
              <w:sz w:val="20"/>
              <w:szCs w:val="20"/>
            </w:rPr>
            <m:t>4.</m:t>
          </m:r>
          <m:r>
            <w:rPr>
              <w:rFonts w:ascii="Cambria Math" w:hAnsi="Cambria Math"/>
              <w:sz w:val="20"/>
              <w:szCs w:val="20"/>
            </w:rPr>
            <m:t>3</m:t>
          </m:r>
          <m:r>
            <w:rPr>
              <w:rFonts w:ascii="Cambria Math" w:hAnsi="Cambria Math"/>
              <w:sz w:val="20"/>
              <w:szCs w:val="20"/>
            </w:rPr>
            <m:t xml:space="preserve">3, </m:t>
          </m:r>
          <m:f>
            <m:fPr>
              <m:ctrlPr>
                <w:rPr>
                  <w:rFonts w:ascii="Cambria Math" w:eastAsiaTheme="minorHAnsi" w:hAnsi="Cambria Math"/>
                  <w:i/>
                  <w:sz w:val="20"/>
                  <w:szCs w:val="20"/>
                </w:rPr>
              </m:ctrlPr>
            </m:fPr>
            <m:num>
              <m:r>
                <w:rPr>
                  <w:rFonts w:ascii="Cambria Math" w:hAnsi="Cambria Math"/>
                  <w:sz w:val="20"/>
                  <w:szCs w:val="20"/>
                </w:rPr>
                <m:t>γ-1</m:t>
              </m:r>
            </m:num>
            <m:den>
              <m:r>
                <w:rPr>
                  <w:rFonts w:ascii="Cambria Math" w:hAnsi="Cambria Math"/>
                  <w:sz w:val="20"/>
                  <w:szCs w:val="20"/>
                </w:rPr>
                <m:t>γ</m:t>
              </m:r>
            </m:den>
          </m:f>
          <m:r>
            <w:rPr>
              <w:rFonts w:ascii="Cambria Math" w:hAnsi="Cambria Math"/>
              <w:sz w:val="20"/>
              <w:szCs w:val="20"/>
            </w:rPr>
            <m:t>=0.2</m:t>
          </m:r>
          <m:r>
            <w:rPr>
              <w:rFonts w:ascii="Cambria Math" w:hAnsi="Cambria Math"/>
              <w:sz w:val="20"/>
              <w:szCs w:val="20"/>
            </w:rPr>
            <m:t>3</m:t>
          </m:r>
        </m:oMath>
      </m:oMathPara>
    </w:p>
    <w:p w14:paraId="51F13250" w14:textId="0067134A" w:rsidR="003F785B" w:rsidRDefault="003F785B" w:rsidP="003F785B">
      <w:pPr>
        <w:rPr>
          <w:sz w:val="20"/>
          <w:szCs w:val="20"/>
        </w:rPr>
      </w:pPr>
      <m:oMathPara>
        <m:oMath>
          <m:r>
            <w:rPr>
              <w:rFonts w:ascii="Cambria Math" w:hAnsi="Cambria Math"/>
              <w:sz w:val="20"/>
              <w:szCs w:val="20"/>
            </w:rPr>
            <w:lastRenderedPageBreak/>
            <m:t xml:space="preserve">ideal: </m:t>
          </m:r>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γ</m:t>
              </m:r>
            </m:e>
            <m:sub>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H</m:t>
                  </m:r>
                </m:e>
                <m:sub>
                  <m:r>
                    <w:rPr>
                      <w:rFonts w:ascii="Cambria Math" w:hAnsi="Cambria Math"/>
                      <w:sz w:val="20"/>
                      <w:szCs w:val="20"/>
                    </w:rPr>
                    <m:t>2</m:t>
                  </m:r>
                </m:sub>
              </m:sSub>
            </m:sub>
          </m:sSub>
          <m:r>
            <w:rPr>
              <w:rFonts w:ascii="Cambria Math" w:hAnsi="Cambria Math"/>
              <w:sz w:val="20"/>
              <w:szCs w:val="20"/>
            </w:rPr>
            <m:t>=</m:t>
          </m:r>
          <m:f>
            <m:fPr>
              <m:ctrlPr>
                <w:rPr>
                  <w:rFonts w:ascii="Cambria Math" w:eastAsiaTheme="minorHAnsi" w:hAnsi="Cambria Math" w:cstheme="minorBidi"/>
                  <w:i/>
                  <w:kern w:val="2"/>
                  <w:sz w:val="20"/>
                  <w:szCs w:val="20"/>
                  <w:lang w:eastAsia="en-US"/>
                  <w14:ligatures w14:val="standardContextual"/>
                </w:rPr>
              </m:ctrlPr>
            </m:fPr>
            <m:num>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c</m:t>
                  </m:r>
                </m:e>
                <m:sub>
                  <m:r>
                    <w:rPr>
                      <w:rFonts w:ascii="Cambria Math" w:hAnsi="Cambria Math"/>
                      <w:sz w:val="20"/>
                      <w:szCs w:val="20"/>
                    </w:rPr>
                    <m:t>p</m:t>
                  </m:r>
                </m:sub>
              </m:sSub>
            </m:num>
            <m:den>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c</m:t>
                  </m:r>
                </m:e>
                <m:sub>
                  <m:r>
                    <w:rPr>
                      <w:rFonts w:ascii="Cambria Math" w:hAnsi="Cambria Math"/>
                      <w:sz w:val="20"/>
                      <w:szCs w:val="20"/>
                    </w:rPr>
                    <m:t>v</m:t>
                  </m:r>
                </m:sub>
              </m:sSub>
            </m:den>
          </m:f>
          <m:r>
            <w:rPr>
              <w:rFonts w:ascii="Cambria Math" w:eastAsiaTheme="minorEastAsia" w:hAnsi="Cambria Math"/>
              <w:sz w:val="20"/>
              <w:szCs w:val="20"/>
            </w:rPr>
            <m:t>=</m:t>
          </m:r>
          <m:f>
            <m:fPr>
              <m:ctrlPr>
                <w:rPr>
                  <w:rFonts w:ascii="Cambria Math" w:eastAsiaTheme="minorHAnsi" w:hAnsi="Cambria Math" w:cstheme="minorBidi"/>
                  <w:i/>
                  <w:kern w:val="2"/>
                  <w:sz w:val="20"/>
                  <w:szCs w:val="20"/>
                  <w:lang w:eastAsia="en-US"/>
                  <w14:ligatures w14:val="standardContextual"/>
                </w:rPr>
              </m:ctrlPr>
            </m:fPr>
            <m:num>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c</m:t>
                  </m:r>
                </m:e>
                <m:sub>
                  <m:r>
                    <w:rPr>
                      <w:rFonts w:ascii="Cambria Math" w:hAnsi="Cambria Math"/>
                      <w:sz w:val="20"/>
                      <w:szCs w:val="20"/>
                    </w:rPr>
                    <m:t>p</m:t>
                  </m:r>
                </m:sub>
              </m:sSub>
              <m:r>
                <w:rPr>
                  <w:rFonts w:ascii="Cambria Math" w:hAnsi="Cambria Math"/>
                  <w:sz w:val="20"/>
                  <w:szCs w:val="20"/>
                </w:rPr>
                <m:t>(</m:t>
              </m:r>
              <m:sSub>
                <m:sSubPr>
                  <m:ctrlPr>
                    <w:rPr>
                      <w:rFonts w:ascii="Cambria Math" w:eastAsiaTheme="minorHAnsi"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num>
            <m:den>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c</m:t>
                  </m:r>
                </m:e>
                <m:sub>
                  <m:r>
                    <w:rPr>
                      <w:rFonts w:ascii="Cambria Math" w:hAnsi="Cambria Math"/>
                      <w:sz w:val="20"/>
                      <w:szCs w:val="20"/>
                    </w:rPr>
                    <m:t>p</m:t>
                  </m:r>
                </m:sub>
              </m:sSub>
              <m:r>
                <w:rPr>
                  <w:rFonts w:ascii="Cambria Math" w:hAnsi="Cambria Math"/>
                  <w:sz w:val="20"/>
                  <w:szCs w:val="20"/>
                </w:rPr>
                <m:t>(</m:t>
              </m:r>
              <m:sSub>
                <m:sSubPr>
                  <m:ctrlPr>
                    <w:rPr>
                      <w:rFonts w:ascii="Cambria Math" w:eastAsiaTheme="minorHAnsi"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)-R</m:t>
              </m:r>
            </m:den>
          </m:f>
          <m:r>
            <w:rPr>
              <w:rFonts w:ascii="Cambria Math" w:eastAsiaTheme="minorEastAsia" w:hAnsi="Cambria Math"/>
              <w:sz w:val="20"/>
              <w:szCs w:val="20"/>
            </w:rPr>
            <m:t>=</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28</m:t>
              </m:r>
              <m:r>
                <w:rPr>
                  <w:rFonts w:ascii="Cambria Math" w:hAnsi="Cambria Math"/>
                  <w:sz w:val="20"/>
                  <w:szCs w:val="20"/>
                </w:rPr>
                <m:t>.</m:t>
              </m:r>
              <m:r>
                <w:rPr>
                  <w:rFonts w:ascii="Cambria Math" w:hAnsi="Cambria Math"/>
                  <w:sz w:val="20"/>
                  <w:szCs w:val="20"/>
                </w:rPr>
                <m:t>84</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J</m:t>
                  </m:r>
                </m:num>
                <m:den>
                  <m:r>
                    <w:rPr>
                      <w:rFonts w:ascii="Cambria Math" w:hAnsi="Cambria Math"/>
                      <w:sz w:val="20"/>
                      <w:szCs w:val="20"/>
                    </w:rPr>
                    <m:t>mol K</m:t>
                  </m:r>
                </m:den>
              </m:f>
            </m:num>
            <m:den>
              <m:d>
                <m:dPr>
                  <m:ctrlPr>
                    <w:rPr>
                      <w:rFonts w:ascii="Cambria Math" w:eastAsiaTheme="minorHAnsi" w:hAnsi="Cambria Math" w:cstheme="minorBidi"/>
                      <w:i/>
                      <w:kern w:val="2"/>
                      <w:sz w:val="20"/>
                      <w:szCs w:val="20"/>
                      <w:lang w:eastAsia="en-US"/>
                      <w14:ligatures w14:val="standardContextual"/>
                    </w:rPr>
                  </m:ctrlPr>
                </m:dPr>
                <m:e>
                  <m:r>
                    <w:rPr>
                      <w:rFonts w:ascii="Cambria Math" w:hAnsi="Cambria Math"/>
                      <w:sz w:val="20"/>
                      <w:szCs w:val="20"/>
                    </w:rPr>
                    <m:t>28</m:t>
                  </m:r>
                  <m:r>
                    <w:rPr>
                      <w:rFonts w:ascii="Cambria Math" w:hAnsi="Cambria Math"/>
                      <w:sz w:val="20"/>
                      <w:szCs w:val="20"/>
                    </w:rPr>
                    <m:t>.</m:t>
                  </m:r>
                  <m:r>
                    <w:rPr>
                      <w:rFonts w:ascii="Cambria Math" w:hAnsi="Cambria Math"/>
                      <w:sz w:val="20"/>
                      <w:szCs w:val="20"/>
                    </w:rPr>
                    <m:t>84</m:t>
                  </m:r>
                  <m:r>
                    <w:rPr>
                      <w:rFonts w:ascii="Cambria Math" w:hAnsi="Cambria Math"/>
                      <w:sz w:val="20"/>
                      <w:szCs w:val="20"/>
                    </w:rPr>
                    <m:t>-8.314</m:t>
                  </m:r>
                </m:e>
              </m:d>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J</m:t>
                  </m:r>
                </m:num>
                <m:den>
                  <m:r>
                    <w:rPr>
                      <w:rFonts w:ascii="Cambria Math" w:hAnsi="Cambria Math"/>
                      <w:sz w:val="20"/>
                      <w:szCs w:val="20"/>
                    </w:rPr>
                    <m:t>mol K</m:t>
                  </m:r>
                </m:den>
              </m:f>
            </m:den>
          </m:f>
          <m:r>
            <w:rPr>
              <w:rFonts w:ascii="Cambria Math" w:hAnsi="Cambria Math"/>
              <w:sz w:val="20"/>
              <w:szCs w:val="20"/>
            </w:rPr>
            <m:t>=1.</m:t>
          </m:r>
          <m:r>
            <w:rPr>
              <w:rFonts w:ascii="Cambria Math" w:hAnsi="Cambria Math"/>
              <w:sz w:val="20"/>
              <w:szCs w:val="20"/>
            </w:rPr>
            <m:t>41</m:t>
          </m:r>
          <m:r>
            <w:rPr>
              <w:rFonts w:ascii="Cambria Math" w:eastAsiaTheme="minorEastAsia" w:hAnsi="Cambria Math"/>
              <w:sz w:val="20"/>
              <w:szCs w:val="20"/>
            </w:rPr>
            <m:t>→</m:t>
          </m:r>
          <m:f>
            <m:fPr>
              <m:ctrlPr>
                <w:rPr>
                  <w:rFonts w:ascii="Cambria Math" w:eastAsiaTheme="minorHAnsi" w:hAnsi="Cambria Math"/>
                  <w:i/>
                  <w:sz w:val="20"/>
                  <w:szCs w:val="20"/>
                </w:rPr>
              </m:ctrlPr>
            </m:fPr>
            <m:num>
              <m:r>
                <w:rPr>
                  <w:rFonts w:ascii="Cambria Math" w:hAnsi="Cambria Math"/>
                  <w:sz w:val="20"/>
                  <w:szCs w:val="20"/>
                </w:rPr>
                <m:t>γ</m:t>
              </m:r>
            </m:num>
            <m:den>
              <m:r>
                <w:rPr>
                  <w:rFonts w:ascii="Cambria Math" w:hAnsi="Cambria Math"/>
                  <w:sz w:val="20"/>
                  <w:szCs w:val="20"/>
                </w:rPr>
                <m:t>γ-1</m:t>
              </m:r>
            </m:den>
          </m:f>
          <m:r>
            <w:rPr>
              <w:rFonts w:ascii="Cambria Math" w:hAnsi="Cambria Math"/>
              <w:sz w:val="20"/>
              <w:szCs w:val="20"/>
            </w:rPr>
            <m:t>=</m:t>
          </m:r>
          <m:r>
            <w:rPr>
              <w:rFonts w:ascii="Cambria Math" w:hAnsi="Cambria Math"/>
              <w:sz w:val="20"/>
              <w:szCs w:val="20"/>
            </w:rPr>
            <m:t>3</m:t>
          </m:r>
          <m:r>
            <w:rPr>
              <w:rFonts w:ascii="Cambria Math" w:hAnsi="Cambria Math"/>
              <w:sz w:val="20"/>
              <w:szCs w:val="20"/>
            </w:rPr>
            <m:t>.</m:t>
          </m:r>
          <m:r>
            <w:rPr>
              <w:rFonts w:ascii="Cambria Math" w:hAnsi="Cambria Math"/>
              <w:sz w:val="20"/>
              <w:szCs w:val="20"/>
            </w:rPr>
            <m:t>44</m:t>
          </m:r>
          <m:r>
            <w:rPr>
              <w:rFonts w:ascii="Cambria Math" w:hAnsi="Cambria Math"/>
              <w:sz w:val="20"/>
              <w:szCs w:val="20"/>
            </w:rPr>
            <m:t xml:space="preserve">, </m:t>
          </m:r>
          <m:f>
            <m:fPr>
              <m:ctrlPr>
                <w:rPr>
                  <w:rFonts w:ascii="Cambria Math" w:eastAsiaTheme="minorHAnsi" w:hAnsi="Cambria Math"/>
                  <w:i/>
                  <w:sz w:val="20"/>
                  <w:szCs w:val="20"/>
                </w:rPr>
              </m:ctrlPr>
            </m:fPr>
            <m:num>
              <m:r>
                <w:rPr>
                  <w:rFonts w:ascii="Cambria Math" w:hAnsi="Cambria Math"/>
                  <w:sz w:val="20"/>
                  <w:szCs w:val="20"/>
                </w:rPr>
                <m:t>γ-1</m:t>
              </m:r>
            </m:num>
            <m:den>
              <m:r>
                <w:rPr>
                  <w:rFonts w:ascii="Cambria Math" w:hAnsi="Cambria Math"/>
                  <w:sz w:val="20"/>
                  <w:szCs w:val="20"/>
                </w:rPr>
                <m:t>γ</m:t>
              </m:r>
            </m:den>
          </m:f>
          <m:r>
            <w:rPr>
              <w:rFonts w:ascii="Cambria Math" w:hAnsi="Cambria Math"/>
              <w:sz w:val="20"/>
              <w:szCs w:val="20"/>
            </w:rPr>
            <m:t>=0.2</m:t>
          </m:r>
          <m:r>
            <w:rPr>
              <w:rFonts w:ascii="Cambria Math" w:hAnsi="Cambria Math"/>
              <w:sz w:val="20"/>
              <w:szCs w:val="20"/>
            </w:rPr>
            <m:t>9</m:t>
          </m:r>
        </m:oMath>
      </m:oMathPara>
    </w:p>
    <w:p w14:paraId="62392324" w14:textId="77777777" w:rsidR="003F785B" w:rsidRDefault="003F785B" w:rsidP="00083F5E">
      <w:pPr>
        <w:rPr>
          <w:sz w:val="20"/>
          <w:szCs w:val="20"/>
        </w:rPr>
      </w:pPr>
    </w:p>
    <w:p w14:paraId="259E4975" w14:textId="2663290E" w:rsidR="00F039D6" w:rsidRPr="00A60B9D" w:rsidRDefault="00083F5E" w:rsidP="00083F5E">
      <w:pPr>
        <w:rPr>
          <w:rFonts w:eastAsiaTheme="minorEastAsia"/>
          <w:sz w:val="20"/>
          <w:szCs w:val="20"/>
        </w:rPr>
      </w:pPr>
      <m:oMathPara>
        <m:oMath>
          <m:r>
            <w:rPr>
              <w:rFonts w:ascii="Cambria Math" w:hAnsi="Cambria Math"/>
              <w:sz w:val="20"/>
              <w:szCs w:val="20"/>
            </w:rPr>
            <m:t>∆</m:t>
          </m:r>
          <m:sSub>
            <m:sSubPr>
              <m:ctrlPr>
                <w:rPr>
                  <w:rFonts w:ascii="Cambria Math" w:eastAsiaTheme="minorHAnsi" w:hAnsi="Cambria Math" w:cstheme="minorBidi"/>
                  <w:i/>
                  <w:iCs/>
                  <w:kern w:val="2"/>
                  <w:sz w:val="20"/>
                  <w:szCs w:val="20"/>
                  <w:lang w:eastAsia="en-US"/>
                  <w14:ligatures w14:val="standardContextual"/>
                </w:rPr>
              </m:ctrlPr>
            </m:sSubPr>
            <m:e>
              <m:r>
                <w:rPr>
                  <w:rFonts w:ascii="Cambria Math" w:hAnsi="Cambria Math"/>
                  <w:sz w:val="20"/>
                  <w:szCs w:val="20"/>
                </w:rPr>
                <m:t>W</m:t>
              </m:r>
            </m:e>
            <m:sub>
              <m:r>
                <w:rPr>
                  <w:rFonts w:ascii="Cambria Math" w:hAnsi="Cambria Math"/>
                  <w:sz w:val="20"/>
                  <w:szCs w:val="20"/>
                </w:rPr>
                <m:t>E-C</m:t>
              </m:r>
            </m:sub>
          </m:sSub>
          <m:sSub>
            <m:sSubPr>
              <m:ctrlPr>
                <w:rPr>
                  <w:rFonts w:ascii="Cambria Math" w:eastAsiaTheme="minorHAnsi" w:hAnsi="Cambria Math" w:cstheme="minorBidi"/>
                  <w:i/>
                  <w:iCs/>
                  <w:kern w:val="2"/>
                  <w:sz w:val="20"/>
                  <w:szCs w:val="20"/>
                  <w:lang w:eastAsia="en-US"/>
                  <w14:ligatures w14:val="standardContextual"/>
                </w:rPr>
              </m:ctrlPr>
            </m:sSubPr>
            <m:e>
              <m:r>
                <w:rPr>
                  <w:rFonts w:ascii="Cambria Math" w:hAnsi="Cambria Math"/>
                  <w:sz w:val="20"/>
                  <w:szCs w:val="20"/>
                </w:rPr>
                <m:t>=</m:t>
              </m:r>
              <m:r>
                <w:rPr>
                  <w:rFonts w:ascii="Cambria Math" w:hAnsi="Cambria Math"/>
                  <w:sz w:val="20"/>
                  <w:szCs w:val="20"/>
                </w:rPr>
                <m:t>W</m:t>
              </m:r>
            </m:e>
            <m:sub>
              <m:r>
                <w:rPr>
                  <w:rFonts w:ascii="Cambria Math" w:hAnsi="Cambria Math"/>
                  <w:sz w:val="20"/>
                  <w:szCs w:val="20"/>
                </w:rPr>
                <m:t>E</m:t>
              </m:r>
            </m:sub>
          </m:sSub>
          <m:r>
            <w:rPr>
              <w:rFonts w:ascii="Cambria Math" w:hAnsi="Cambria Math"/>
              <w:sz w:val="20"/>
              <w:szCs w:val="20"/>
            </w:rPr>
            <m:t>-</m:t>
          </m:r>
          <m:sSub>
            <m:sSubPr>
              <m:ctrlPr>
                <w:rPr>
                  <w:rFonts w:ascii="Cambria Math" w:eastAsiaTheme="minorHAnsi" w:hAnsi="Cambria Math" w:cstheme="minorBidi"/>
                  <w:i/>
                  <w:iCs/>
                  <w:kern w:val="2"/>
                  <w:sz w:val="20"/>
                  <w:szCs w:val="20"/>
                  <w:lang w:eastAsia="en-US"/>
                  <w14:ligatures w14:val="standardContextual"/>
                </w:rPr>
              </m:ctrlPr>
            </m:sSubPr>
            <m:e>
              <m:r>
                <w:rPr>
                  <w:rFonts w:ascii="Cambria Math" w:hAnsi="Cambria Math"/>
                  <w:sz w:val="20"/>
                  <w:szCs w:val="20"/>
                </w:rPr>
                <m:t>W</m:t>
              </m:r>
            </m:e>
            <m:sub>
              <m:r>
                <w:rPr>
                  <w:rFonts w:ascii="Cambria Math" w:hAnsi="Cambria Math"/>
                  <w:sz w:val="20"/>
                  <w:szCs w:val="20"/>
                </w:rPr>
                <m:t>C</m:t>
              </m:r>
            </m:sub>
          </m:sSub>
          <m:r>
            <w:rPr>
              <w:rFonts w:ascii="Cambria Math" w:hAnsi="Cambria Math"/>
              <w:sz w:val="20"/>
              <w:szCs w:val="20"/>
            </w:rPr>
            <m:t>=R∙</m:t>
          </m:r>
          <m:sSub>
            <m:sSubPr>
              <m:ctrlPr>
                <w:rPr>
                  <w:rFonts w:ascii="Cambria Math" w:eastAsiaTheme="minorHAnsi"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d>
            <m:dPr>
              <m:ctrlPr>
                <w:rPr>
                  <w:rFonts w:ascii="Cambria Math" w:eastAsiaTheme="minorHAnsi" w:hAnsi="Cambria Math" w:cstheme="minorBidi"/>
                  <w:i/>
                  <w:kern w:val="2"/>
                  <w:sz w:val="20"/>
                  <w:szCs w:val="20"/>
                  <w:lang w:eastAsia="en-US"/>
                  <w14:ligatures w14:val="standardContextual"/>
                </w:rPr>
              </m:ctrlPr>
            </m:dPr>
            <m:e>
              <m:f>
                <m:fPr>
                  <m:ctrlPr>
                    <w:rPr>
                      <w:rFonts w:ascii="Cambria Math" w:eastAsiaTheme="minorHAnsi" w:hAnsi="Cambria Math"/>
                      <w:i/>
                      <w:sz w:val="20"/>
                      <w:szCs w:val="20"/>
                    </w:rPr>
                  </m:ctrlPr>
                </m:fPr>
                <m:num>
                  <m:r>
                    <w:rPr>
                      <w:rFonts w:ascii="Cambria Math" w:hAnsi="Cambria Math"/>
                      <w:sz w:val="20"/>
                      <w:szCs w:val="20"/>
                    </w:rPr>
                    <m:t>γ</m:t>
                  </m:r>
                </m:num>
                <m:den>
                  <m:r>
                    <w:rPr>
                      <w:rFonts w:ascii="Cambria Math" w:hAnsi="Cambria Math"/>
                      <w:sz w:val="20"/>
                      <w:szCs w:val="20"/>
                    </w:rPr>
                    <m:t>γ-1</m:t>
                  </m:r>
                </m:den>
              </m:f>
              <m:r>
                <w:rPr>
                  <w:rFonts w:ascii="Cambria Math" w:hAnsi="Cambria Math"/>
                  <w:sz w:val="20"/>
                  <w:szCs w:val="20"/>
                </w:rPr>
                <m:t>∙</m:t>
              </m:r>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n</m:t>
                  </m:r>
                </m:e>
                <m:sub>
                  <m:r>
                    <w:rPr>
                      <w:rFonts w:ascii="Cambria Math" w:hAnsi="Cambria Math"/>
                      <w:sz w:val="20"/>
                      <w:szCs w:val="20"/>
                    </w:rPr>
                    <m:t>E</m:t>
                  </m:r>
                </m:sub>
              </m:sSub>
              <m:r>
                <w:rPr>
                  <w:rFonts w:ascii="Cambria Math" w:hAnsi="Cambria Math"/>
                  <w:sz w:val="20"/>
                  <w:szCs w:val="20"/>
                </w:rPr>
                <m:t>∙</m:t>
              </m:r>
              <m:d>
                <m:dPr>
                  <m:begChr m:val="["/>
                  <m:endChr m:val="]"/>
                  <m:ctrlPr>
                    <w:rPr>
                      <w:rFonts w:ascii="Cambria Math" w:eastAsiaTheme="minorHAnsi" w:hAnsi="Cambria Math"/>
                      <w:i/>
                      <w:sz w:val="20"/>
                      <w:szCs w:val="20"/>
                    </w:rPr>
                  </m:ctrlPr>
                </m:dPr>
                <m:e>
                  <m:r>
                    <w:rPr>
                      <w:rFonts w:ascii="Cambria Math" w:hAnsi="Cambria Math"/>
                      <w:sz w:val="20"/>
                      <w:szCs w:val="20"/>
                    </w:rPr>
                    <m:t>1-</m:t>
                  </m:r>
                  <m:sSup>
                    <m:sSupPr>
                      <m:ctrlPr>
                        <w:rPr>
                          <w:rFonts w:ascii="Cambria Math" w:eastAsiaTheme="minorHAnsi" w:hAnsi="Cambria Math"/>
                          <w:i/>
                          <w:sz w:val="20"/>
                          <w:szCs w:val="20"/>
                        </w:rPr>
                      </m:ctrlPr>
                    </m:sSupPr>
                    <m:e>
                      <m:d>
                        <m:dPr>
                          <m:ctrlPr>
                            <w:rPr>
                              <w:rFonts w:ascii="Cambria Math" w:eastAsiaTheme="minorHAnsi" w:hAnsi="Cambria Math"/>
                              <w:i/>
                              <w:sz w:val="20"/>
                              <w:szCs w:val="20"/>
                            </w:rPr>
                          </m:ctrlPr>
                        </m:dPr>
                        <m:e>
                          <m:f>
                            <m:fPr>
                              <m:ctrlPr>
                                <w:rPr>
                                  <w:rFonts w:ascii="Cambria Math" w:eastAsiaTheme="minorHAnsi" w:hAnsi="Cambria Math"/>
                                  <w:i/>
                                  <w:sz w:val="20"/>
                                  <w:szCs w:val="20"/>
                                </w:rPr>
                              </m:ctrlPr>
                            </m:fPr>
                            <m:num>
                              <m:sSub>
                                <m:sSubPr>
                                  <m:ctrlPr>
                                    <w:rPr>
                                      <w:rFonts w:ascii="Cambria Math" w:eastAsiaTheme="minorHAnsi" w:hAnsi="Cambria Math"/>
                                      <w:i/>
                                      <w:sz w:val="20"/>
                                      <w:szCs w:val="20"/>
                                    </w:rPr>
                                  </m:ctrlPr>
                                </m:sSubPr>
                                <m:e>
                                  <m:r>
                                    <w:rPr>
                                      <w:rFonts w:ascii="Cambria Math" w:hAnsi="Cambria Math"/>
                                      <w:sz w:val="20"/>
                                      <w:szCs w:val="20"/>
                                    </w:rPr>
                                    <m:t>p</m:t>
                                  </m:r>
                                </m:e>
                                <m:sub>
                                  <m:r>
                                    <w:rPr>
                                      <w:rFonts w:ascii="Cambria Math" w:hAnsi="Cambria Math"/>
                                      <w:sz w:val="20"/>
                                      <w:szCs w:val="20"/>
                                    </w:rPr>
                                    <m:t>2</m:t>
                                  </m:r>
                                </m:sub>
                              </m:sSub>
                            </m:num>
                            <m:den>
                              <m:sSub>
                                <m:sSubPr>
                                  <m:ctrlPr>
                                    <w:rPr>
                                      <w:rFonts w:ascii="Cambria Math" w:eastAsiaTheme="minorHAnsi" w:hAnsi="Cambria Math"/>
                                      <w:i/>
                                      <w:sz w:val="20"/>
                                      <w:szCs w:val="20"/>
                                    </w:rPr>
                                  </m:ctrlPr>
                                </m:sSubPr>
                                <m:e>
                                  <m:r>
                                    <w:rPr>
                                      <w:rFonts w:ascii="Cambria Math" w:hAnsi="Cambria Math"/>
                                      <w:sz w:val="20"/>
                                      <w:szCs w:val="20"/>
                                    </w:rPr>
                                    <m:t>p</m:t>
                                  </m:r>
                                </m:e>
                                <m:sub>
                                  <m:r>
                                    <w:rPr>
                                      <w:rFonts w:ascii="Cambria Math" w:hAnsi="Cambria Math"/>
                                      <w:sz w:val="20"/>
                                      <w:szCs w:val="20"/>
                                    </w:rPr>
                                    <m:t>1</m:t>
                                  </m:r>
                                </m:sub>
                              </m:sSub>
                            </m:den>
                          </m:f>
                        </m:e>
                      </m:d>
                    </m:e>
                    <m:sup>
                      <m:f>
                        <m:fPr>
                          <m:ctrlPr>
                            <w:rPr>
                              <w:rFonts w:ascii="Cambria Math" w:eastAsiaTheme="minorHAnsi" w:hAnsi="Cambria Math"/>
                              <w:i/>
                              <w:sz w:val="20"/>
                              <w:szCs w:val="20"/>
                            </w:rPr>
                          </m:ctrlPr>
                        </m:fPr>
                        <m:num>
                          <m:r>
                            <w:rPr>
                              <w:rFonts w:ascii="Cambria Math" w:hAnsi="Cambria Math"/>
                              <w:sz w:val="20"/>
                              <w:szCs w:val="20"/>
                            </w:rPr>
                            <m:t>γ-1</m:t>
                          </m:r>
                        </m:num>
                        <m:den>
                          <m:r>
                            <w:rPr>
                              <w:rFonts w:ascii="Cambria Math" w:hAnsi="Cambria Math"/>
                              <w:sz w:val="20"/>
                              <w:szCs w:val="20"/>
                            </w:rPr>
                            <m:t>γ</m:t>
                          </m:r>
                        </m:den>
                      </m:f>
                    </m:sup>
                  </m:sSup>
                </m:e>
              </m:d>
              <m:r>
                <w:rPr>
                  <w:rFonts w:ascii="Cambria Math" w:hAnsi="Cambria Math"/>
                  <w:sz w:val="20"/>
                  <w:szCs w:val="20"/>
                </w:rPr>
                <m:t>-</m:t>
              </m:r>
              <m:sSub>
                <m:sSubPr>
                  <m:ctrlPr>
                    <w:rPr>
                      <w:rFonts w:ascii="Cambria Math" w:eastAsiaTheme="minorHAnsi" w:hAnsi="Cambria Math" w:cstheme="minorBidi"/>
                      <w:i/>
                      <w:kern w:val="2"/>
                      <w:sz w:val="20"/>
                      <w:szCs w:val="20"/>
                      <w:lang w:eastAsia="en-US"/>
                      <w14:ligatures w14:val="standardContextual"/>
                    </w:rPr>
                  </m:ctrlPr>
                </m:sSubPr>
                <m:e>
                  <m:f>
                    <m:fPr>
                      <m:ctrlPr>
                        <w:rPr>
                          <w:rFonts w:ascii="Cambria Math" w:eastAsiaTheme="minorHAnsi" w:hAnsi="Cambria Math"/>
                          <w:i/>
                          <w:sz w:val="20"/>
                          <w:szCs w:val="20"/>
                        </w:rPr>
                      </m:ctrlPr>
                    </m:fPr>
                    <m:num>
                      <m:r>
                        <w:rPr>
                          <w:rFonts w:ascii="Cambria Math" w:hAnsi="Cambria Math"/>
                          <w:sz w:val="20"/>
                          <w:szCs w:val="20"/>
                        </w:rPr>
                        <m:t>γ</m:t>
                      </m:r>
                    </m:num>
                    <m:den>
                      <m:r>
                        <w:rPr>
                          <w:rFonts w:ascii="Cambria Math" w:hAnsi="Cambria Math"/>
                          <w:sz w:val="20"/>
                          <w:szCs w:val="20"/>
                        </w:rPr>
                        <m:t>γ-1</m:t>
                      </m:r>
                    </m:den>
                  </m:f>
                  <m:r>
                    <w:rPr>
                      <w:rFonts w:ascii="Cambria Math" w:hAnsi="Cambria Math"/>
                      <w:sz w:val="20"/>
                      <w:szCs w:val="20"/>
                    </w:rPr>
                    <m:t>∙</m:t>
                  </m:r>
                  <m:r>
                    <w:rPr>
                      <w:rFonts w:ascii="Cambria Math" w:hAnsi="Cambria Math"/>
                      <w:sz w:val="20"/>
                      <w:szCs w:val="20"/>
                    </w:rPr>
                    <m:t>n</m:t>
                  </m:r>
                </m:e>
                <m:sub>
                  <m:r>
                    <w:rPr>
                      <w:rFonts w:ascii="Cambria Math" w:hAnsi="Cambria Math"/>
                      <w:sz w:val="20"/>
                      <w:szCs w:val="20"/>
                    </w:rPr>
                    <m:t>C</m:t>
                  </m:r>
                </m:sub>
              </m:sSub>
              <m:r>
                <w:rPr>
                  <w:rFonts w:ascii="Cambria Math" w:hAnsi="Cambria Math"/>
                  <w:sz w:val="20"/>
                  <w:szCs w:val="20"/>
                </w:rPr>
                <m:t>∙</m:t>
              </m:r>
              <m:d>
                <m:dPr>
                  <m:begChr m:val="["/>
                  <m:endChr m:val="]"/>
                  <m:ctrlPr>
                    <w:rPr>
                      <w:rFonts w:ascii="Cambria Math" w:eastAsiaTheme="minorHAnsi" w:hAnsi="Cambria Math"/>
                      <w:i/>
                      <w:sz w:val="20"/>
                      <w:szCs w:val="20"/>
                    </w:rPr>
                  </m:ctrlPr>
                </m:dPr>
                <m:e>
                  <m:sSup>
                    <m:sSupPr>
                      <m:ctrlPr>
                        <w:rPr>
                          <w:rFonts w:ascii="Cambria Math" w:eastAsiaTheme="minorHAnsi" w:hAnsi="Cambria Math"/>
                          <w:i/>
                          <w:sz w:val="20"/>
                          <w:szCs w:val="20"/>
                        </w:rPr>
                      </m:ctrlPr>
                    </m:sSupPr>
                    <m:e>
                      <m:d>
                        <m:dPr>
                          <m:ctrlPr>
                            <w:rPr>
                              <w:rFonts w:ascii="Cambria Math" w:eastAsiaTheme="minorHAnsi" w:hAnsi="Cambria Math"/>
                              <w:i/>
                              <w:sz w:val="20"/>
                              <w:szCs w:val="20"/>
                            </w:rPr>
                          </m:ctrlPr>
                        </m:dPr>
                        <m:e>
                          <m:f>
                            <m:fPr>
                              <m:ctrlPr>
                                <w:rPr>
                                  <w:rFonts w:ascii="Cambria Math" w:eastAsiaTheme="minorHAnsi" w:hAnsi="Cambria Math"/>
                                  <w:i/>
                                  <w:sz w:val="20"/>
                                  <w:szCs w:val="20"/>
                                </w:rPr>
                              </m:ctrlPr>
                            </m:fPr>
                            <m:num>
                              <m:sSub>
                                <m:sSubPr>
                                  <m:ctrlPr>
                                    <w:rPr>
                                      <w:rFonts w:ascii="Cambria Math" w:eastAsiaTheme="minorHAnsi" w:hAnsi="Cambria Math"/>
                                      <w:i/>
                                      <w:sz w:val="20"/>
                                      <w:szCs w:val="20"/>
                                    </w:rPr>
                                  </m:ctrlPr>
                                </m:sSubPr>
                                <m:e>
                                  <m:r>
                                    <w:rPr>
                                      <w:rFonts w:ascii="Cambria Math" w:hAnsi="Cambria Math"/>
                                      <w:sz w:val="20"/>
                                      <w:szCs w:val="20"/>
                                    </w:rPr>
                                    <m:t>p</m:t>
                                  </m:r>
                                </m:e>
                                <m:sub>
                                  <m:r>
                                    <w:rPr>
                                      <w:rFonts w:ascii="Cambria Math" w:hAnsi="Cambria Math"/>
                                      <w:sz w:val="20"/>
                                      <w:szCs w:val="20"/>
                                    </w:rPr>
                                    <m:t>2</m:t>
                                  </m:r>
                                </m:sub>
                              </m:sSub>
                            </m:num>
                            <m:den>
                              <m:sSub>
                                <m:sSubPr>
                                  <m:ctrlPr>
                                    <w:rPr>
                                      <w:rFonts w:ascii="Cambria Math" w:eastAsiaTheme="minorHAnsi" w:hAnsi="Cambria Math"/>
                                      <w:i/>
                                      <w:sz w:val="20"/>
                                      <w:szCs w:val="20"/>
                                    </w:rPr>
                                  </m:ctrlPr>
                                </m:sSubPr>
                                <m:e>
                                  <m:r>
                                    <w:rPr>
                                      <w:rFonts w:ascii="Cambria Math" w:hAnsi="Cambria Math"/>
                                      <w:sz w:val="20"/>
                                      <w:szCs w:val="20"/>
                                    </w:rPr>
                                    <m:t>p</m:t>
                                  </m:r>
                                </m:e>
                                <m:sub>
                                  <m:r>
                                    <w:rPr>
                                      <w:rFonts w:ascii="Cambria Math" w:hAnsi="Cambria Math"/>
                                      <w:sz w:val="20"/>
                                      <w:szCs w:val="20"/>
                                    </w:rPr>
                                    <m:t>1</m:t>
                                  </m:r>
                                </m:sub>
                              </m:sSub>
                            </m:den>
                          </m:f>
                        </m:e>
                      </m:d>
                    </m:e>
                    <m:sup>
                      <m:f>
                        <m:fPr>
                          <m:ctrlPr>
                            <w:rPr>
                              <w:rFonts w:ascii="Cambria Math" w:eastAsiaTheme="minorHAnsi" w:hAnsi="Cambria Math"/>
                              <w:i/>
                              <w:sz w:val="20"/>
                              <w:szCs w:val="20"/>
                            </w:rPr>
                          </m:ctrlPr>
                        </m:fPr>
                        <m:num>
                          <m:r>
                            <w:rPr>
                              <w:rFonts w:ascii="Cambria Math" w:hAnsi="Cambria Math"/>
                              <w:sz w:val="20"/>
                              <w:szCs w:val="20"/>
                            </w:rPr>
                            <m:t>γ-1</m:t>
                          </m:r>
                        </m:num>
                        <m:den>
                          <m:r>
                            <w:rPr>
                              <w:rFonts w:ascii="Cambria Math" w:hAnsi="Cambria Math"/>
                              <w:sz w:val="20"/>
                              <w:szCs w:val="20"/>
                            </w:rPr>
                            <m:t>γ</m:t>
                          </m:r>
                        </m:den>
                      </m:f>
                    </m:sup>
                  </m:sSup>
                  <m:r>
                    <w:rPr>
                      <w:rFonts w:ascii="Cambria Math" w:hAnsi="Cambria Math"/>
                      <w:sz w:val="20"/>
                      <w:szCs w:val="20"/>
                    </w:rPr>
                    <m:t>-1</m:t>
                  </m:r>
                </m:e>
              </m:d>
            </m:e>
          </m:d>
          <m:r>
            <w:rPr>
              <w:rFonts w:ascii="Cambria Math" w:eastAsiaTheme="minorEastAsia" w:hAnsi="Cambria Math"/>
              <w:sz w:val="20"/>
              <w:szCs w:val="20"/>
            </w:rPr>
            <m:t>=</m:t>
          </m:r>
          <m:r>
            <w:rPr>
              <w:rFonts w:ascii="Cambria Math" w:hAnsi="Cambria Math"/>
              <w:sz w:val="20"/>
              <w:szCs w:val="20"/>
            </w:rPr>
            <m:t>8.314</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k</m:t>
              </m:r>
              <m:r>
                <w:rPr>
                  <w:rFonts w:ascii="Cambria Math" w:hAnsi="Cambria Math"/>
                  <w:sz w:val="20"/>
                  <w:szCs w:val="20"/>
                </w:rPr>
                <m:t>J</m:t>
              </m:r>
            </m:num>
            <m:den>
              <m:r>
                <w:rPr>
                  <w:rFonts w:ascii="Cambria Math" w:hAnsi="Cambria Math"/>
                  <w:sz w:val="20"/>
                  <w:szCs w:val="20"/>
                </w:rPr>
                <m:t>k</m:t>
              </m:r>
              <m:r>
                <w:rPr>
                  <w:rFonts w:ascii="Cambria Math" w:hAnsi="Cambria Math"/>
                  <w:sz w:val="20"/>
                  <w:szCs w:val="20"/>
                </w:rPr>
                <m:t>mol K</m:t>
              </m:r>
            </m:den>
          </m:f>
          <m:r>
            <w:rPr>
              <w:rFonts w:ascii="Cambria Math" w:hAnsi="Cambria Math"/>
              <w:sz w:val="20"/>
              <w:szCs w:val="20"/>
            </w:rPr>
            <m:t>∙</m:t>
          </m:r>
          <m:r>
            <w:rPr>
              <w:rFonts w:ascii="Cambria Math" w:hAnsi="Cambria Math"/>
              <w:sz w:val="20"/>
              <w:szCs w:val="20"/>
            </w:rPr>
            <m:t>273.15 K</m:t>
          </m:r>
          <m:r>
            <w:rPr>
              <w:rFonts w:ascii="Cambria Math" w:hAnsi="Cambria Math"/>
              <w:sz w:val="20"/>
              <w:szCs w:val="20"/>
            </w:rPr>
            <m:t>∙</m:t>
          </m:r>
          <m:d>
            <m:dPr>
              <m:ctrlPr>
                <w:rPr>
                  <w:rFonts w:ascii="Cambria Math" w:eastAsiaTheme="minorHAnsi" w:hAnsi="Cambria Math" w:cstheme="minorBidi"/>
                  <w:i/>
                  <w:kern w:val="2"/>
                  <w:sz w:val="20"/>
                  <w:szCs w:val="20"/>
                  <w:lang w:eastAsia="en-US"/>
                  <w14:ligatures w14:val="standardContextual"/>
                </w:rPr>
              </m:ctrlPr>
            </m:dPr>
            <m:e>
              <m:r>
                <w:rPr>
                  <w:rFonts w:ascii="Cambria Math" w:hAnsi="Cambria Math"/>
                  <w:sz w:val="20"/>
                  <w:szCs w:val="20"/>
                </w:rPr>
                <m:t>4.33</m:t>
              </m:r>
              <m:r>
                <w:rPr>
                  <w:rFonts w:ascii="Cambria Math" w:hAnsi="Cambria Math"/>
                  <w:sz w:val="20"/>
                  <w:szCs w:val="20"/>
                </w:rPr>
                <m:t>∙</m:t>
              </m:r>
              <m:r>
                <w:rPr>
                  <w:rFonts w:ascii="Cambria Math" w:hAnsi="Cambria Math"/>
                  <w:sz w:val="20"/>
                  <w:szCs w:val="20"/>
                </w:rPr>
                <m:t>1863</m:t>
              </m:r>
              <m:r>
                <w:rPr>
                  <w:rFonts w:ascii="Cambria Math" w:hAnsi="Cambria Math"/>
                  <w:sz w:val="20"/>
                  <w:szCs w:val="20"/>
                </w:rPr>
                <m:t>.</m:t>
              </m:r>
              <m:r>
                <w:rPr>
                  <w:rFonts w:ascii="Cambria Math" w:hAnsi="Cambria Math"/>
                  <w:sz w:val="20"/>
                  <w:szCs w:val="20"/>
                </w:rPr>
                <m:t>5</m:t>
              </m:r>
              <m:f>
                <m:fPr>
                  <m:ctrlPr>
                    <w:rPr>
                      <w:rFonts w:ascii="Cambria Math" w:hAnsi="Cambria Math"/>
                      <w:i/>
                      <w:sz w:val="20"/>
                      <w:szCs w:val="20"/>
                    </w:rPr>
                  </m:ctrlPr>
                </m:fPr>
                <m:num>
                  <m:r>
                    <w:rPr>
                      <w:rFonts w:ascii="Cambria Math" w:hAnsi="Cambria Math"/>
                      <w:sz w:val="20"/>
                      <w:szCs w:val="20"/>
                    </w:rPr>
                    <m:t>kmol</m:t>
                  </m:r>
                </m:num>
                <m:den>
                  <m:r>
                    <w:rPr>
                      <w:rFonts w:ascii="Cambria Math" w:hAnsi="Cambria Math"/>
                      <w:sz w:val="20"/>
                      <w:szCs w:val="20"/>
                    </w:rPr>
                    <m:t>h</m:t>
                  </m:r>
                </m:den>
              </m:f>
              <m:r>
                <w:rPr>
                  <w:rFonts w:ascii="Cambria Math" w:hAnsi="Cambria Math"/>
                  <w:sz w:val="20"/>
                  <w:szCs w:val="20"/>
                </w:rPr>
                <m:t>∙</m:t>
              </m:r>
              <m:d>
                <m:dPr>
                  <m:begChr m:val="["/>
                  <m:endChr m:val="]"/>
                  <m:ctrlPr>
                    <w:rPr>
                      <w:rFonts w:ascii="Cambria Math" w:eastAsiaTheme="minorHAnsi" w:hAnsi="Cambria Math"/>
                      <w:i/>
                      <w:sz w:val="20"/>
                      <w:szCs w:val="20"/>
                    </w:rPr>
                  </m:ctrlPr>
                </m:dPr>
                <m:e>
                  <m:r>
                    <w:rPr>
                      <w:rFonts w:ascii="Cambria Math" w:hAnsi="Cambria Math"/>
                      <w:sz w:val="20"/>
                      <w:szCs w:val="20"/>
                    </w:rPr>
                    <m:t>1-</m:t>
                  </m:r>
                  <m:sSup>
                    <m:sSupPr>
                      <m:ctrlPr>
                        <w:rPr>
                          <w:rFonts w:ascii="Cambria Math" w:eastAsiaTheme="minorHAnsi" w:hAnsi="Cambria Math"/>
                          <w:i/>
                          <w:sz w:val="20"/>
                          <w:szCs w:val="20"/>
                        </w:rPr>
                      </m:ctrlPr>
                    </m:sSupPr>
                    <m:e>
                      <m:d>
                        <m:dPr>
                          <m:ctrlPr>
                            <w:rPr>
                              <w:rFonts w:ascii="Cambria Math" w:eastAsiaTheme="minorHAnsi" w:hAnsi="Cambria Math"/>
                              <w:i/>
                              <w:sz w:val="20"/>
                              <w:szCs w:val="20"/>
                            </w:rPr>
                          </m:ctrlPr>
                        </m:dPr>
                        <m:e>
                          <m:f>
                            <m:fPr>
                              <m:ctrlPr>
                                <w:rPr>
                                  <w:rFonts w:ascii="Cambria Math" w:eastAsiaTheme="minorHAnsi" w:hAnsi="Cambria Math"/>
                                  <w:i/>
                                  <w:sz w:val="20"/>
                                  <w:szCs w:val="20"/>
                                </w:rPr>
                              </m:ctrlPr>
                            </m:fPr>
                            <m:num>
                              <m:r>
                                <w:rPr>
                                  <w:rFonts w:ascii="Cambria Math" w:hAnsi="Cambria Math"/>
                                  <w:sz w:val="20"/>
                                  <w:szCs w:val="20"/>
                                </w:rPr>
                                <m:t>37.1 bar</m:t>
                              </m:r>
                            </m:num>
                            <m:den>
                              <m:r>
                                <w:rPr>
                                  <w:rFonts w:ascii="Cambria Math" w:hAnsi="Cambria Math"/>
                                  <w:sz w:val="20"/>
                                  <w:szCs w:val="20"/>
                                </w:rPr>
                                <m:t>70 bar</m:t>
                              </m:r>
                            </m:den>
                          </m:f>
                        </m:e>
                      </m:d>
                    </m:e>
                    <m:sup>
                      <m:r>
                        <w:rPr>
                          <w:rFonts w:ascii="Cambria Math" w:hAnsi="Cambria Math"/>
                          <w:sz w:val="20"/>
                          <w:szCs w:val="20"/>
                        </w:rPr>
                        <m:t>0.2</m:t>
                      </m:r>
                      <m:r>
                        <w:rPr>
                          <w:rFonts w:ascii="Cambria Math" w:hAnsi="Cambria Math"/>
                          <w:sz w:val="20"/>
                          <w:szCs w:val="20"/>
                        </w:rPr>
                        <m:t>3</m:t>
                      </m:r>
                    </m:sup>
                  </m:sSup>
                </m:e>
              </m:d>
              <m:r>
                <w:rPr>
                  <w:rFonts w:ascii="Cambria Math" w:hAnsi="Cambria Math"/>
                  <w:sz w:val="20"/>
                  <w:szCs w:val="20"/>
                </w:rPr>
                <m:t>-</m:t>
              </m:r>
              <m:r>
                <w:rPr>
                  <w:rFonts w:ascii="Cambria Math" w:hAnsi="Cambria Math"/>
                  <w:sz w:val="20"/>
                  <w:szCs w:val="20"/>
                </w:rPr>
                <m:t>3.44</m:t>
              </m:r>
              <m:r>
                <w:rPr>
                  <w:rFonts w:ascii="Cambria Math" w:hAnsi="Cambria Math"/>
                  <w:sz w:val="20"/>
                  <w:szCs w:val="20"/>
                </w:rPr>
                <m:t>∙</m:t>
              </m:r>
              <m:r>
                <w:rPr>
                  <w:rFonts w:ascii="Cambria Math" w:hAnsi="Cambria Math"/>
                  <w:sz w:val="20"/>
                  <w:szCs w:val="20"/>
                </w:rPr>
                <m:t>4461</m:t>
              </m:r>
              <m:r>
                <w:rPr>
                  <w:rFonts w:ascii="Cambria Math" w:hAnsi="Cambria Math"/>
                  <w:sz w:val="20"/>
                  <w:szCs w:val="20"/>
                </w:rPr>
                <m:t>.</m:t>
              </m:r>
              <m:r>
                <w:rPr>
                  <w:rFonts w:ascii="Cambria Math" w:hAnsi="Cambria Math"/>
                  <w:sz w:val="20"/>
                  <w:szCs w:val="20"/>
                </w:rPr>
                <m:t>5</m:t>
              </m:r>
              <m:f>
                <m:fPr>
                  <m:ctrlPr>
                    <w:rPr>
                      <w:rFonts w:ascii="Cambria Math" w:hAnsi="Cambria Math"/>
                      <w:i/>
                      <w:sz w:val="20"/>
                      <w:szCs w:val="20"/>
                    </w:rPr>
                  </m:ctrlPr>
                </m:fPr>
                <m:num>
                  <m:r>
                    <w:rPr>
                      <w:rFonts w:ascii="Cambria Math" w:hAnsi="Cambria Math"/>
                      <w:sz w:val="20"/>
                      <w:szCs w:val="20"/>
                    </w:rPr>
                    <m:t>kmol</m:t>
                  </m:r>
                </m:num>
                <m:den>
                  <m:r>
                    <w:rPr>
                      <w:rFonts w:ascii="Cambria Math" w:hAnsi="Cambria Math"/>
                      <w:sz w:val="20"/>
                      <w:szCs w:val="20"/>
                    </w:rPr>
                    <m:t>h</m:t>
                  </m:r>
                </m:den>
              </m:f>
              <m:r>
                <w:rPr>
                  <w:rFonts w:ascii="Cambria Math" w:hAnsi="Cambria Math"/>
                  <w:sz w:val="20"/>
                  <w:szCs w:val="20"/>
                </w:rPr>
                <m:t>∙</m:t>
              </m:r>
              <m:d>
                <m:dPr>
                  <m:begChr m:val="["/>
                  <m:endChr m:val="]"/>
                  <m:ctrlPr>
                    <w:rPr>
                      <w:rFonts w:ascii="Cambria Math" w:eastAsiaTheme="minorHAnsi" w:hAnsi="Cambria Math"/>
                      <w:i/>
                      <w:sz w:val="20"/>
                      <w:szCs w:val="20"/>
                    </w:rPr>
                  </m:ctrlPr>
                </m:dPr>
                <m:e>
                  <m:sSup>
                    <m:sSupPr>
                      <m:ctrlPr>
                        <w:rPr>
                          <w:rFonts w:ascii="Cambria Math" w:eastAsiaTheme="minorHAnsi" w:hAnsi="Cambria Math"/>
                          <w:i/>
                          <w:sz w:val="20"/>
                          <w:szCs w:val="20"/>
                        </w:rPr>
                      </m:ctrlPr>
                    </m:sSupPr>
                    <m:e>
                      <m:d>
                        <m:dPr>
                          <m:ctrlPr>
                            <w:rPr>
                              <w:rFonts w:ascii="Cambria Math" w:eastAsiaTheme="minorHAnsi" w:hAnsi="Cambria Math"/>
                              <w:i/>
                              <w:sz w:val="20"/>
                              <w:szCs w:val="20"/>
                            </w:rPr>
                          </m:ctrlPr>
                        </m:dPr>
                        <m:e>
                          <m:f>
                            <m:fPr>
                              <m:ctrlPr>
                                <w:rPr>
                                  <w:rFonts w:ascii="Cambria Math" w:eastAsiaTheme="minorHAnsi" w:hAnsi="Cambria Math"/>
                                  <w:i/>
                                  <w:sz w:val="20"/>
                                  <w:szCs w:val="20"/>
                                </w:rPr>
                              </m:ctrlPr>
                            </m:fPr>
                            <m:num>
                              <m:r>
                                <w:rPr>
                                  <w:rFonts w:ascii="Cambria Math" w:hAnsi="Cambria Math"/>
                                  <w:sz w:val="20"/>
                                  <w:szCs w:val="20"/>
                                </w:rPr>
                                <m:t>70 bar</m:t>
                              </m:r>
                            </m:num>
                            <m:den>
                              <m:r>
                                <w:rPr>
                                  <w:rFonts w:ascii="Cambria Math" w:hAnsi="Cambria Math"/>
                                  <w:sz w:val="20"/>
                                  <w:szCs w:val="20"/>
                                </w:rPr>
                                <m:t>25 bar</m:t>
                              </m:r>
                            </m:den>
                          </m:f>
                        </m:e>
                      </m:d>
                    </m:e>
                    <m:sup>
                      <m:r>
                        <w:rPr>
                          <w:rFonts w:ascii="Cambria Math" w:hAnsi="Cambria Math"/>
                          <w:sz w:val="20"/>
                          <w:szCs w:val="20"/>
                        </w:rPr>
                        <m:t>0.2</m:t>
                      </m:r>
                      <m:r>
                        <w:rPr>
                          <w:rFonts w:ascii="Cambria Math" w:hAnsi="Cambria Math"/>
                          <w:sz w:val="20"/>
                          <w:szCs w:val="20"/>
                        </w:rPr>
                        <m:t>9</m:t>
                      </m:r>
                    </m:sup>
                  </m:sSup>
                  <m:r>
                    <w:rPr>
                      <w:rFonts w:ascii="Cambria Math" w:hAnsi="Cambria Math"/>
                      <w:sz w:val="20"/>
                      <w:szCs w:val="20"/>
                    </w:rPr>
                    <m:t>-1</m:t>
                  </m:r>
                </m:e>
              </m:d>
            </m:e>
          </m:d>
          <m:r>
            <w:rPr>
              <w:rFonts w:ascii="Cambria Math" w:eastAsiaTheme="minorEastAsia" w:hAnsi="Cambria Math"/>
              <w:sz w:val="20"/>
              <w:szCs w:val="20"/>
            </w:rPr>
            <m:t>=</m:t>
          </m:r>
          <m:r>
            <w:rPr>
              <w:rFonts w:ascii="Cambria Math" w:eastAsiaTheme="minorEastAsia" w:hAnsi="Cambria Math"/>
              <w:sz w:val="20"/>
              <w:szCs w:val="20"/>
            </w:rPr>
            <m:t>-</m:t>
          </m:r>
          <m:r>
            <w:rPr>
              <w:rFonts w:ascii="Cambria Math" w:eastAsiaTheme="minorEastAsia" w:hAnsi="Cambria Math"/>
              <w:sz w:val="20"/>
              <w:szCs w:val="20"/>
            </w:rPr>
            <m:t>9.</m:t>
          </m:r>
          <m:r>
            <w:rPr>
              <w:rFonts w:ascii="Cambria Math" w:eastAsiaTheme="minorEastAsia" w:hAnsi="Cambria Math"/>
              <w:sz w:val="20"/>
              <w:szCs w:val="20"/>
            </w:rPr>
            <m:t>64</m:t>
          </m:r>
          <m:r>
            <w:rPr>
              <w:rFonts w:ascii="Cambria Math" w:hAnsi="Cambria Math"/>
              <w:sz w:val="20"/>
              <w:szCs w:val="20"/>
            </w:rPr>
            <m:t>∙</m:t>
          </m:r>
          <m:sSup>
            <m:sSupPr>
              <m:ctrlPr>
                <w:rPr>
                  <w:rFonts w:ascii="Cambria Math" w:eastAsiaTheme="minorHAnsi" w:hAnsi="Cambria Math"/>
                  <w:i/>
                  <w:sz w:val="20"/>
                  <w:szCs w:val="20"/>
                </w:rPr>
              </m:ctrlPr>
            </m:sSupPr>
            <m:e>
              <m:r>
                <w:rPr>
                  <w:rFonts w:ascii="Cambria Math" w:hAnsi="Cambria Math"/>
                  <w:sz w:val="20"/>
                  <w:szCs w:val="20"/>
                </w:rPr>
                <m:t>10</m:t>
              </m:r>
            </m:e>
            <m:sup>
              <m:r>
                <w:rPr>
                  <w:rFonts w:ascii="Cambria Math" w:hAnsi="Cambria Math"/>
                  <w:sz w:val="20"/>
                  <w:szCs w:val="20"/>
                </w:rPr>
                <m:t>6</m:t>
              </m:r>
            </m:sup>
          </m:sSup>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kJ</m:t>
              </m:r>
            </m:num>
            <m:den>
              <m:r>
                <w:rPr>
                  <w:rFonts w:ascii="Cambria Math" w:hAnsi="Cambria Math"/>
                  <w:sz w:val="20"/>
                  <w:szCs w:val="20"/>
                </w:rPr>
                <m:t>h</m:t>
              </m:r>
            </m:den>
          </m:f>
          <m:r>
            <w:rPr>
              <w:rFonts w:ascii="Cambria Math" w:hAnsi="Cambria Math"/>
              <w:sz w:val="20"/>
              <w:szCs w:val="20"/>
            </w:rPr>
            <m:t>=-</m:t>
          </m:r>
          <m:r>
            <w:rPr>
              <w:rFonts w:ascii="Cambria Math" w:hAnsi="Cambria Math"/>
              <w:sz w:val="20"/>
              <w:szCs w:val="20"/>
            </w:rPr>
            <m:t>2.6</m:t>
          </m:r>
          <m:r>
            <w:rPr>
              <w:rFonts w:ascii="Cambria Math" w:hAnsi="Cambria Math"/>
              <w:sz w:val="20"/>
              <w:szCs w:val="20"/>
            </w:rPr>
            <m:t>8</m:t>
          </m:r>
          <m:r>
            <w:rPr>
              <w:rFonts w:ascii="Cambria Math" w:hAnsi="Cambria Math"/>
              <w:sz w:val="20"/>
              <w:szCs w:val="20"/>
            </w:rPr>
            <m:t xml:space="preserve"> MW</m:t>
          </m:r>
          <m:r>
            <w:rPr>
              <w:rFonts w:ascii="Cambria Math" w:hAnsi="Cambria Math"/>
              <w:sz w:val="20"/>
              <w:szCs w:val="20"/>
            </w:rPr>
            <m:t>h/h</m:t>
          </m:r>
        </m:oMath>
      </m:oMathPara>
    </w:p>
    <w:p w14:paraId="049194FF" w14:textId="6F4060EC" w:rsidR="00083F5E" w:rsidRPr="00EE6A48" w:rsidRDefault="00090069" w:rsidP="00083F5E">
      <w:pPr>
        <w:rPr>
          <w:i/>
          <w:iCs/>
          <w:sz w:val="20"/>
          <w:szCs w:val="20"/>
        </w:rPr>
      </w:pPr>
      <w:r>
        <w:rPr>
          <w:sz w:val="20"/>
          <w:szCs w:val="20"/>
        </w:rPr>
        <w:t>T</w:t>
      </w:r>
      <w:r w:rsidRPr="00F87519">
        <w:rPr>
          <w:sz w:val="20"/>
          <w:szCs w:val="20"/>
        </w:rPr>
        <w:t xml:space="preserve">he electrical demand was converted to primary energy using </w:t>
      </w:r>
      <w:r>
        <w:rPr>
          <w:sz w:val="20"/>
          <w:szCs w:val="20"/>
        </w:rPr>
        <w:t xml:space="preserve">the same </w:t>
      </w:r>
      <w:r w:rsidRPr="00F87519">
        <w:rPr>
          <w:sz w:val="20"/>
          <w:szCs w:val="20"/>
        </w:rPr>
        <w:t>factor of 2.5</w:t>
      </w:r>
      <w:r>
        <w:rPr>
          <w:sz w:val="20"/>
          <w:szCs w:val="20"/>
        </w:rPr>
        <w:t xml:space="preserve"> as above, assuming an efficiency factor of 0.85</w:t>
      </w:r>
      <w:r w:rsidR="00EE6A48">
        <w:rPr>
          <w:sz w:val="20"/>
          <w:szCs w:val="20"/>
        </w:rPr>
        <w:t xml:space="preserve"> </w:t>
      </w:r>
      <w:r w:rsidR="00EE6A48" w:rsidRPr="00EE6A48">
        <w:rPr>
          <w:color w:val="EE0000"/>
          <w:sz w:val="20"/>
          <w:szCs w:val="20"/>
        </w:rPr>
        <w:t>[source!]</w:t>
      </w:r>
      <w:r w:rsidRPr="00EE6A48">
        <w:rPr>
          <w:color w:val="EE0000"/>
          <w:sz w:val="20"/>
          <w:szCs w:val="20"/>
        </w:rPr>
        <w:t xml:space="preserve"> </w:t>
      </w:r>
      <w:r>
        <w:rPr>
          <w:sz w:val="20"/>
          <w:szCs w:val="20"/>
        </w:rPr>
        <w:t xml:space="preserve">for both (expansion and compression machine) and normalization to 339 MWh/h NG feed results in </w:t>
      </w:r>
      <w:r>
        <w:rPr>
          <w:i/>
          <w:iCs/>
          <w:sz w:val="20"/>
          <w:szCs w:val="20"/>
        </w:rPr>
        <w:t>e</w:t>
      </w:r>
      <w:r w:rsidRPr="00090069">
        <w:rPr>
          <w:i/>
          <w:iCs/>
          <w:sz w:val="20"/>
          <w:szCs w:val="20"/>
        </w:rPr>
        <w:t xml:space="preserve">xtra </w:t>
      </w:r>
      <w:r>
        <w:rPr>
          <w:i/>
          <w:iCs/>
          <w:sz w:val="20"/>
          <w:szCs w:val="20"/>
        </w:rPr>
        <w:t>energy</w:t>
      </w:r>
      <w:r w:rsidRPr="00090069">
        <w:rPr>
          <w:i/>
          <w:iCs/>
          <w:sz w:val="20"/>
          <w:szCs w:val="20"/>
        </w:rPr>
        <w:t xml:space="preserve"> </w:t>
      </w:r>
      <w:r>
        <w:rPr>
          <w:i/>
          <w:iCs/>
          <w:sz w:val="20"/>
          <w:szCs w:val="20"/>
        </w:rPr>
        <w:t>costs</w:t>
      </w:r>
      <w:r w:rsidRPr="00090069">
        <w:rPr>
          <w:i/>
          <w:iCs/>
          <w:sz w:val="20"/>
          <w:szCs w:val="20"/>
        </w:rPr>
        <w:t xml:space="preserve"> </w:t>
      </w:r>
      <w:r w:rsidRPr="00EE6A48">
        <w:rPr>
          <w:sz w:val="20"/>
          <w:szCs w:val="20"/>
        </w:rPr>
        <w:t xml:space="preserve">of </w:t>
      </w:r>
      <w:r w:rsidR="00EE6A48" w:rsidRPr="00EE6A48">
        <w:rPr>
          <w:sz w:val="20"/>
          <w:szCs w:val="20"/>
        </w:rPr>
        <w:t>2.3% due to compression. I</w:t>
      </w:r>
      <w:r w:rsidR="00EE6A48" w:rsidRPr="00EE6A48">
        <w:rPr>
          <w:sz w:val="20"/>
          <w:szCs w:val="20"/>
        </w:rPr>
        <w:t>nsufficient</w:t>
      </w:r>
      <w:r w:rsidR="00EE6A48" w:rsidRPr="00E73259">
        <w:rPr>
          <w:sz w:val="20"/>
          <w:szCs w:val="20"/>
        </w:rPr>
        <w:t xml:space="preserve"> to close the gap between electricity and natural gas costs</w:t>
      </w:r>
      <w:r w:rsidR="00EE6A48">
        <w:rPr>
          <w:i/>
          <w:iCs/>
          <w:sz w:val="20"/>
          <w:szCs w:val="20"/>
        </w:rPr>
        <w:t xml:space="preserve">. </w:t>
      </w:r>
    </w:p>
    <w:p w14:paraId="3283C7B7" w14:textId="77777777" w:rsidR="00083F5E" w:rsidRPr="00B44E2A" w:rsidRDefault="00083F5E" w:rsidP="009D0974">
      <w:pPr>
        <w:rPr>
          <w:rFonts w:asciiTheme="minorHAnsi" w:eastAsiaTheme="minorEastAsia" w:hAnsiTheme="minorHAnsi" w:cstheme="minorBidi"/>
          <w:color w:val="EE0000"/>
          <w:sz w:val="20"/>
          <w:szCs w:val="20"/>
        </w:rPr>
      </w:pPr>
    </w:p>
    <w:p w14:paraId="4D009869" w14:textId="77777777" w:rsidR="00AF7FF7" w:rsidRDefault="00AF7FF7" w:rsidP="00DD7131">
      <w:pPr>
        <w:rPr>
          <w:sz w:val="20"/>
          <w:szCs w:val="20"/>
        </w:rPr>
      </w:pPr>
    </w:p>
    <w:p w14:paraId="0D932CDE" w14:textId="5C1E00CF" w:rsidR="00BF3CD6" w:rsidRPr="00BF3CD6" w:rsidRDefault="00BF3CD6" w:rsidP="00DD7131">
      <w:pPr>
        <w:rPr>
          <w:b/>
          <w:bCs/>
          <w:i/>
          <w:iCs/>
          <w:sz w:val="20"/>
          <w:szCs w:val="20"/>
        </w:rPr>
      </w:pPr>
      <w:r w:rsidRPr="00BF3CD6">
        <w:rPr>
          <w:b/>
          <w:bCs/>
          <w:i/>
          <w:iCs/>
          <w:sz w:val="20"/>
          <w:szCs w:val="20"/>
        </w:rPr>
        <w:t>Abatement Effectiveness</w:t>
      </w:r>
      <w:r w:rsidR="00764BCF">
        <w:rPr>
          <w:b/>
          <w:bCs/>
          <w:i/>
          <w:iCs/>
          <w:sz w:val="20"/>
          <w:szCs w:val="20"/>
        </w:rPr>
        <w:t xml:space="preserve"> of eSMR Reformer</w:t>
      </w:r>
    </w:p>
    <w:p w14:paraId="45E62F43" w14:textId="1C897EBA" w:rsidR="0018524F" w:rsidRDefault="00BA2C30" w:rsidP="00DD7131">
      <w:pPr>
        <w:rPr>
          <w:sz w:val="20"/>
          <w:szCs w:val="20"/>
        </w:rPr>
      </w:pPr>
      <w:r w:rsidRPr="00BA2C30">
        <w:rPr>
          <w:sz w:val="20"/>
          <w:szCs w:val="20"/>
        </w:rPr>
        <w:t xml:space="preserve">The </w:t>
      </w:r>
      <w:r w:rsidRPr="00964CCC">
        <w:rPr>
          <w:b/>
          <w:bCs/>
          <w:sz w:val="20"/>
          <w:szCs w:val="20"/>
        </w:rPr>
        <w:t>long-term decarbonization</w:t>
      </w:r>
      <w:r w:rsidRPr="00BA2C30">
        <w:rPr>
          <w:sz w:val="20"/>
          <w:szCs w:val="20"/>
        </w:rPr>
        <w:t xml:space="preserve"> of industrial processes fundamentally </w:t>
      </w:r>
      <w:r w:rsidRPr="00964CCC">
        <w:rPr>
          <w:b/>
          <w:bCs/>
          <w:sz w:val="20"/>
          <w:szCs w:val="20"/>
        </w:rPr>
        <w:t>requires electrification</w:t>
      </w:r>
      <w:r w:rsidRPr="00BA2C30">
        <w:rPr>
          <w:sz w:val="20"/>
          <w:szCs w:val="20"/>
        </w:rPr>
        <w:t xml:space="preserve"> powered by renewable electricity. In this context, eSMR is structurally well-positioned: as grids decarbonize and renewable electricity costs decline, its OPEX penalty diminishes and its carbon footprint improves passively with the grid mix. </w:t>
      </w:r>
      <w:r w:rsidR="00107239">
        <w:rPr>
          <w:sz w:val="20"/>
          <w:szCs w:val="20"/>
        </w:rPr>
        <w:br/>
      </w:r>
      <w:r w:rsidR="00D964A0" w:rsidRPr="00D964A0">
        <w:rPr>
          <w:sz w:val="20"/>
          <w:szCs w:val="20"/>
        </w:rPr>
        <w:t>The ratio of t</w:t>
      </w:r>
      <w:r w:rsidR="00D84592">
        <w:rPr>
          <w:sz w:val="20"/>
          <w:szCs w:val="20"/>
        </w:rPr>
        <w:t xml:space="preserve"> </w:t>
      </w:r>
      <w:r w:rsidR="00D964A0" w:rsidRPr="00D964A0">
        <w:rPr>
          <w:sz w:val="20"/>
          <w:szCs w:val="20"/>
        </w:rPr>
        <w:t xml:space="preserve">CO₂ </w:t>
      </w:r>
      <w:r w:rsidR="00D84592">
        <w:rPr>
          <w:sz w:val="20"/>
          <w:szCs w:val="20"/>
        </w:rPr>
        <w:t xml:space="preserve">abated </w:t>
      </w:r>
      <w:r w:rsidR="00D964A0" w:rsidRPr="00D964A0">
        <w:rPr>
          <w:sz w:val="20"/>
          <w:szCs w:val="20"/>
        </w:rPr>
        <w:t xml:space="preserve">per MWh of </w:t>
      </w:r>
      <w:r w:rsidR="00D84592">
        <w:rPr>
          <w:sz w:val="20"/>
          <w:szCs w:val="20"/>
        </w:rPr>
        <w:t xml:space="preserve">renewable </w:t>
      </w:r>
      <w:r w:rsidR="00D964A0" w:rsidRPr="00D964A0">
        <w:rPr>
          <w:sz w:val="20"/>
          <w:szCs w:val="20"/>
        </w:rPr>
        <w:t>electricity is a common metric for assessing the decarbonization impact of electrification technologies</w:t>
      </w:r>
      <w:r w:rsidR="003B6AAA">
        <w:rPr>
          <w:sz w:val="20"/>
          <w:szCs w:val="20"/>
        </w:rPr>
        <w:t xml:space="preserve">, </w:t>
      </w:r>
      <w:r w:rsidR="003B6AAA" w:rsidRPr="003B6AAA">
        <w:rPr>
          <w:sz w:val="20"/>
          <w:szCs w:val="20"/>
        </w:rPr>
        <w:t xml:space="preserve">regardless of </w:t>
      </w:r>
      <w:r w:rsidR="003B6AAA">
        <w:rPr>
          <w:sz w:val="20"/>
          <w:szCs w:val="20"/>
        </w:rPr>
        <w:t>energy</w:t>
      </w:r>
      <w:r w:rsidR="003B6AAA" w:rsidRPr="003B6AAA">
        <w:rPr>
          <w:sz w:val="20"/>
          <w:szCs w:val="20"/>
        </w:rPr>
        <w:t xml:space="preserve"> price distortions</w:t>
      </w:r>
      <w:r w:rsidR="00D964A0" w:rsidRPr="00D964A0">
        <w:rPr>
          <w:sz w:val="20"/>
          <w:szCs w:val="20"/>
        </w:rPr>
        <w:t xml:space="preserve">. </w:t>
      </w:r>
      <w:r w:rsidR="0018524F">
        <w:rPr>
          <w:sz w:val="20"/>
          <w:szCs w:val="20"/>
        </w:rPr>
        <w:t xml:space="preserve">Under </w:t>
      </w:r>
      <w:r w:rsidR="00026348">
        <w:rPr>
          <w:sz w:val="20"/>
          <w:szCs w:val="20"/>
        </w:rPr>
        <w:t>theoretical upper bound</w:t>
      </w:r>
      <w:r w:rsidR="0018524F">
        <w:rPr>
          <w:sz w:val="20"/>
          <w:szCs w:val="20"/>
        </w:rPr>
        <w:t xml:space="preserve"> assumptions</w:t>
      </w:r>
      <w:r w:rsidR="00E95313">
        <w:rPr>
          <w:rStyle w:val="FootnoteReference"/>
          <w:sz w:val="20"/>
          <w:szCs w:val="20"/>
        </w:rPr>
        <w:footnoteReference w:id="2"/>
      </w:r>
      <w:r w:rsidR="00E95313">
        <w:rPr>
          <w:sz w:val="20"/>
          <w:szCs w:val="20"/>
        </w:rPr>
        <w:t xml:space="preserve"> </w:t>
      </w:r>
      <w:r w:rsidR="00800A7E">
        <w:rPr>
          <w:sz w:val="20"/>
          <w:szCs w:val="20"/>
        </w:rPr>
        <w:t xml:space="preserve">an </w:t>
      </w:r>
      <w:r w:rsidR="00800A7E" w:rsidRPr="00800A7E">
        <w:rPr>
          <w:i/>
          <w:iCs/>
          <w:sz w:val="20"/>
          <w:szCs w:val="20"/>
        </w:rPr>
        <w:t xml:space="preserve">Abatement </w:t>
      </w:r>
      <w:r w:rsidR="00284869">
        <w:rPr>
          <w:i/>
          <w:iCs/>
          <w:sz w:val="20"/>
          <w:szCs w:val="20"/>
        </w:rPr>
        <w:t>Effectiveness</w:t>
      </w:r>
      <w:r w:rsidR="00800A7E">
        <w:rPr>
          <w:sz w:val="20"/>
          <w:szCs w:val="20"/>
        </w:rPr>
        <w:t xml:space="preserve"> of up to </w:t>
      </w:r>
      <w:r w:rsidR="00E95313">
        <w:rPr>
          <w:sz w:val="20"/>
          <w:szCs w:val="20"/>
        </w:rPr>
        <w:t>0.</w:t>
      </w:r>
      <w:r w:rsidR="00D84592">
        <w:rPr>
          <w:sz w:val="20"/>
          <w:szCs w:val="20"/>
        </w:rPr>
        <w:t>24</w:t>
      </w:r>
      <w:r w:rsidR="00354EBF">
        <w:rPr>
          <w:sz w:val="20"/>
          <w:szCs w:val="20"/>
        </w:rPr>
        <w:t> t </w:t>
      </w:r>
      <w:r w:rsidR="00E95313">
        <w:rPr>
          <w:sz w:val="20"/>
          <w:szCs w:val="20"/>
        </w:rPr>
        <w:t>CO</w:t>
      </w:r>
      <w:r w:rsidR="00E95313">
        <w:rPr>
          <w:sz w:val="20"/>
          <w:szCs w:val="20"/>
          <w:vertAlign w:val="subscript"/>
        </w:rPr>
        <w:t>2</w:t>
      </w:r>
      <w:r w:rsidR="00E95313">
        <w:rPr>
          <w:sz w:val="20"/>
          <w:szCs w:val="20"/>
        </w:rPr>
        <w:t xml:space="preserve">/MWh </w:t>
      </w:r>
      <w:r w:rsidR="007F7249">
        <w:rPr>
          <w:sz w:val="20"/>
          <w:szCs w:val="20"/>
        </w:rPr>
        <w:t>is achievable:</w:t>
      </w:r>
    </w:p>
    <w:p w14:paraId="7F797228" w14:textId="62CAAC21" w:rsidR="00834D55" w:rsidRPr="00834D55" w:rsidRDefault="00834D55" w:rsidP="00834D55">
      <w:pPr>
        <w:rPr>
          <w:rFonts w:eastAsiaTheme="minorEastAsia"/>
          <w:sz w:val="20"/>
          <w:szCs w:val="20"/>
        </w:rPr>
      </w:pPr>
      <m:oMathPara>
        <m:oMath>
          <m:r>
            <w:rPr>
              <w:rFonts w:ascii="Cambria Math" w:hAnsi="Cambria Math"/>
              <w:sz w:val="20"/>
              <w:szCs w:val="20"/>
            </w:rPr>
            <m:t>Abatement Effectiveness=</m:t>
          </m:r>
          <m:f>
            <m:fPr>
              <m:ctrlPr>
                <w:rPr>
                  <w:rFonts w:ascii="Cambria Math" w:hAnsi="Cambria Math"/>
                  <w:i/>
                  <w:sz w:val="20"/>
                  <w:szCs w:val="20"/>
                </w:rPr>
              </m:ctrlPr>
            </m:fPr>
            <m:num>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R</m:t>
                      </m:r>
                      <m:r>
                        <w:rPr>
                          <w:rFonts w:ascii="Cambria Math" w:hAnsi="Cambria Math"/>
                          <w:sz w:val="20"/>
                          <w:szCs w:val="20"/>
                        </w:rPr>
                        <m:t>,NG</m:t>
                      </m:r>
                    </m:sub>
                  </m:sSub>
                  <m:r>
                    <w:rPr>
                      <w:rFonts w:ascii="Cambria Math" w:hAnsi="Cambria Math"/>
                      <w:sz w:val="20"/>
                      <w:szCs w:val="20"/>
                    </w:rPr>
                    <m:t>(850°C)</m:t>
                  </m:r>
                </m:num>
                <m:den>
                  <m:sSub>
                    <m:sSubPr>
                      <m:ctrlPr>
                        <w:rPr>
                          <w:rFonts w:ascii="Cambria Math" w:hAnsi="Cambria Math"/>
                          <w:i/>
                          <w:sz w:val="20"/>
                          <w:szCs w:val="20"/>
                        </w:rPr>
                      </m:ctrlPr>
                    </m:sSubPr>
                    <m:e>
                      <m:r>
                        <w:rPr>
                          <w:rFonts w:ascii="Cambria Math" w:hAnsi="Cambria Math"/>
                          <w:sz w:val="20"/>
                          <w:szCs w:val="20"/>
                        </w:rPr>
                        <m:t>η</m:t>
                      </m:r>
                    </m:e>
                    <m:sub>
                      <m:r>
                        <w:rPr>
                          <w:rFonts w:ascii="Cambria Math" w:hAnsi="Cambria Math"/>
                          <w:sz w:val="20"/>
                          <w:szCs w:val="20"/>
                        </w:rPr>
                        <m:t xml:space="preserve">fired </m:t>
                      </m:r>
                      <m:r>
                        <w:rPr>
                          <w:rFonts w:ascii="Cambria Math" w:hAnsi="Cambria Math"/>
                          <w:sz w:val="20"/>
                          <w:szCs w:val="20"/>
                        </w:rPr>
                        <m:t>heater</m:t>
                      </m:r>
                      <m:r>
                        <w:rPr>
                          <w:rFonts w:ascii="Cambria Math" w:hAnsi="Cambria Math"/>
                          <w:sz w:val="20"/>
                          <w:szCs w:val="20"/>
                        </w:rPr>
                        <m:t xml:space="preserve"> </m:t>
                      </m:r>
                    </m:sub>
                  </m:sSub>
                </m:den>
              </m:f>
              <m:r>
                <w:rPr>
                  <w:rFonts w:ascii="Cambria Math" w:hAnsi="Cambria Math"/>
                  <w:sz w:val="20"/>
                  <w:szCs w:val="20"/>
                </w:rPr>
                <m:t>∙</m:t>
              </m:r>
              <m:sSub>
                <m:sSubPr>
                  <m:ctrlPr>
                    <w:rPr>
                      <w:rFonts w:ascii="Cambria Math" w:eastAsiaTheme="minorEastAsia" w:hAnsi="Cambria Math" w:cstheme="minorBidi"/>
                      <w:i/>
                      <w:kern w:val="2"/>
                      <w:sz w:val="20"/>
                      <w:szCs w:val="20"/>
                      <w:lang w:eastAsia="en-US"/>
                      <w14:ligatures w14:val="standardContextual"/>
                    </w:rPr>
                  </m:ctrlPr>
                </m:sSubPr>
                <m:e>
                  <m:r>
                    <w:rPr>
                      <w:rFonts w:ascii="Cambria Math" w:eastAsiaTheme="minorEastAsia" w:hAnsi="Cambria Math"/>
                      <w:sz w:val="20"/>
                      <w:szCs w:val="20"/>
                    </w:rPr>
                    <m:t>E</m:t>
                  </m:r>
                  <m:r>
                    <w:rPr>
                      <w:rFonts w:ascii="Cambria Math" w:eastAsiaTheme="minorEastAsia" w:hAnsi="Cambria Math"/>
                      <w:sz w:val="20"/>
                      <w:szCs w:val="20"/>
                    </w:rPr>
                    <m:t>F</m:t>
                  </m:r>
                </m:e>
                <m:sub>
                  <m:r>
                    <w:rPr>
                      <w:rFonts w:ascii="Cambria Math" w:eastAsiaTheme="minorEastAsia" w:hAnsi="Cambria Math"/>
                      <w:sz w:val="20"/>
                      <w:szCs w:val="20"/>
                    </w:rPr>
                    <m:t>NG</m:t>
                  </m:r>
                </m:sub>
              </m:sSub>
              <m:r>
                <w:rPr>
                  <w:rFonts w:ascii="Cambria Math" w:eastAsiaTheme="minorEastAsia" w:hAnsi="Cambria Math"/>
                  <w:sz w:val="20"/>
                  <w:szCs w:val="20"/>
                </w:rPr>
                <m:t xml:space="preserve"> </m:t>
              </m:r>
            </m:num>
            <m:den>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R</m:t>
                  </m:r>
                  <m:r>
                    <w:rPr>
                      <w:rFonts w:ascii="Cambria Math" w:hAnsi="Cambria Math"/>
                      <w:sz w:val="20"/>
                      <w:szCs w:val="20"/>
                    </w:rPr>
                    <m:t>,el</m:t>
                  </m:r>
                </m:sub>
              </m:sSub>
              <m:r>
                <w:rPr>
                  <w:rFonts w:ascii="Cambria Math" w:hAnsi="Cambria Math"/>
                  <w:sz w:val="20"/>
                  <w:szCs w:val="20"/>
                </w:rPr>
                <m:t>(1100°C)</m:t>
              </m:r>
            </m:den>
          </m:f>
          <m:r>
            <w:rPr>
              <w:rFonts w:ascii="Cambria Math" w:hAnsi="Cambria Math"/>
              <w:sz w:val="20"/>
              <w:szCs w:val="20"/>
            </w:rPr>
            <m:t>=</m:t>
          </m:r>
          <m:f>
            <m:fPr>
              <m:ctrlPr>
                <w:rPr>
                  <w:rFonts w:ascii="Cambria Math" w:hAnsi="Cambria Math"/>
                  <w:i/>
                  <w:sz w:val="20"/>
                  <w:szCs w:val="20"/>
                </w:rPr>
              </m:ctrlPr>
            </m:fPr>
            <m:num>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215.1</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kJ</m:t>
                      </m:r>
                    </m:num>
                    <m:den>
                      <m:r>
                        <w:rPr>
                          <w:rFonts w:ascii="Cambria Math" w:hAnsi="Cambria Math"/>
                          <w:sz w:val="20"/>
                          <w:szCs w:val="20"/>
                        </w:rPr>
                        <m:t>mol</m:t>
                      </m:r>
                      <m:r>
                        <w:rPr>
                          <w:rFonts w:ascii="Cambria Math" w:hAnsi="Cambria Math"/>
                          <w:sz w:val="20"/>
                          <w:szCs w:val="20"/>
                        </w:rPr>
                        <m:t xml:space="preserve"> </m:t>
                      </m:r>
                      <m:r>
                        <w:rPr>
                          <w:rFonts w:ascii="Cambria Math" w:hAnsi="Cambria Math"/>
                          <w:sz w:val="20"/>
                          <w:szCs w:val="20"/>
                        </w:rPr>
                        <m:t>C</m:t>
                      </m:r>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H</m:t>
                          </m:r>
                        </m:e>
                        <m:sub>
                          <m:r>
                            <w:rPr>
                              <w:rFonts w:ascii="Cambria Math" w:hAnsi="Cambria Math"/>
                              <w:sz w:val="20"/>
                              <w:szCs w:val="20"/>
                            </w:rPr>
                            <m:t>4 reacted</m:t>
                          </m:r>
                        </m:sub>
                      </m:sSub>
                    </m:den>
                  </m:f>
                </m:num>
                <m:den>
                  <m:r>
                    <w:rPr>
                      <w:rFonts w:ascii="Cambria Math" w:hAnsi="Cambria Math"/>
                      <w:sz w:val="20"/>
                      <w:szCs w:val="20"/>
                    </w:rPr>
                    <m:t>0.85</m:t>
                  </m:r>
                </m:den>
              </m:f>
              <m:r>
                <w:rPr>
                  <w:rFonts w:ascii="Cambria Math" w:eastAsiaTheme="minorEastAsia" w:hAnsi="Cambria Math"/>
                  <w:sz w:val="20"/>
                  <w:szCs w:val="20"/>
                </w:rPr>
                <m:t>∙</m:t>
              </m:r>
              <m:r>
                <w:rPr>
                  <w:rFonts w:ascii="Cambria Math" w:eastAsiaTheme="minorEastAsia" w:hAnsi="Cambria Math"/>
                  <w:sz w:val="20"/>
                  <w:szCs w:val="20"/>
                </w:rPr>
                <m:t>57</m:t>
              </m:r>
              <m:f>
                <m:fPr>
                  <m:ctrlPr>
                    <w:rPr>
                      <w:rFonts w:ascii="Cambria Math" w:eastAsiaTheme="minorEastAsia" w:hAnsi="Cambria Math"/>
                      <w:i/>
                      <w:sz w:val="20"/>
                      <w:szCs w:val="20"/>
                    </w:rPr>
                  </m:ctrlPr>
                </m:fPr>
                <m:num>
                  <m:r>
                    <w:rPr>
                      <w:rFonts w:ascii="Cambria Math" w:eastAsiaTheme="minorEastAsia" w:hAnsi="Cambria Math"/>
                      <w:sz w:val="20"/>
                      <w:szCs w:val="20"/>
                    </w:rPr>
                    <m:t>t C</m:t>
                  </m:r>
                  <m:sSub>
                    <m:sSubPr>
                      <m:ctrlPr>
                        <w:rPr>
                          <w:rFonts w:ascii="Cambria Math" w:eastAsiaTheme="minorEastAsia" w:hAnsi="Cambria Math"/>
                          <w:i/>
                          <w:sz w:val="20"/>
                          <w:szCs w:val="20"/>
                        </w:rPr>
                      </m:ctrlPr>
                    </m:sSubPr>
                    <m:e>
                      <m:r>
                        <w:rPr>
                          <w:rFonts w:ascii="Cambria Math" w:eastAsiaTheme="minorEastAsia" w:hAnsi="Cambria Math"/>
                          <w:sz w:val="20"/>
                          <w:szCs w:val="20"/>
                        </w:rPr>
                        <m:t>O</m:t>
                      </m:r>
                    </m:e>
                    <m:sub>
                      <m:r>
                        <w:rPr>
                          <w:rFonts w:ascii="Cambria Math" w:eastAsiaTheme="minorEastAsia" w:hAnsi="Cambria Math"/>
                          <w:sz w:val="20"/>
                          <w:szCs w:val="20"/>
                        </w:rPr>
                        <m:t>2</m:t>
                      </m:r>
                    </m:sub>
                  </m:sSub>
                </m:num>
                <m:den>
                  <m:r>
                    <w:rPr>
                      <w:rFonts w:ascii="Cambria Math" w:eastAsiaTheme="minorEastAsia" w:hAnsi="Cambria Math"/>
                      <w:sz w:val="20"/>
                      <w:szCs w:val="20"/>
                    </w:rPr>
                    <m:t>TJ</m:t>
                  </m:r>
                </m:den>
              </m:f>
              <m:r>
                <w:rPr>
                  <w:rFonts w:ascii="Cambria Math" w:eastAsiaTheme="minorEastAsia" w:hAnsi="Cambria Math"/>
                  <w:sz w:val="20"/>
                  <w:szCs w:val="20"/>
                </w:rPr>
                <m:t>∙</m:t>
              </m:r>
              <m:sSup>
                <m:sSupPr>
                  <m:ctrlPr>
                    <w:rPr>
                      <w:rFonts w:ascii="Cambria Math" w:eastAsiaTheme="minorHAnsi" w:hAnsi="Cambria Math" w:cstheme="minorBidi"/>
                      <w:i/>
                      <w:kern w:val="2"/>
                      <w:sz w:val="20"/>
                      <w:szCs w:val="20"/>
                      <w:lang w:eastAsia="en-US"/>
                      <w14:ligatures w14:val="standardContextual"/>
                    </w:rPr>
                  </m:ctrlPr>
                </m:sSupPr>
                <m:e>
                  <m:r>
                    <w:rPr>
                      <w:rFonts w:ascii="Cambria Math" w:hAnsi="Cambria Math"/>
                      <w:sz w:val="20"/>
                      <w:szCs w:val="20"/>
                    </w:rPr>
                    <m:t>10</m:t>
                  </m:r>
                </m:e>
                <m:sup>
                  <m:r>
                    <w:rPr>
                      <w:rFonts w:ascii="Cambria Math" w:hAnsi="Cambria Math"/>
                      <w:sz w:val="20"/>
                      <w:szCs w:val="20"/>
                    </w:rPr>
                    <m:t>-6</m:t>
                  </m:r>
                </m:sup>
              </m:sSup>
              <m:f>
                <m:fPr>
                  <m:ctrlPr>
                    <w:rPr>
                      <w:rFonts w:ascii="Cambria Math" w:eastAsiaTheme="minorEastAsia" w:hAnsi="Cambria Math" w:cstheme="minorBidi"/>
                      <w:i/>
                      <w:kern w:val="2"/>
                      <w:sz w:val="20"/>
                      <w:szCs w:val="20"/>
                      <w:lang w:eastAsia="en-US"/>
                      <w14:ligatures w14:val="standardContextual"/>
                    </w:rPr>
                  </m:ctrlPr>
                </m:fPr>
                <m:num>
                  <m:r>
                    <w:rPr>
                      <w:rFonts w:ascii="Cambria Math" w:eastAsiaTheme="minorEastAsia" w:hAnsi="Cambria Math"/>
                      <w:sz w:val="20"/>
                      <w:szCs w:val="20"/>
                    </w:rPr>
                    <m:t>TJ</m:t>
                  </m:r>
                </m:num>
                <m:den>
                  <m:r>
                    <w:rPr>
                      <w:rFonts w:ascii="Cambria Math" w:eastAsiaTheme="minorEastAsia" w:hAnsi="Cambria Math"/>
                      <w:sz w:val="20"/>
                      <w:szCs w:val="20"/>
                    </w:rPr>
                    <m:t>MJ</m:t>
                  </m:r>
                </m:den>
              </m:f>
              <m:r>
                <w:rPr>
                  <w:rFonts w:ascii="Cambria Math" w:eastAsiaTheme="minorEastAsia" w:hAnsi="Cambria Math"/>
                  <w:sz w:val="20"/>
                  <w:szCs w:val="20"/>
                </w:rPr>
                <m:t>∙</m:t>
              </m:r>
              <m:r>
                <w:rPr>
                  <w:rFonts w:ascii="Cambria Math" w:hAnsi="Cambria Math"/>
                  <w:sz w:val="20"/>
                  <w:szCs w:val="20"/>
                </w:rPr>
                <m:t>3600</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M</m:t>
                  </m:r>
                  <m:r>
                    <w:rPr>
                      <w:rFonts w:ascii="Cambria Math" w:hAnsi="Cambria Math"/>
                      <w:sz w:val="20"/>
                      <w:szCs w:val="20"/>
                    </w:rPr>
                    <m:t>J</m:t>
                  </m:r>
                </m:num>
                <m:den>
                  <m:r>
                    <w:rPr>
                      <w:rFonts w:ascii="Cambria Math" w:hAnsi="Cambria Math"/>
                      <w:sz w:val="20"/>
                      <w:szCs w:val="20"/>
                    </w:rPr>
                    <m:t>M</m:t>
                  </m:r>
                  <m:r>
                    <w:rPr>
                      <w:rFonts w:ascii="Cambria Math" w:hAnsi="Cambria Math"/>
                      <w:sz w:val="20"/>
                      <w:szCs w:val="20"/>
                    </w:rPr>
                    <m:t>Wh</m:t>
                  </m:r>
                </m:den>
              </m:f>
            </m:num>
            <m:den>
              <m:r>
                <w:rPr>
                  <w:rFonts w:ascii="Cambria Math" w:hAnsi="Cambria Math"/>
                  <w:sz w:val="20"/>
                  <w:szCs w:val="20"/>
                </w:rPr>
                <m:t>220.3</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kJ</m:t>
                  </m:r>
                </m:num>
                <m:den>
                  <m:r>
                    <w:rPr>
                      <w:rFonts w:ascii="Cambria Math" w:hAnsi="Cambria Math"/>
                      <w:sz w:val="20"/>
                      <w:szCs w:val="20"/>
                    </w:rPr>
                    <m:t>mol</m:t>
                  </m:r>
                  <m:r>
                    <w:rPr>
                      <w:rFonts w:ascii="Cambria Math" w:hAnsi="Cambria Math"/>
                      <w:sz w:val="20"/>
                      <w:szCs w:val="20"/>
                    </w:rPr>
                    <m:t xml:space="preserve"> C</m:t>
                  </m:r>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H</m:t>
                      </m:r>
                    </m:e>
                    <m:sub>
                      <m:r>
                        <w:rPr>
                          <w:rFonts w:ascii="Cambria Math" w:hAnsi="Cambria Math"/>
                          <w:sz w:val="20"/>
                          <w:szCs w:val="20"/>
                        </w:rPr>
                        <m:t>4 reacted</m:t>
                      </m:r>
                    </m:sub>
                  </m:sSub>
                </m:den>
              </m:f>
            </m:den>
          </m:f>
          <m:r>
            <w:rPr>
              <w:rFonts w:ascii="Cambria Math" w:hAnsi="Cambria Math"/>
              <w:sz w:val="20"/>
              <w:szCs w:val="20"/>
            </w:rPr>
            <m:t>=</m:t>
          </m:r>
          <m:r>
            <w:rPr>
              <w:rFonts w:ascii="Cambria Math" w:eastAsiaTheme="minorEastAsia" w:hAnsi="Cambria Math"/>
              <w:sz w:val="20"/>
              <w:szCs w:val="20"/>
            </w:rPr>
            <m:t>0</m:t>
          </m:r>
          <m:r>
            <w:rPr>
              <w:rFonts w:ascii="Cambria Math" w:eastAsiaTheme="minorEastAsia" w:hAnsi="Cambria Math"/>
              <w:sz w:val="20"/>
              <w:szCs w:val="20"/>
            </w:rPr>
            <m:t>.24</m:t>
          </m:r>
          <m:f>
            <m:fPr>
              <m:ctrlPr>
                <w:rPr>
                  <w:rFonts w:ascii="Cambria Math" w:eastAsiaTheme="minorEastAsia" w:hAnsi="Cambria Math"/>
                  <w:i/>
                  <w:sz w:val="20"/>
                  <w:szCs w:val="20"/>
                </w:rPr>
              </m:ctrlPr>
            </m:fPr>
            <m:num>
              <m:r>
                <w:rPr>
                  <w:rFonts w:ascii="Cambria Math" w:eastAsiaTheme="minorEastAsia" w:hAnsi="Cambria Math"/>
                  <w:sz w:val="20"/>
                  <w:szCs w:val="20"/>
                </w:rPr>
                <m:t>t C</m:t>
              </m:r>
              <m:sSub>
                <m:sSubPr>
                  <m:ctrlPr>
                    <w:rPr>
                      <w:rFonts w:ascii="Cambria Math" w:eastAsiaTheme="minorEastAsia" w:hAnsi="Cambria Math"/>
                      <w:i/>
                      <w:sz w:val="20"/>
                      <w:szCs w:val="20"/>
                    </w:rPr>
                  </m:ctrlPr>
                </m:sSubPr>
                <m:e>
                  <m:r>
                    <w:rPr>
                      <w:rFonts w:ascii="Cambria Math" w:eastAsiaTheme="minorEastAsia" w:hAnsi="Cambria Math"/>
                      <w:sz w:val="20"/>
                      <w:szCs w:val="20"/>
                    </w:rPr>
                    <m:t>O</m:t>
                  </m:r>
                </m:e>
                <m:sub>
                  <m:r>
                    <w:rPr>
                      <w:rFonts w:ascii="Cambria Math" w:eastAsiaTheme="minorEastAsia" w:hAnsi="Cambria Math"/>
                      <w:sz w:val="20"/>
                      <w:szCs w:val="20"/>
                    </w:rPr>
                    <m:t>2</m:t>
                  </m:r>
                </m:sub>
              </m:sSub>
            </m:num>
            <m:den>
              <m:r>
                <w:rPr>
                  <w:rFonts w:ascii="Cambria Math" w:eastAsiaTheme="minorEastAsia" w:hAnsi="Cambria Math"/>
                  <w:sz w:val="20"/>
                  <w:szCs w:val="20"/>
                </w:rPr>
                <m:t>MWh</m:t>
              </m:r>
            </m:den>
          </m:f>
        </m:oMath>
      </m:oMathPara>
    </w:p>
    <w:p w14:paraId="586569E6" w14:textId="77777777" w:rsidR="00834D55" w:rsidRPr="008955F0" w:rsidRDefault="00834D55" w:rsidP="00DD3DE2">
      <w:pPr>
        <w:rPr>
          <w:rFonts w:eastAsiaTheme="minorEastAsia"/>
          <w:sz w:val="20"/>
          <w:szCs w:val="20"/>
        </w:rPr>
      </w:pPr>
    </w:p>
    <w:p w14:paraId="2C2AF401" w14:textId="337F9B3E" w:rsidR="008955F0" w:rsidRPr="006948FE" w:rsidRDefault="00913245" w:rsidP="00DD3DE2">
      <w:pPr>
        <w:rPr>
          <w:color w:val="00B0F0"/>
          <w:sz w:val="20"/>
          <w:szCs w:val="20"/>
        </w:rPr>
      </w:pPr>
      <w:r w:rsidRPr="006948FE">
        <w:rPr>
          <w:rFonts w:eastAsiaTheme="minorEastAsia"/>
          <w:color w:val="00B0F0"/>
          <w:sz w:val="20"/>
          <w:szCs w:val="20"/>
        </w:rPr>
        <w:t>EF</w:t>
      </w:r>
      <w:r w:rsidR="008955F0" w:rsidRPr="006948FE">
        <w:rPr>
          <w:rFonts w:eastAsiaTheme="minorEastAsia"/>
          <w:color w:val="00B0F0"/>
          <w:sz w:val="20"/>
          <w:szCs w:val="20"/>
        </w:rPr>
        <w:t xml:space="preserve"> source: [</w:t>
      </w:r>
      <w:r w:rsidR="008955F0" w:rsidRPr="006948FE">
        <w:rPr>
          <w:rFonts w:eastAsiaTheme="minorEastAsia"/>
          <w:color w:val="00B0F0"/>
          <w:sz w:val="20"/>
          <w:szCs w:val="20"/>
        </w:rPr>
        <w:t>https://www.umweltbundesamt.de/system/files/medien/479/publikationen/cc_29-2022_emission-factors-fossil-fuels.pdf</w:t>
      </w:r>
      <w:r w:rsidR="008955F0" w:rsidRPr="006948FE">
        <w:rPr>
          <w:rFonts w:eastAsiaTheme="minorEastAsia"/>
          <w:color w:val="00B0F0"/>
          <w:sz w:val="20"/>
          <w:szCs w:val="20"/>
        </w:rPr>
        <w:t>]</w:t>
      </w:r>
    </w:p>
    <w:p w14:paraId="1D05429A" w14:textId="30F38618" w:rsidR="00BD0B36" w:rsidRDefault="00BD0B36" w:rsidP="00DD7131">
      <w:pPr>
        <w:rPr>
          <w:sz w:val="20"/>
          <w:szCs w:val="20"/>
        </w:rPr>
      </w:pPr>
    </w:p>
    <w:p w14:paraId="1E106B50" w14:textId="77777777" w:rsidR="00167D95" w:rsidRPr="00E95313" w:rsidRDefault="00167D95" w:rsidP="00DD7131">
      <w:pPr>
        <w:rPr>
          <w:sz w:val="20"/>
          <w:szCs w:val="20"/>
        </w:rPr>
      </w:pPr>
    </w:p>
    <w:p w14:paraId="78B1A927" w14:textId="29CC0DA8" w:rsidR="00EA0F76" w:rsidRDefault="001A56BA" w:rsidP="00DD7131">
      <w:pPr>
        <w:rPr>
          <w:sz w:val="20"/>
          <w:szCs w:val="20"/>
        </w:rPr>
      </w:pPr>
      <w:r>
        <w:rPr>
          <w:sz w:val="20"/>
          <w:szCs w:val="20"/>
        </w:rPr>
        <w:t xml:space="preserve">Additionally, this concept gives the opportunity to electrify the </w:t>
      </w:r>
      <w:r w:rsidR="00107239">
        <w:rPr>
          <w:sz w:val="20"/>
          <w:szCs w:val="20"/>
        </w:rPr>
        <w:t xml:space="preserve">production of the otherwise exported </w:t>
      </w:r>
      <w:r>
        <w:rPr>
          <w:sz w:val="20"/>
          <w:szCs w:val="20"/>
        </w:rPr>
        <w:t>steam since no</w:t>
      </w:r>
      <w:r w:rsidR="00107239">
        <w:rPr>
          <w:sz w:val="20"/>
          <w:szCs w:val="20"/>
        </w:rPr>
        <w:t xml:space="preserve"> excess</w:t>
      </w:r>
      <w:r>
        <w:rPr>
          <w:sz w:val="20"/>
          <w:szCs w:val="20"/>
        </w:rPr>
        <w:t xml:space="preserve"> steam is produced as co-product (due to reactor internal heat integration)</w:t>
      </w:r>
      <w:r w:rsidR="00D964A0">
        <w:rPr>
          <w:sz w:val="20"/>
          <w:szCs w:val="20"/>
        </w:rPr>
        <w:t xml:space="preserve">. Power to heat is associated with an </w:t>
      </w:r>
      <w:r w:rsidR="00D964A0" w:rsidRPr="00D964A0">
        <w:rPr>
          <w:i/>
          <w:iCs/>
          <w:sz w:val="20"/>
          <w:szCs w:val="20"/>
        </w:rPr>
        <w:t xml:space="preserve">Abatement </w:t>
      </w:r>
      <w:r w:rsidR="00D34F3B">
        <w:rPr>
          <w:i/>
          <w:iCs/>
          <w:sz w:val="20"/>
          <w:szCs w:val="20"/>
        </w:rPr>
        <w:t>Effectiveness</w:t>
      </w:r>
      <w:r w:rsidR="00D964A0">
        <w:rPr>
          <w:sz w:val="20"/>
          <w:szCs w:val="20"/>
        </w:rPr>
        <w:t xml:space="preserve"> of </w:t>
      </w:r>
      <m:oMath>
        <m:r>
          <w:rPr>
            <w:rFonts w:ascii="Cambria Math" w:eastAsiaTheme="minorEastAsia" w:hAnsi="Cambria Math"/>
            <w:sz w:val="20"/>
            <w:szCs w:val="20"/>
          </w:rPr>
          <m:t>0.2</m:t>
        </m:r>
        <m:f>
          <m:fPr>
            <m:ctrlPr>
              <w:rPr>
                <w:rFonts w:ascii="Cambria Math" w:eastAsiaTheme="minorEastAsia" w:hAnsi="Cambria Math"/>
                <w:i/>
                <w:sz w:val="20"/>
                <w:szCs w:val="20"/>
              </w:rPr>
            </m:ctrlPr>
          </m:fPr>
          <m:num>
            <m:r>
              <w:rPr>
                <w:rFonts w:ascii="Cambria Math" w:eastAsiaTheme="minorEastAsia" w:hAnsi="Cambria Math"/>
                <w:sz w:val="20"/>
                <w:szCs w:val="20"/>
              </w:rPr>
              <m:t>t C</m:t>
            </m:r>
            <m:sSub>
              <m:sSubPr>
                <m:ctrlPr>
                  <w:rPr>
                    <w:rFonts w:ascii="Cambria Math" w:eastAsiaTheme="minorEastAsia" w:hAnsi="Cambria Math"/>
                    <w:i/>
                    <w:sz w:val="20"/>
                    <w:szCs w:val="20"/>
                  </w:rPr>
                </m:ctrlPr>
              </m:sSubPr>
              <m:e>
                <m:r>
                  <w:rPr>
                    <w:rFonts w:ascii="Cambria Math" w:eastAsiaTheme="minorEastAsia" w:hAnsi="Cambria Math"/>
                    <w:sz w:val="20"/>
                    <w:szCs w:val="20"/>
                  </w:rPr>
                  <m:t>O</m:t>
                </m:r>
              </m:e>
              <m:sub>
                <m:r>
                  <w:rPr>
                    <w:rFonts w:ascii="Cambria Math" w:eastAsiaTheme="minorEastAsia" w:hAnsi="Cambria Math"/>
                    <w:sz w:val="20"/>
                    <w:szCs w:val="20"/>
                  </w:rPr>
                  <m:t>2</m:t>
                </m:r>
              </m:sub>
            </m:sSub>
          </m:num>
          <m:den>
            <m:r>
              <w:rPr>
                <w:rFonts w:ascii="Cambria Math" w:eastAsiaTheme="minorEastAsia" w:hAnsi="Cambria Math"/>
                <w:sz w:val="20"/>
                <w:szCs w:val="20"/>
              </w:rPr>
              <m:t>MWh</m:t>
            </m:r>
          </m:den>
        </m:f>
      </m:oMath>
      <w:r w:rsidR="00800A7E">
        <w:rPr>
          <w:rFonts w:eastAsiaTheme="minorEastAsia"/>
          <w:sz w:val="20"/>
          <w:szCs w:val="20"/>
        </w:rPr>
        <w:t xml:space="preserve"> </w:t>
      </w:r>
      <w:r w:rsidR="00800A7E" w:rsidRPr="00800A7E">
        <w:rPr>
          <w:rFonts w:eastAsiaTheme="minorEastAsia"/>
          <w:color w:val="EE0000"/>
          <w:sz w:val="20"/>
          <w:szCs w:val="20"/>
        </w:rPr>
        <w:t>[source</w:t>
      </w:r>
      <w:r w:rsidR="00800A7E">
        <w:rPr>
          <w:rFonts w:eastAsiaTheme="minorEastAsia"/>
          <w:color w:val="EE0000"/>
          <w:sz w:val="20"/>
          <w:szCs w:val="20"/>
        </w:rPr>
        <w:t>!</w:t>
      </w:r>
      <w:r w:rsidR="00800A7E" w:rsidRPr="00800A7E">
        <w:rPr>
          <w:rFonts w:eastAsiaTheme="minorEastAsia"/>
          <w:color w:val="EE0000"/>
          <w:sz w:val="20"/>
          <w:szCs w:val="20"/>
        </w:rPr>
        <w:t>]</w:t>
      </w:r>
      <w:r w:rsidR="00800A7E">
        <w:rPr>
          <w:rFonts w:eastAsiaTheme="minorEastAsia"/>
          <w:sz w:val="20"/>
          <w:szCs w:val="20"/>
        </w:rPr>
        <w:t>.</w:t>
      </w:r>
      <w:r>
        <w:rPr>
          <w:sz w:val="20"/>
          <w:szCs w:val="20"/>
        </w:rPr>
        <w:br/>
      </w:r>
      <w:r w:rsidR="00BA2C30" w:rsidRPr="00BA2C30">
        <w:rPr>
          <w:sz w:val="20"/>
          <w:szCs w:val="20"/>
        </w:rPr>
        <w:t xml:space="preserve">However, at </w:t>
      </w:r>
      <w:r w:rsidR="00BA2C30" w:rsidRPr="00701B02">
        <w:rPr>
          <w:b/>
          <w:bCs/>
          <w:sz w:val="20"/>
          <w:szCs w:val="20"/>
        </w:rPr>
        <w:t xml:space="preserve">current electricity-to-gas price ratios </w:t>
      </w:r>
      <w:r w:rsidR="00BA2C30" w:rsidRPr="00BA2C30">
        <w:rPr>
          <w:sz w:val="20"/>
          <w:szCs w:val="20"/>
        </w:rPr>
        <w:t xml:space="preserve">and grid carbon intensities, </w:t>
      </w:r>
      <w:r w:rsidR="00BA2C30" w:rsidRPr="00701B02">
        <w:rPr>
          <w:b/>
          <w:bCs/>
          <w:sz w:val="20"/>
          <w:szCs w:val="20"/>
        </w:rPr>
        <w:t>eSMR remains economically disadvantaged</w:t>
      </w:r>
      <w:r w:rsidR="00BA2C30" w:rsidRPr="00BA2C30">
        <w:rPr>
          <w:sz w:val="20"/>
          <w:szCs w:val="20"/>
        </w:rPr>
        <w:t xml:space="preserve"> and does not yet deliver genuinely low-carbon hydrogen in most geographic contexts.</w:t>
      </w:r>
    </w:p>
    <w:p w14:paraId="1871C29F" w14:textId="77777777" w:rsidR="00EA0F76" w:rsidRDefault="00EA0F76" w:rsidP="00DD7131">
      <w:pPr>
        <w:rPr>
          <w:sz w:val="20"/>
          <w:szCs w:val="20"/>
        </w:rPr>
      </w:pPr>
    </w:p>
    <w:p w14:paraId="774B44AF" w14:textId="77777777" w:rsidR="00C80016" w:rsidRDefault="00C80016" w:rsidP="00DD7131">
      <w:pPr>
        <w:rPr>
          <w:sz w:val="20"/>
          <w:szCs w:val="20"/>
        </w:rPr>
      </w:pPr>
    </w:p>
    <w:p w14:paraId="52501358" w14:textId="25CD938C" w:rsidR="007F7249" w:rsidRPr="00764BCF" w:rsidRDefault="00764BCF" w:rsidP="00DD7131">
      <w:pPr>
        <w:rPr>
          <w:b/>
          <w:bCs/>
          <w:i/>
          <w:iCs/>
          <w:sz w:val="20"/>
          <w:szCs w:val="20"/>
        </w:rPr>
      </w:pPr>
      <w:r w:rsidRPr="00764BCF">
        <w:rPr>
          <w:b/>
          <w:bCs/>
          <w:i/>
          <w:iCs/>
          <w:sz w:val="20"/>
          <w:szCs w:val="20"/>
        </w:rPr>
        <w:t>Conclusion</w:t>
      </w:r>
    </w:p>
    <w:p w14:paraId="6F335C57" w14:textId="086F30D5" w:rsidR="004148E5" w:rsidRDefault="004148E5" w:rsidP="004148E5">
      <w:pPr>
        <w:rPr>
          <w:sz w:val="20"/>
          <w:szCs w:val="20"/>
        </w:rPr>
      </w:pPr>
      <w:r w:rsidRPr="004148E5">
        <w:rPr>
          <w:sz w:val="20"/>
          <w:szCs w:val="20"/>
        </w:rPr>
        <w:t>This analysis concludes that electrified SMR (eSMR) is unlikely to displace conventional SMR under current economic conditions</w:t>
      </w:r>
      <w:r w:rsidR="00B91A17">
        <w:rPr>
          <w:sz w:val="20"/>
          <w:szCs w:val="20"/>
        </w:rPr>
        <w:t xml:space="preserve"> and the assumptions made</w:t>
      </w:r>
      <w:r w:rsidRPr="004148E5">
        <w:rPr>
          <w:sz w:val="20"/>
          <w:szCs w:val="20"/>
        </w:rPr>
        <w:t>. The fundamental barrier is the electricity-to-natural gas price differential, which cannot be offset by the environmental benefits of avoided combustion emissions at prevailing or near-term projected carbon prices.</w:t>
      </w:r>
    </w:p>
    <w:p w14:paraId="2F125229" w14:textId="77777777" w:rsidR="00EF1289" w:rsidRPr="004148E5" w:rsidRDefault="00EF1289" w:rsidP="004148E5">
      <w:pPr>
        <w:rPr>
          <w:sz w:val="20"/>
          <w:szCs w:val="20"/>
        </w:rPr>
      </w:pPr>
    </w:p>
    <w:p w14:paraId="206A712A" w14:textId="03EBE2BE" w:rsidR="004148E5" w:rsidRDefault="004148E5" w:rsidP="004148E5">
      <w:pPr>
        <w:rPr>
          <w:sz w:val="20"/>
          <w:szCs w:val="20"/>
        </w:rPr>
      </w:pPr>
      <w:r w:rsidRPr="004148E5">
        <w:rPr>
          <w:sz w:val="20"/>
          <w:szCs w:val="20"/>
        </w:rPr>
        <w:t xml:space="preserve">A more equitable comparison pairs eSMR against conventional SMR equipped with post-combustion CCS. In this context, the higher CO₂ partial pressure inherent to pre-combustion capture configurations </w:t>
      </w:r>
      <w:r w:rsidR="00EF1289">
        <w:rPr>
          <w:sz w:val="20"/>
          <w:szCs w:val="20"/>
        </w:rPr>
        <w:t>–</w:t>
      </w:r>
      <w:r w:rsidRPr="004148E5">
        <w:rPr>
          <w:sz w:val="20"/>
          <w:szCs w:val="20"/>
        </w:rPr>
        <w:t xml:space="preserve"> as in eSMR </w:t>
      </w:r>
      <w:r w:rsidR="00EF1289">
        <w:rPr>
          <w:sz w:val="20"/>
          <w:szCs w:val="20"/>
        </w:rPr>
        <w:t>–</w:t>
      </w:r>
      <w:r w:rsidRPr="004148E5">
        <w:rPr>
          <w:sz w:val="20"/>
          <w:szCs w:val="20"/>
        </w:rPr>
        <w:t xml:space="preserve"> </w:t>
      </w:r>
      <w:r w:rsidRPr="004148E5">
        <w:rPr>
          <w:sz w:val="20"/>
          <w:szCs w:val="20"/>
        </w:rPr>
        <w:lastRenderedPageBreak/>
        <w:t xml:space="preserve">confers a clear thermodynamic advantage over post-combustion processes. This advantage is further amplified when post-combustion capture must treat a </w:t>
      </w:r>
      <w:r w:rsidR="00EF1289">
        <w:rPr>
          <w:sz w:val="20"/>
          <w:szCs w:val="20"/>
        </w:rPr>
        <w:t xml:space="preserve">simple </w:t>
      </w:r>
      <w:r w:rsidRPr="004148E5">
        <w:rPr>
          <w:sz w:val="20"/>
          <w:szCs w:val="20"/>
        </w:rPr>
        <w:t xml:space="preserve">CH₄ combustion-derived flue gas stream, as encountered in ammonia syngas production, rather than a </w:t>
      </w:r>
      <w:r w:rsidR="00EF1289">
        <w:rPr>
          <w:sz w:val="20"/>
          <w:szCs w:val="20"/>
        </w:rPr>
        <w:t>flue gas stream with additional process CO</w:t>
      </w:r>
      <w:r w:rsidR="00EF1289">
        <w:rPr>
          <w:sz w:val="20"/>
          <w:szCs w:val="20"/>
          <w:vertAlign w:val="subscript"/>
        </w:rPr>
        <w:t>2</w:t>
      </w:r>
      <w:r w:rsidRPr="004148E5">
        <w:rPr>
          <w:sz w:val="20"/>
          <w:szCs w:val="20"/>
        </w:rPr>
        <w:t>.</w:t>
      </w:r>
    </w:p>
    <w:p w14:paraId="6872A21C" w14:textId="77777777" w:rsidR="00EF1289" w:rsidRPr="004148E5" w:rsidRDefault="00EF1289" w:rsidP="004148E5">
      <w:pPr>
        <w:rPr>
          <w:sz w:val="20"/>
          <w:szCs w:val="20"/>
        </w:rPr>
      </w:pPr>
    </w:p>
    <w:p w14:paraId="2E841FF7" w14:textId="48CAEC61" w:rsidR="004148E5" w:rsidRDefault="004148E5" w:rsidP="004148E5">
      <w:pPr>
        <w:rPr>
          <w:sz w:val="20"/>
          <w:szCs w:val="20"/>
        </w:rPr>
      </w:pPr>
      <w:r w:rsidRPr="004148E5">
        <w:rPr>
          <w:sz w:val="20"/>
          <w:szCs w:val="20"/>
        </w:rPr>
        <w:t xml:space="preserve">An additional differentiator is the material-limited operating pressure of conventional SMR (~40 bar), whereas the </w:t>
      </w:r>
      <w:r w:rsidRPr="00B91A17">
        <w:rPr>
          <w:color w:val="EE0000"/>
          <w:sz w:val="20"/>
          <w:szCs w:val="20"/>
        </w:rPr>
        <w:t>OCMC-based eSMR concept is unconstrained</w:t>
      </w:r>
      <w:r w:rsidR="00B91A17">
        <w:rPr>
          <w:sz w:val="20"/>
          <w:szCs w:val="20"/>
        </w:rPr>
        <w:t xml:space="preserve"> (Kommentar Daniel: </w:t>
      </w:r>
      <w:r w:rsidR="00B91A17" w:rsidRPr="00B91A17">
        <w:rPr>
          <w:color w:val="EE0000"/>
          <w:sz w:val="20"/>
          <w:szCs w:val="20"/>
          <w:lang w:val="en-GB"/>
        </w:rPr>
        <w:t xml:space="preserve">less constrained by conventional metallic tube creep limitations. </w:t>
      </w:r>
      <w:r w:rsidR="00B91A17" w:rsidRPr="00B91A17">
        <w:rPr>
          <w:color w:val="EE0000"/>
          <w:sz w:val="20"/>
          <w:szCs w:val="20"/>
          <w:lang w:val="de-DE"/>
        </w:rPr>
        <w:t xml:space="preserve">OCMC generell ist druckbegrenzt. Nur Gegenstrom "theoretisch" nicht. Praktisch aber schon durch </w:t>
      </w:r>
      <w:proofErr w:type="spellStart"/>
      <w:r w:rsidR="00B91A17" w:rsidRPr="00B91A17">
        <w:rPr>
          <w:color w:val="EE0000"/>
          <w:sz w:val="20"/>
          <w:szCs w:val="20"/>
          <w:lang w:val="de-DE"/>
        </w:rPr>
        <w:t>dichtungsprobleme</w:t>
      </w:r>
      <w:proofErr w:type="spellEnd"/>
      <w:r w:rsidR="00B91A17" w:rsidRPr="00B91A17">
        <w:rPr>
          <w:color w:val="EE0000"/>
          <w:sz w:val="20"/>
          <w:szCs w:val="20"/>
          <w:lang w:val="de-DE"/>
        </w:rPr>
        <w:t xml:space="preserve"> etc.</w:t>
      </w:r>
      <w:r w:rsidR="00B91A17" w:rsidRPr="00B91A17">
        <w:rPr>
          <w:color w:val="EE0000"/>
          <w:sz w:val="20"/>
          <w:szCs w:val="20"/>
        </w:rPr>
        <w:t>)</w:t>
      </w:r>
      <w:r w:rsidRPr="00B91A17">
        <w:rPr>
          <w:sz w:val="20"/>
          <w:szCs w:val="20"/>
        </w:rPr>
        <w:t xml:space="preserve"> </w:t>
      </w:r>
      <w:r w:rsidRPr="004148E5">
        <w:rPr>
          <w:sz w:val="20"/>
          <w:szCs w:val="20"/>
        </w:rPr>
        <w:t xml:space="preserve">in this regard. Given that natural gas is typically supplied at </w:t>
      </w:r>
      <w:r w:rsidR="00EF1289">
        <w:rPr>
          <w:sz w:val="20"/>
          <w:szCs w:val="20"/>
        </w:rPr>
        <w:t>higher pressures</w:t>
      </w:r>
      <w:r w:rsidRPr="004148E5">
        <w:rPr>
          <w:sz w:val="20"/>
          <w:szCs w:val="20"/>
        </w:rPr>
        <w:t xml:space="preserve"> and downstream synthesis processes require elevated pressures, pre-reaction compression is energetically more favourable than post-reaction compression of the mole-increased product stream. While this pressure advantage is real, its magnitude is smaller than the economic effects analysed above.</w:t>
      </w:r>
    </w:p>
    <w:p w14:paraId="4EA65534" w14:textId="77777777" w:rsidR="00EF1289" w:rsidRPr="004148E5" w:rsidRDefault="00EF1289" w:rsidP="004148E5">
      <w:pPr>
        <w:rPr>
          <w:sz w:val="20"/>
          <w:szCs w:val="20"/>
        </w:rPr>
      </w:pPr>
    </w:p>
    <w:p w14:paraId="1DCB1A0E" w14:textId="4D18C2BE" w:rsidR="004148E5" w:rsidRDefault="004148E5" w:rsidP="004148E5">
      <w:pPr>
        <w:rPr>
          <w:sz w:val="20"/>
          <w:szCs w:val="20"/>
        </w:rPr>
      </w:pPr>
      <w:r w:rsidRPr="004148E5">
        <w:rPr>
          <w:sz w:val="20"/>
          <w:szCs w:val="20"/>
        </w:rPr>
        <w:t xml:space="preserve">Taken together, these considerations suggest that ammonia syngas production </w:t>
      </w:r>
      <w:r w:rsidR="00B91A17">
        <w:rPr>
          <w:sz w:val="20"/>
          <w:szCs w:val="20"/>
        </w:rPr>
        <w:t xml:space="preserve">may </w:t>
      </w:r>
      <w:r w:rsidRPr="004148E5">
        <w:rPr>
          <w:sz w:val="20"/>
          <w:szCs w:val="20"/>
        </w:rPr>
        <w:t>represent a more promising near-term application for the OCMC reactor concept than hydrogen-only SMR. This assessment is motivated by three compounding factors:</w:t>
      </w:r>
      <w:r w:rsidR="00EF1289">
        <w:rPr>
          <w:sz w:val="20"/>
          <w:szCs w:val="20"/>
        </w:rPr>
        <w:t xml:space="preserve"> (i)</w:t>
      </w:r>
      <w:r w:rsidRPr="004148E5">
        <w:rPr>
          <w:sz w:val="20"/>
          <w:szCs w:val="20"/>
        </w:rPr>
        <w:t xml:space="preserve"> </w:t>
      </w:r>
      <w:r w:rsidR="00EF1289">
        <w:rPr>
          <w:sz w:val="20"/>
          <w:szCs w:val="20"/>
        </w:rPr>
        <w:t xml:space="preserve">more efficient carbon capturing conditions, </w:t>
      </w:r>
      <w:r w:rsidRPr="004148E5">
        <w:rPr>
          <w:sz w:val="20"/>
          <w:szCs w:val="20"/>
        </w:rPr>
        <w:t>(</w:t>
      </w:r>
      <w:r w:rsidR="00EF1289">
        <w:rPr>
          <w:sz w:val="20"/>
          <w:szCs w:val="20"/>
        </w:rPr>
        <w:t>i</w:t>
      </w:r>
      <w:r w:rsidRPr="004148E5">
        <w:rPr>
          <w:sz w:val="20"/>
          <w:szCs w:val="20"/>
        </w:rPr>
        <w:t>i) the synthesis gas must be compressed to at least 150 bar for ammonia synthesis, amplifying the pre-reaction compression benefit; (ii</w:t>
      </w:r>
      <w:r w:rsidR="00EF1289">
        <w:rPr>
          <w:sz w:val="20"/>
          <w:szCs w:val="20"/>
        </w:rPr>
        <w:t>i</w:t>
      </w:r>
      <w:r w:rsidRPr="004148E5">
        <w:rPr>
          <w:sz w:val="20"/>
          <w:szCs w:val="20"/>
        </w:rPr>
        <w:t>) the reactor concept enables high reaction temperatures (&gt;1000 °C) with external electrical energy input, an advantage not accessible in conventional adiabatic reactor configurations</w:t>
      </w:r>
      <w:r w:rsidR="00EF1289">
        <w:rPr>
          <w:sz w:val="20"/>
          <w:szCs w:val="20"/>
        </w:rPr>
        <w:t xml:space="preserve">, which allows </w:t>
      </w:r>
      <w:r w:rsidR="00EF1289" w:rsidRPr="00EF1289">
        <w:rPr>
          <w:sz w:val="20"/>
          <w:szCs w:val="20"/>
        </w:rPr>
        <w:t>combining two reactors into one</w:t>
      </w:r>
      <w:r w:rsidR="00EF1289">
        <w:rPr>
          <w:sz w:val="20"/>
          <w:szCs w:val="20"/>
        </w:rPr>
        <w:t xml:space="preserve"> and hence a potential for CAPEX reduction </w:t>
      </w:r>
      <w:r w:rsidR="00EF1289" w:rsidRPr="004148E5">
        <w:rPr>
          <w:sz w:val="20"/>
          <w:szCs w:val="20"/>
        </w:rPr>
        <w:t>without fundamental process redesign</w:t>
      </w:r>
      <w:r w:rsidR="00EF1289">
        <w:rPr>
          <w:sz w:val="20"/>
          <w:szCs w:val="20"/>
        </w:rPr>
        <w:t xml:space="preserve"> (as </w:t>
      </w:r>
      <w:r w:rsidRPr="004148E5">
        <w:rPr>
          <w:sz w:val="20"/>
          <w:szCs w:val="20"/>
        </w:rPr>
        <w:t>the process design otherwise remains largely unchanged, relying on commercially proven downstream technologies</w:t>
      </w:r>
      <w:r w:rsidR="00EF1289">
        <w:rPr>
          <w:sz w:val="20"/>
          <w:szCs w:val="20"/>
        </w:rPr>
        <w:t>)</w:t>
      </w:r>
      <w:r w:rsidRPr="004148E5">
        <w:rPr>
          <w:sz w:val="20"/>
          <w:szCs w:val="20"/>
        </w:rPr>
        <w:t>.</w:t>
      </w:r>
    </w:p>
    <w:p w14:paraId="7C067555" w14:textId="77777777" w:rsidR="00EF1289" w:rsidRPr="004148E5" w:rsidRDefault="00EF1289" w:rsidP="004148E5">
      <w:pPr>
        <w:rPr>
          <w:sz w:val="20"/>
          <w:szCs w:val="20"/>
        </w:rPr>
      </w:pPr>
    </w:p>
    <w:p w14:paraId="13B33DF7" w14:textId="6F232736" w:rsidR="004148E5" w:rsidRPr="004148E5" w:rsidRDefault="004148E5" w:rsidP="004148E5">
      <w:pPr>
        <w:rPr>
          <w:sz w:val="20"/>
          <w:szCs w:val="20"/>
        </w:rPr>
      </w:pPr>
      <w:r w:rsidRPr="004148E5">
        <w:rPr>
          <w:sz w:val="20"/>
          <w:szCs w:val="20"/>
        </w:rPr>
        <w:t xml:space="preserve">A comprehensive techno-economic analysis (TEA) of the ammonia syngas case would allow quantitative evaluation of the compounding benefits </w:t>
      </w:r>
      <w:r w:rsidR="00EF1289">
        <w:rPr>
          <w:sz w:val="20"/>
          <w:szCs w:val="20"/>
        </w:rPr>
        <w:t>–</w:t>
      </w:r>
      <w:r w:rsidRPr="004148E5">
        <w:rPr>
          <w:sz w:val="20"/>
          <w:szCs w:val="20"/>
        </w:rPr>
        <w:t xml:space="preserve"> improved CO₂ capture efficiency, reduced compression costs, and potential CAPEX savings </w:t>
      </w:r>
      <w:r w:rsidR="00EF1289">
        <w:rPr>
          <w:sz w:val="20"/>
          <w:szCs w:val="20"/>
        </w:rPr>
        <w:t>–</w:t>
      </w:r>
      <w:r w:rsidRPr="004148E5">
        <w:rPr>
          <w:sz w:val="20"/>
          <w:szCs w:val="20"/>
        </w:rPr>
        <w:t xml:space="preserve"> against the persistent electricity cost penalty. </w:t>
      </w:r>
      <w:r w:rsidR="00C80016" w:rsidRPr="00C80016">
        <w:rPr>
          <w:sz w:val="20"/>
          <w:szCs w:val="20"/>
        </w:rPr>
        <w:t xml:space="preserve">While TEA studies on eSMR for hydrogen production have reported a wide range of outcomes depending on electricity prices and carbon pricing assumptions </w:t>
      </w:r>
      <w:r w:rsidR="00C80016" w:rsidRPr="00C80016">
        <w:rPr>
          <w:color w:val="EE0000"/>
          <w:sz w:val="20"/>
          <w:szCs w:val="20"/>
        </w:rPr>
        <w:t>[e.g., Song et al., 2022; Wismann et al., 2022; Do et al., 2023]</w:t>
      </w:r>
      <w:r w:rsidR="00C80016" w:rsidRPr="00C80016">
        <w:rPr>
          <w:sz w:val="20"/>
          <w:szCs w:val="20"/>
        </w:rPr>
        <w:t>, dedicated assessments for electrified ammonia syngas production remain notably scarce.</w:t>
      </w:r>
    </w:p>
    <w:p w14:paraId="1BF52705" w14:textId="77777777" w:rsidR="004148E5" w:rsidRPr="004148E5" w:rsidRDefault="004148E5" w:rsidP="00DD7131">
      <w:pPr>
        <w:rPr>
          <w:sz w:val="20"/>
          <w:szCs w:val="20"/>
        </w:rPr>
      </w:pPr>
    </w:p>
    <w:p w14:paraId="7AF416A7" w14:textId="6ABBF320" w:rsidR="006D797F" w:rsidRDefault="006D797F">
      <w:pPr>
        <w:rPr>
          <w:color w:val="EE0000"/>
          <w:sz w:val="20"/>
          <w:szCs w:val="20"/>
        </w:rPr>
      </w:pPr>
      <w:r>
        <w:rPr>
          <w:color w:val="EE0000"/>
          <w:sz w:val="20"/>
          <w:szCs w:val="20"/>
        </w:rPr>
        <w:br w:type="page"/>
      </w:r>
    </w:p>
    <w:p w14:paraId="6FAA589C" w14:textId="77777777" w:rsidR="006D797F" w:rsidRDefault="006D797F" w:rsidP="006D797F">
      <w:pPr>
        <w:rPr>
          <w:b/>
          <w:bCs/>
          <w:sz w:val="20"/>
          <w:szCs w:val="20"/>
          <w:u w:val="single"/>
        </w:rPr>
      </w:pPr>
      <w:r>
        <w:rPr>
          <w:b/>
          <w:bCs/>
          <w:sz w:val="20"/>
          <w:szCs w:val="20"/>
          <w:u w:val="single"/>
        </w:rPr>
        <w:lastRenderedPageBreak/>
        <w:t>Methodology</w:t>
      </w:r>
    </w:p>
    <w:p w14:paraId="7516538D" w14:textId="77777777" w:rsidR="006D797F" w:rsidRPr="006948FE" w:rsidRDefault="006D797F" w:rsidP="006D797F">
      <w:pPr>
        <w:rPr>
          <w:sz w:val="20"/>
          <w:szCs w:val="20"/>
        </w:rPr>
      </w:pPr>
      <w:r w:rsidRPr="006948FE">
        <w:rPr>
          <w:sz w:val="20"/>
          <w:szCs w:val="20"/>
        </w:rPr>
        <w:t xml:space="preserve">The additional energy demand of conventional SMR relative to eSMR was decomposed into (i) feed preheating, and (ii) irrecoverable thermal losses in the firebox and radiant section </w:t>
      </w:r>
      <w:r>
        <w:rPr>
          <w:sz w:val="20"/>
          <w:szCs w:val="20"/>
        </w:rPr>
        <w:t>–</w:t>
      </w:r>
      <w:r w:rsidRPr="006948FE">
        <w:rPr>
          <w:sz w:val="20"/>
          <w:szCs w:val="20"/>
        </w:rPr>
        <w:t xml:space="preserve"> comprising flue gas losses (6</w:t>
      </w:r>
      <w:r>
        <w:rPr>
          <w:sz w:val="20"/>
          <w:szCs w:val="20"/>
        </w:rPr>
        <w:t>-</w:t>
      </w:r>
      <w:r w:rsidRPr="006948FE">
        <w:rPr>
          <w:sz w:val="20"/>
          <w:szCs w:val="20"/>
        </w:rPr>
        <w:t>10%) and insulation losses (1–5% of fired energy) [Ullmann's]. Under ideal heat integration, contribution (i) is fully recovered as steam export, rendering it economically equivalent to dedicated NG-fired steam generation at sites operating under a net steam deficit. The net differentiator therefore reduces to the irrecoverable thermal losses of conventional SMR.</w:t>
      </w:r>
    </w:p>
    <w:p w14:paraId="7490443A" w14:textId="77777777" w:rsidR="006D797F" w:rsidRPr="006948FE" w:rsidRDefault="006D797F" w:rsidP="006D797F">
      <w:pPr>
        <w:rPr>
          <w:sz w:val="20"/>
          <w:szCs w:val="20"/>
        </w:rPr>
      </w:pPr>
      <w:r w:rsidRPr="006948FE">
        <w:rPr>
          <w:sz w:val="20"/>
          <w:szCs w:val="20"/>
        </w:rPr>
        <w:t>The electricity-to-</w:t>
      </w:r>
      <w:r>
        <w:rPr>
          <w:sz w:val="20"/>
          <w:szCs w:val="20"/>
        </w:rPr>
        <w:t xml:space="preserve">NG </w:t>
      </w:r>
      <w:r w:rsidRPr="006948FE">
        <w:rPr>
          <w:sz w:val="20"/>
          <w:szCs w:val="20"/>
        </w:rPr>
        <w:t xml:space="preserve">price ratio was evaluated for Germany, the United States, and China using 2019 industrial energy prices as a pre-crisis baseline, accounting for the fact that the reaction enthalpy </w:t>
      </w:r>
      <w:r>
        <w:rPr>
          <w:sz w:val="20"/>
          <w:szCs w:val="20"/>
        </w:rPr>
        <w:t>–</w:t>
      </w:r>
      <w:r w:rsidRPr="006948FE">
        <w:rPr>
          <w:sz w:val="20"/>
          <w:szCs w:val="20"/>
        </w:rPr>
        <w:t xml:space="preserve"> near-identical in both processes </w:t>
      </w:r>
      <w:r>
        <w:rPr>
          <w:sz w:val="20"/>
          <w:szCs w:val="20"/>
        </w:rPr>
        <w:t>–</w:t>
      </w:r>
      <w:r w:rsidRPr="006948FE">
        <w:rPr>
          <w:sz w:val="20"/>
          <w:szCs w:val="20"/>
        </w:rPr>
        <w:t xml:space="preserve"> is supplied by different energy carriers: natural gas in conventional SMR and electricity in eSMR. The CO₂ certificate price required to close the residual economic gap was then derived analytically using </w:t>
      </w:r>
      <w:r>
        <w:rPr>
          <w:sz w:val="20"/>
          <w:szCs w:val="20"/>
        </w:rPr>
        <w:t>a</w:t>
      </w:r>
      <w:r w:rsidRPr="006948FE">
        <w:rPr>
          <w:sz w:val="20"/>
          <w:szCs w:val="20"/>
        </w:rPr>
        <w:t xml:space="preserve"> natural gas emission facto</w:t>
      </w:r>
      <w:r>
        <w:rPr>
          <w:sz w:val="20"/>
          <w:szCs w:val="20"/>
        </w:rPr>
        <w:t>r.</w:t>
      </w:r>
    </w:p>
    <w:p w14:paraId="5D965696" w14:textId="77777777" w:rsidR="006D797F" w:rsidRPr="006948FE" w:rsidRDefault="006D797F" w:rsidP="006D797F">
      <w:pPr>
        <w:rPr>
          <w:sz w:val="20"/>
          <w:szCs w:val="20"/>
        </w:rPr>
      </w:pPr>
      <w:r w:rsidRPr="006948FE">
        <w:rPr>
          <w:sz w:val="20"/>
          <w:szCs w:val="20"/>
        </w:rPr>
        <w:t>This threshold was compared against current EU ETS carbon price levels to assess whether CO₂ pricing materially alters the conclusions.</w:t>
      </w:r>
    </w:p>
    <w:p w14:paraId="6B849986" w14:textId="77777777" w:rsidR="006D797F" w:rsidRDefault="006D797F" w:rsidP="006D797F">
      <w:pPr>
        <w:rPr>
          <w:sz w:val="20"/>
          <w:szCs w:val="20"/>
        </w:rPr>
      </w:pPr>
    </w:p>
    <w:p w14:paraId="59028C22" w14:textId="77777777" w:rsidR="006D797F" w:rsidRDefault="006D797F" w:rsidP="006D797F">
      <w:pPr>
        <w:rPr>
          <w:sz w:val="20"/>
          <w:szCs w:val="20"/>
        </w:rPr>
      </w:pPr>
      <w:r w:rsidRPr="00F87519">
        <w:rPr>
          <w:sz w:val="20"/>
          <w:szCs w:val="20"/>
        </w:rPr>
        <w:t>The additional energy demand of post-combustion CO₂ capture relative to pre-combustion capture was derived from the techno-economic simulation results reported by IEAGHG (2017) for an SMR-based merchant hydrogen plant. Two energy components were quantified separately: the thermal energy required for solvent regeneration in the stripper reboiler, and the electrical energy consumed by the capture and compression units, including auxiliary loads. The reboiler duty was calculated directly from the reported LP steam consumption of the CO₂ capture plant (64.4 t/h for pre-combustion MDEA, 96.4 t/h for post-combustion MEA) multiplied by the specific enthalpy difference between LP steam (0.44 MPa, 177 °C; h ≈ 2810 kJ/kg) and saturated condensate return (0.44 MPa, 147 °C; h ≈ 620 kJ/kg) from NIST steam tables</w:t>
      </w:r>
      <w:r>
        <w:rPr>
          <w:sz w:val="20"/>
          <w:szCs w:val="20"/>
        </w:rPr>
        <w:t xml:space="preserve">. </w:t>
      </w:r>
      <w:r w:rsidRPr="00F87519">
        <w:rPr>
          <w:sz w:val="20"/>
          <w:szCs w:val="20"/>
        </w:rPr>
        <w:t>The electrical penalty was determined as the sum of differential power consumption of the hydrogen plant, COGEN auxiliaries/BoP, CO₂ capture plant, and CO₂ compression and drying unit, taken directly from the simulation results. Both energy components were normalized to the natural gas feedstock energy input (LHV basis) to enable transferability to other applications. To express both energy forms on a common primary-energy basis, the reboiler heat was divided by a boiler efficiency to account for the additional fuel required in a standalone installation, while the electrical demand was converted to primary energy using a factor of 2.5, corresponding to an average grid generation efficiency of approximately 40%. The incremental energy penalty of post-combustion over pre-combustion capture is reported as the sum of both contributions, expressed as a fraction of the natural gas feedstock energy</w:t>
      </w:r>
      <w:r w:rsidRPr="009E5CA7">
        <w:rPr>
          <w:sz w:val="20"/>
          <w:szCs w:val="20"/>
        </w:rPr>
        <w:t xml:space="preserve"> input on an LHV basis to allow comparison across applications</w:t>
      </w:r>
      <w:r>
        <w:rPr>
          <w:sz w:val="20"/>
          <w:szCs w:val="20"/>
        </w:rPr>
        <w:t>.</w:t>
      </w:r>
    </w:p>
    <w:p w14:paraId="51C6E81D" w14:textId="77777777" w:rsidR="006D797F" w:rsidRDefault="006D797F" w:rsidP="006D797F">
      <w:pPr>
        <w:rPr>
          <w:sz w:val="20"/>
          <w:szCs w:val="20"/>
        </w:rPr>
      </w:pPr>
    </w:p>
    <w:p w14:paraId="56C392BA" w14:textId="77777777" w:rsidR="006D797F" w:rsidRDefault="006D797F" w:rsidP="006D797F">
      <w:pPr>
        <w:rPr>
          <w:sz w:val="20"/>
          <w:szCs w:val="20"/>
        </w:rPr>
      </w:pPr>
      <w:r w:rsidRPr="009E5CA7">
        <w:rPr>
          <w:sz w:val="20"/>
          <w:szCs w:val="20"/>
        </w:rPr>
        <w:t>The energetic effect of high-pressure operation was assessed by comparing the pressure work associated with conventional pressure reduction of the natural</w:t>
      </w:r>
      <w:r>
        <w:rPr>
          <w:sz w:val="20"/>
          <w:szCs w:val="20"/>
        </w:rPr>
        <w:t xml:space="preserve"> </w:t>
      </w:r>
      <w:r w:rsidRPr="009E5CA7">
        <w:rPr>
          <w:sz w:val="20"/>
          <w:szCs w:val="20"/>
        </w:rPr>
        <w:t>gas feed and subsequent recompression of the hydrogen product. Both steps were treated as ideal-gas, isentropic processes corrected by representative isentropic machine efficiencies. The isentropic exponents were calculated from temperature-dependent heat capacities, using </w:t>
      </w:r>
      <m:oMath>
        <m:sSub>
          <m:sSubPr>
            <m:ctrlPr>
              <w:rPr>
                <w:rFonts w:ascii="Cambria Math" w:hAnsi="Cambria Math"/>
                <w:sz w:val="20"/>
                <w:szCs w:val="20"/>
              </w:rPr>
            </m:ctrlPr>
          </m:sSubPr>
          <m:e>
            <m:r>
              <w:rPr>
                <w:rFonts w:ascii="Cambria Math" w:hAnsi="Cambria Math"/>
                <w:sz w:val="20"/>
                <w:szCs w:val="20"/>
              </w:rPr>
              <m:t>c</m:t>
            </m:r>
          </m:e>
          <m:sub>
            <m:r>
              <w:rPr>
                <w:rFonts w:ascii="Cambria Math" w:hAnsi="Cambria Math"/>
                <w:sz w:val="20"/>
                <w:szCs w:val="20"/>
              </w:rPr>
              <m:t>p</m:t>
            </m:r>
          </m:sub>
        </m:sSub>
      </m:oMath>
      <w:r w:rsidRPr="009E5CA7">
        <w:rPr>
          <w:sz w:val="20"/>
          <w:szCs w:val="20"/>
        </w:rPr>
        <w:t> values for methane and hydrogen at the selected reference temperature. The recoverable expansion work of the natural</w:t>
      </w:r>
      <w:r>
        <w:rPr>
          <w:sz w:val="20"/>
          <w:szCs w:val="20"/>
        </w:rPr>
        <w:t xml:space="preserve"> </w:t>
      </w:r>
      <w:r w:rsidRPr="009E5CA7">
        <w:rPr>
          <w:sz w:val="20"/>
          <w:szCs w:val="20"/>
        </w:rPr>
        <w:t xml:space="preserve">gas stream and the required hydrogen compression work were calculated from the molar-flow-based isentropic work expressions, with real-machine </w:t>
      </w:r>
      <w:r>
        <w:rPr>
          <w:sz w:val="20"/>
          <w:szCs w:val="20"/>
        </w:rPr>
        <w:t xml:space="preserve">efficiencies. </w:t>
      </w:r>
      <w:r w:rsidRPr="009E5CA7">
        <w:rPr>
          <w:sz w:val="20"/>
          <w:szCs w:val="20"/>
        </w:rPr>
        <w:t>A simplified value of </w:t>
      </w:r>
      <m:oMath>
        <m:sSub>
          <m:sSubPr>
            <m:ctrlPr>
              <w:rPr>
                <w:rFonts w:ascii="Cambria Math" w:hAnsi="Cambria Math"/>
                <w:sz w:val="20"/>
                <w:szCs w:val="20"/>
              </w:rPr>
            </m:ctrlPr>
          </m:sSubPr>
          <m:e>
            <m:r>
              <w:rPr>
                <w:rFonts w:ascii="Cambria Math" w:hAnsi="Cambria Math"/>
                <w:sz w:val="20"/>
                <w:szCs w:val="20"/>
              </w:rPr>
              <m:t>η</m:t>
            </m:r>
          </m:e>
          <m:sub>
            <m:r>
              <w:rPr>
                <w:rFonts w:ascii="Cambria Math" w:hAnsi="Cambria Math"/>
                <w:sz w:val="20"/>
                <w:szCs w:val="20"/>
              </w:rPr>
              <m:t>E</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η</m:t>
            </m:r>
          </m:e>
          <m:sub>
            <m:r>
              <w:rPr>
                <w:rFonts w:ascii="Cambria Math" w:hAnsi="Cambria Math"/>
                <w:sz w:val="20"/>
                <w:szCs w:val="20"/>
              </w:rPr>
              <m:t>C</m:t>
            </m:r>
          </m:sub>
        </m:sSub>
        <m:r>
          <m:rPr>
            <m:sty m:val="p"/>
          </m:rPr>
          <w:rPr>
            <w:rFonts w:ascii="Cambria Math" w:hAnsi="Cambria Math"/>
            <w:sz w:val="20"/>
            <w:szCs w:val="20"/>
          </w:rPr>
          <m:t>=0.85</m:t>
        </m:r>
      </m:oMath>
      <w:r w:rsidRPr="009E5CA7">
        <w:rPr>
          <w:sz w:val="20"/>
          <w:szCs w:val="20"/>
        </w:rPr>
        <w:t> was assumed for both expansion and compression. The resulting net pressure-work balance was defined as </w:t>
      </w:r>
      <m:oMath>
        <m:r>
          <m:rPr>
            <m:sty m:val="p"/>
          </m:rP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W</m:t>
            </m:r>
          </m:e>
          <m:sub>
            <m:r>
              <w:rPr>
                <w:rFonts w:ascii="Cambria Math" w:hAnsi="Cambria Math"/>
                <w:sz w:val="20"/>
                <w:szCs w:val="20"/>
              </w:rPr>
              <m:t>E</m:t>
            </m:r>
            <m:r>
              <m:rPr>
                <m:sty m:val="p"/>
              </m:rPr>
              <w:rPr>
                <w:rFonts w:ascii="Cambria Math" w:hAnsi="Cambria Math"/>
                <w:sz w:val="20"/>
                <w:szCs w:val="20"/>
              </w:rPr>
              <m:t>-</m:t>
            </m:r>
            <m:r>
              <w:rPr>
                <w:rFonts w:ascii="Cambria Math" w:hAnsi="Cambria Math"/>
                <w:sz w:val="20"/>
                <w:szCs w:val="20"/>
              </w:rPr>
              <m:t>C</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W</m:t>
            </m:r>
          </m:e>
          <m:sub>
            <m:r>
              <w:rPr>
                <w:rFonts w:ascii="Cambria Math" w:hAnsi="Cambria Math"/>
                <w:sz w:val="20"/>
                <w:szCs w:val="20"/>
              </w:rPr>
              <m:t>E</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W</m:t>
            </m:r>
          </m:e>
          <m:sub>
            <m:r>
              <w:rPr>
                <w:rFonts w:ascii="Cambria Math" w:hAnsi="Cambria Math"/>
                <w:sz w:val="20"/>
                <w:szCs w:val="20"/>
              </w:rPr>
              <m:t>C</m:t>
            </m:r>
          </m:sub>
        </m:sSub>
      </m:oMath>
      <w:r w:rsidRPr="009E5CA7">
        <w:rPr>
          <w:sz w:val="20"/>
          <w:szCs w:val="20"/>
        </w:rPr>
        <w:t>, where negative values indicate that the avoided downstream hydrogen recompression demand exceeds the recoverable expansion work from natural</w:t>
      </w:r>
      <w:r>
        <w:rPr>
          <w:sz w:val="20"/>
          <w:szCs w:val="20"/>
        </w:rPr>
        <w:t xml:space="preserve"> </w:t>
      </w:r>
      <w:r w:rsidRPr="009E5CA7">
        <w:rPr>
          <w:sz w:val="20"/>
          <w:szCs w:val="20"/>
        </w:rPr>
        <w:t xml:space="preserve">gas pressure reduction. All energy terms were finally </w:t>
      </w:r>
      <w:r>
        <w:rPr>
          <w:sz w:val="20"/>
          <w:szCs w:val="20"/>
        </w:rPr>
        <w:t xml:space="preserve">converted to primary energy and </w:t>
      </w:r>
      <w:r w:rsidRPr="009E5CA7">
        <w:rPr>
          <w:sz w:val="20"/>
          <w:szCs w:val="20"/>
        </w:rPr>
        <w:t>normalized to the natural</w:t>
      </w:r>
      <w:r>
        <w:rPr>
          <w:sz w:val="20"/>
          <w:szCs w:val="20"/>
        </w:rPr>
        <w:t xml:space="preserve"> </w:t>
      </w:r>
      <w:r w:rsidRPr="009E5CA7">
        <w:rPr>
          <w:sz w:val="20"/>
          <w:szCs w:val="20"/>
        </w:rPr>
        <w:t>gas feedstock energy</w:t>
      </w:r>
      <w:r>
        <w:rPr>
          <w:sz w:val="20"/>
          <w:szCs w:val="20"/>
        </w:rPr>
        <w:t xml:space="preserve"> analog to above</w:t>
      </w:r>
      <w:r w:rsidRPr="009E5CA7">
        <w:rPr>
          <w:sz w:val="20"/>
          <w:szCs w:val="20"/>
        </w:rPr>
        <w:t>.</w:t>
      </w:r>
    </w:p>
    <w:p w14:paraId="27E0BC85" w14:textId="77777777" w:rsidR="006D797F" w:rsidRDefault="006D797F" w:rsidP="006D797F">
      <w:pPr>
        <w:rPr>
          <w:sz w:val="20"/>
          <w:szCs w:val="20"/>
        </w:rPr>
      </w:pPr>
    </w:p>
    <w:p w14:paraId="73ACF0B6" w14:textId="77777777" w:rsidR="006D797F" w:rsidRPr="009E5CA7" w:rsidRDefault="006D797F" w:rsidP="006D797F">
      <w:pPr>
        <w:rPr>
          <w:sz w:val="20"/>
          <w:szCs w:val="20"/>
        </w:rPr>
      </w:pPr>
      <w:r w:rsidRPr="00F14B5E">
        <w:rPr>
          <w:sz w:val="20"/>
          <w:szCs w:val="20"/>
        </w:rPr>
        <w:t xml:space="preserve">To assess the decarbonization potential of the eSMR concept independently of regional energy price distortions, the abatement effectiveness </w:t>
      </w:r>
      <w:r>
        <w:rPr>
          <w:sz w:val="20"/>
          <w:szCs w:val="20"/>
        </w:rPr>
        <w:t>–</w:t>
      </w:r>
      <w:r w:rsidRPr="00F14B5E">
        <w:rPr>
          <w:sz w:val="20"/>
          <w:szCs w:val="20"/>
        </w:rPr>
        <w:t xml:space="preserve"> defined as t CO₂ avoided per MWh of renewable electricity input </w:t>
      </w:r>
      <w:r>
        <w:rPr>
          <w:sz w:val="20"/>
          <w:szCs w:val="20"/>
        </w:rPr>
        <w:t>–</w:t>
      </w:r>
      <w:r w:rsidRPr="00F14B5E">
        <w:rPr>
          <w:sz w:val="20"/>
          <w:szCs w:val="20"/>
        </w:rPr>
        <w:t xml:space="preserve"> was evaluated under theoretical upper-bound conditions. The metric was derived from the ratio of avoided NG-fired heating emissions to the electrical energy required to drive the reforming reaction</w:t>
      </w:r>
      <w:r>
        <w:rPr>
          <w:sz w:val="20"/>
          <w:szCs w:val="20"/>
        </w:rPr>
        <w:t xml:space="preserve">. </w:t>
      </w:r>
      <w:r w:rsidRPr="00F14B5E">
        <w:rPr>
          <w:sz w:val="20"/>
          <w:szCs w:val="20"/>
        </w:rPr>
        <w:t xml:space="preserve">Since the eSMR concept eliminates the steam co-product through internal heat integration, the equivalent steam demand at integrated chemical sites </w:t>
      </w:r>
      <w:r>
        <w:rPr>
          <w:sz w:val="20"/>
          <w:szCs w:val="20"/>
        </w:rPr>
        <w:t>can</w:t>
      </w:r>
      <w:r w:rsidRPr="00F14B5E">
        <w:rPr>
          <w:sz w:val="20"/>
          <w:szCs w:val="20"/>
        </w:rPr>
        <w:t xml:space="preserve"> alternatively be supplied via electrified heat generation, contributing an additional abatement effectiveness</w:t>
      </w:r>
      <w:r>
        <w:rPr>
          <w:sz w:val="20"/>
          <w:szCs w:val="20"/>
        </w:rPr>
        <w:t>.</w:t>
      </w:r>
    </w:p>
    <w:p w14:paraId="476B04F7" w14:textId="4C9B7160" w:rsidR="004148E5" w:rsidRDefault="006D797F" w:rsidP="006D797F">
      <w:pPr>
        <w:rPr>
          <w:color w:val="EE0000"/>
          <w:sz w:val="20"/>
          <w:szCs w:val="20"/>
        </w:rPr>
      </w:pPr>
      <w:r>
        <w:rPr>
          <w:sz w:val="20"/>
          <w:szCs w:val="20"/>
        </w:rPr>
        <w:br w:type="page"/>
      </w:r>
    </w:p>
    <w:p w14:paraId="2E7A8858" w14:textId="0BEC579D" w:rsidR="00B5363C" w:rsidRPr="006D797F" w:rsidRDefault="00EA0F76" w:rsidP="00DD7131">
      <w:pPr>
        <w:rPr>
          <w:sz w:val="20"/>
          <w:szCs w:val="20"/>
          <w:u w:val="single"/>
        </w:rPr>
      </w:pPr>
      <w:r w:rsidRPr="006D797F">
        <w:rPr>
          <w:sz w:val="20"/>
          <w:szCs w:val="20"/>
          <w:u w:val="single"/>
        </w:rPr>
        <w:lastRenderedPageBreak/>
        <w:t>Sources:</w:t>
      </w:r>
    </w:p>
    <w:p w14:paraId="064EEC85" w14:textId="01DAE491" w:rsidR="00374DAB" w:rsidRDefault="004A3FD9" w:rsidP="00374DAB">
      <w:pPr>
        <w:rPr>
          <w:sz w:val="20"/>
          <w:szCs w:val="20"/>
        </w:rPr>
      </w:pPr>
      <w:r>
        <w:rPr>
          <w:sz w:val="20"/>
          <w:szCs w:val="20"/>
        </w:rPr>
        <w:t xml:space="preserve">[1] </w:t>
      </w:r>
      <w:hyperlink r:id="rId8" w:history="1">
        <w:r w:rsidRPr="00F301BA">
          <w:rPr>
            <w:rStyle w:val="Hyperlink"/>
            <w:sz w:val="20"/>
            <w:szCs w:val="20"/>
          </w:rPr>
          <w:t>https://iea.blob.core.windows.net/assets/9e3a3493-b9a6-4b7d-b499-7ca48e357561/The_Future_of_Hydrogen.pdf</w:t>
        </w:r>
      </w:hyperlink>
    </w:p>
    <w:p w14:paraId="189A9A21" w14:textId="56781DBD" w:rsidR="004A3FD9" w:rsidRDefault="004A3FD9" w:rsidP="00374DAB">
      <w:pPr>
        <w:rPr>
          <w:sz w:val="20"/>
          <w:szCs w:val="20"/>
        </w:rPr>
      </w:pPr>
      <w:r>
        <w:rPr>
          <w:sz w:val="20"/>
          <w:szCs w:val="20"/>
        </w:rPr>
        <w:t xml:space="preserve">[2] </w:t>
      </w:r>
      <w:hyperlink r:id="rId9" w:history="1">
        <w:r w:rsidRPr="00F301BA">
          <w:rPr>
            <w:rStyle w:val="Hyperlink"/>
            <w:sz w:val="20"/>
            <w:szCs w:val="20"/>
          </w:rPr>
          <w:t>https://www.sintef.no/globalassets/project/elegancy/deliverables/elegancy_d5.2.2_rotterdam_h2-production_integration.pdf</w:t>
        </w:r>
      </w:hyperlink>
    </w:p>
    <w:p w14:paraId="21A0C6C5" w14:textId="2DCD66F2" w:rsidR="00ED5564" w:rsidRDefault="00ED5564" w:rsidP="00374DAB">
      <w:pPr>
        <w:rPr>
          <w:sz w:val="20"/>
          <w:szCs w:val="20"/>
        </w:rPr>
      </w:pPr>
      <w:r>
        <w:rPr>
          <w:sz w:val="20"/>
          <w:szCs w:val="20"/>
        </w:rPr>
        <w:t>[3</w:t>
      </w:r>
      <w:r w:rsidR="00B5363C">
        <w:rPr>
          <w:sz w:val="20"/>
          <w:szCs w:val="20"/>
        </w:rPr>
        <w:t>]</w:t>
      </w:r>
      <w:r>
        <w:rPr>
          <w:sz w:val="20"/>
          <w:szCs w:val="20"/>
        </w:rPr>
        <w:t xml:space="preserve"> </w:t>
      </w:r>
      <w:hyperlink r:id="rId10" w:history="1">
        <w:r w:rsidRPr="00F301BA">
          <w:rPr>
            <w:rStyle w:val="Hyperlink"/>
            <w:sz w:val="20"/>
            <w:szCs w:val="20"/>
          </w:rPr>
          <w:t>https://onlinelibrary.wiley.com/doi/epdf/10.1002/cite.202100164</w:t>
        </w:r>
      </w:hyperlink>
    </w:p>
    <w:p w14:paraId="3171895C" w14:textId="36BCAB41" w:rsidR="004A3FD9" w:rsidRDefault="00857E2A" w:rsidP="00374DAB">
      <w:pPr>
        <w:rPr>
          <w:sz w:val="20"/>
          <w:szCs w:val="20"/>
        </w:rPr>
      </w:pPr>
      <w:r>
        <w:rPr>
          <w:sz w:val="20"/>
          <w:szCs w:val="20"/>
        </w:rPr>
        <w:t>[4</w:t>
      </w:r>
      <w:r w:rsidR="00ED5564">
        <w:rPr>
          <w:sz w:val="20"/>
          <w:szCs w:val="20"/>
        </w:rPr>
        <w:t>]</w:t>
      </w:r>
      <w:r>
        <w:rPr>
          <w:sz w:val="20"/>
          <w:szCs w:val="20"/>
        </w:rPr>
        <w:t xml:space="preserve"> </w:t>
      </w:r>
      <w:hyperlink r:id="rId11" w:history="1">
        <w:r w:rsidRPr="00F301BA">
          <w:rPr>
            <w:rStyle w:val="Hyperlink"/>
            <w:sz w:val="20"/>
            <w:szCs w:val="20"/>
          </w:rPr>
          <w:t>https://ieefa.org/resources/europes-electricity-prices-are-still-tied-gas-making-geopolitics-structural-vulnerability</w:t>
        </w:r>
      </w:hyperlink>
    </w:p>
    <w:p w14:paraId="4E09EFCE" w14:textId="77CB3E3E" w:rsidR="00857E2A" w:rsidRDefault="00B16DBC" w:rsidP="00374DAB">
      <w:pPr>
        <w:rPr>
          <w:sz w:val="20"/>
          <w:szCs w:val="20"/>
        </w:rPr>
      </w:pPr>
      <w:r>
        <w:rPr>
          <w:sz w:val="20"/>
          <w:szCs w:val="20"/>
        </w:rPr>
        <w:t xml:space="preserve">[5] </w:t>
      </w:r>
      <w:hyperlink r:id="rId12" w:history="1">
        <w:r w:rsidRPr="00F301BA">
          <w:rPr>
            <w:rStyle w:val="Hyperlink"/>
            <w:sz w:val="20"/>
            <w:szCs w:val="20"/>
          </w:rPr>
          <w:t>https://www.iea.org/data-and-statistics/charts/estimated-final-electricity-price-for-large-industrial-customers-in-energy-intensive-industries-2019-2024</w:t>
        </w:r>
      </w:hyperlink>
    </w:p>
    <w:p w14:paraId="0EF27265" w14:textId="10473390" w:rsidR="00B16DBC" w:rsidRDefault="00B16DBC" w:rsidP="00374DAB">
      <w:pPr>
        <w:rPr>
          <w:sz w:val="20"/>
          <w:szCs w:val="20"/>
        </w:rPr>
      </w:pPr>
      <w:r>
        <w:rPr>
          <w:sz w:val="20"/>
          <w:szCs w:val="20"/>
        </w:rPr>
        <w:t xml:space="preserve">[6] </w:t>
      </w:r>
      <w:hyperlink r:id="rId13" w:history="1">
        <w:r w:rsidRPr="00F301BA">
          <w:rPr>
            <w:rStyle w:val="Hyperlink"/>
            <w:sz w:val="20"/>
            <w:szCs w:val="20"/>
          </w:rPr>
          <w:t>https://www.iea.org/data-and-statistics/charts/industry-end-user-prices-for-natural-gas-in-selected-countries-2019-march-2023</w:t>
        </w:r>
      </w:hyperlink>
    </w:p>
    <w:p w14:paraId="40014716" w14:textId="366ADD41" w:rsidR="00B16DBC" w:rsidRDefault="00807E3A" w:rsidP="00374DAB">
      <w:pPr>
        <w:rPr>
          <w:sz w:val="20"/>
          <w:szCs w:val="20"/>
        </w:rPr>
      </w:pPr>
      <w:r>
        <w:rPr>
          <w:sz w:val="20"/>
          <w:szCs w:val="20"/>
        </w:rPr>
        <w:t xml:space="preserve">[7] </w:t>
      </w:r>
      <w:hyperlink r:id="rId14" w:history="1">
        <w:r w:rsidRPr="00F301BA">
          <w:rPr>
            <w:rStyle w:val="Hyperlink"/>
            <w:sz w:val="20"/>
            <w:szCs w:val="20"/>
          </w:rPr>
          <w:t>https://www.iea.org/countries/china/energy-mix</w:t>
        </w:r>
      </w:hyperlink>
    </w:p>
    <w:p w14:paraId="1E066FAF" w14:textId="618A680D" w:rsidR="00EA0F76" w:rsidRDefault="00810481" w:rsidP="00374DAB">
      <w:pPr>
        <w:rPr>
          <w:sz w:val="20"/>
          <w:szCs w:val="20"/>
        </w:rPr>
      </w:pPr>
      <w:r>
        <w:rPr>
          <w:sz w:val="20"/>
          <w:szCs w:val="20"/>
        </w:rPr>
        <w:t>[8]</w:t>
      </w:r>
      <w:r w:rsidR="00EA0F76" w:rsidRPr="00EA0F76">
        <w:t xml:space="preserve"> </w:t>
      </w:r>
      <w:hyperlink r:id="rId15" w:history="1">
        <w:r w:rsidR="00EA0F76" w:rsidRPr="00F301BA">
          <w:rPr>
            <w:rStyle w:val="Hyperlink"/>
            <w:sz w:val="20"/>
            <w:szCs w:val="20"/>
          </w:rPr>
          <w:t>https://ieefa.org/resources/understanding-competitive-landscape-chinas-lng-market</w:t>
        </w:r>
      </w:hyperlink>
    </w:p>
    <w:p w14:paraId="531157BD" w14:textId="4C2FD056" w:rsidR="00EA0F76" w:rsidRDefault="00EA0F76" w:rsidP="00374DAB">
      <w:pPr>
        <w:rPr>
          <w:sz w:val="20"/>
          <w:szCs w:val="20"/>
        </w:rPr>
      </w:pPr>
      <w:r>
        <w:rPr>
          <w:sz w:val="20"/>
          <w:szCs w:val="20"/>
        </w:rPr>
        <w:t xml:space="preserve">[9] </w:t>
      </w:r>
      <w:hyperlink r:id="rId16" w:history="1">
        <w:r w:rsidRPr="00F301BA">
          <w:rPr>
            <w:rStyle w:val="Hyperlink"/>
            <w:sz w:val="20"/>
            <w:szCs w:val="20"/>
          </w:rPr>
          <w:t>https://www.sciencedirect.com/science/article/pii/S0301421521002500</w:t>
        </w:r>
      </w:hyperlink>
    </w:p>
    <w:p w14:paraId="7BE99D42" w14:textId="39ECF8CB" w:rsidR="00807E3A" w:rsidRPr="00A222E2" w:rsidRDefault="00810481" w:rsidP="00374DAB">
      <w:pPr>
        <w:rPr>
          <w:sz w:val="20"/>
          <w:szCs w:val="20"/>
        </w:rPr>
      </w:pPr>
      <w:r w:rsidRPr="00A222E2">
        <w:rPr>
          <w:sz w:val="20"/>
          <w:szCs w:val="20"/>
        </w:rPr>
        <w:t>[</w:t>
      </w:r>
      <w:r w:rsidR="00EA0F76" w:rsidRPr="00A222E2">
        <w:rPr>
          <w:sz w:val="20"/>
          <w:szCs w:val="20"/>
        </w:rPr>
        <w:t>10</w:t>
      </w:r>
      <w:r w:rsidRPr="00A222E2">
        <w:rPr>
          <w:sz w:val="20"/>
          <w:szCs w:val="20"/>
        </w:rPr>
        <w:t xml:space="preserve">] </w:t>
      </w:r>
      <w:hyperlink r:id="rId17" w:history="1">
        <w:r w:rsidRPr="00A222E2">
          <w:rPr>
            <w:rStyle w:val="Hyperlink"/>
            <w:sz w:val="20"/>
            <w:szCs w:val="20"/>
          </w:rPr>
          <w:t>https://www.iea.org/reports/electricity-2025/emissions</w:t>
        </w:r>
      </w:hyperlink>
    </w:p>
    <w:p w14:paraId="113EB4F8" w14:textId="357C5B9F" w:rsidR="00A222E2" w:rsidRPr="00A222E2" w:rsidRDefault="00A222E2" w:rsidP="00374DAB">
      <w:pPr>
        <w:rPr>
          <w:sz w:val="20"/>
          <w:szCs w:val="20"/>
        </w:rPr>
      </w:pPr>
      <w:r w:rsidRPr="00A222E2">
        <w:rPr>
          <w:sz w:val="20"/>
          <w:szCs w:val="20"/>
        </w:rPr>
        <w:t xml:space="preserve">[11] </w:t>
      </w:r>
      <w:hyperlink r:id="rId18" w:history="1">
        <w:r w:rsidRPr="00A222E2">
          <w:rPr>
            <w:rStyle w:val="Hyperlink"/>
            <w:sz w:val="20"/>
            <w:szCs w:val="20"/>
          </w:rPr>
          <w:t>https://ieaghg.org/publications/techno-economic-evaluation-of-smr-based-standalone-merchant-hydrogen-plant-with-ccs/</w:t>
        </w:r>
      </w:hyperlink>
    </w:p>
    <w:p w14:paraId="5AB2EA52" w14:textId="17195678" w:rsidR="00A222E2" w:rsidRDefault="005D5E58" w:rsidP="00374DAB">
      <w:pPr>
        <w:rPr>
          <w:color w:val="00B0F0"/>
          <w:sz w:val="20"/>
          <w:szCs w:val="20"/>
        </w:rPr>
      </w:pPr>
      <w:r w:rsidRPr="005D5E58">
        <w:rPr>
          <w:sz w:val="20"/>
          <w:szCs w:val="20"/>
        </w:rPr>
        <w:t xml:space="preserve">[12] </w:t>
      </w:r>
      <w:hyperlink r:id="rId19" w:history="1">
        <w:r w:rsidRPr="00797635">
          <w:rPr>
            <w:rStyle w:val="Hyperlink"/>
            <w:sz w:val="20"/>
            <w:szCs w:val="20"/>
          </w:rPr>
          <w:t>https://doi.org/10.1177/02670836241262199</w:t>
        </w:r>
      </w:hyperlink>
    </w:p>
    <w:p w14:paraId="7CC58AF2" w14:textId="77777777" w:rsidR="005D5E58" w:rsidRDefault="005D5E58" w:rsidP="00374DAB">
      <w:pPr>
        <w:rPr>
          <w:sz w:val="20"/>
          <w:szCs w:val="20"/>
        </w:rPr>
      </w:pPr>
    </w:p>
    <w:p w14:paraId="60F7303E" w14:textId="77777777" w:rsidR="0058623B" w:rsidRDefault="0058623B" w:rsidP="00374DAB">
      <w:pPr>
        <w:rPr>
          <w:sz w:val="20"/>
          <w:szCs w:val="20"/>
        </w:rPr>
      </w:pPr>
    </w:p>
    <w:p w14:paraId="6922BDDB" w14:textId="07FEE464" w:rsidR="00F87519" w:rsidRPr="006D797F" w:rsidRDefault="0029376A" w:rsidP="00374DAB">
      <w:pPr>
        <w:rPr>
          <w:sz w:val="20"/>
          <w:szCs w:val="20"/>
          <w:u w:val="single"/>
        </w:rPr>
      </w:pPr>
      <w:r w:rsidRPr="006D797F">
        <w:rPr>
          <w:sz w:val="20"/>
          <w:szCs w:val="20"/>
          <w:u w:val="single"/>
        </w:rPr>
        <w:t>Appendix</w:t>
      </w:r>
      <w:r w:rsidR="0058623B" w:rsidRPr="006D797F">
        <w:rPr>
          <w:sz w:val="20"/>
          <w:szCs w:val="20"/>
          <w:u w:val="single"/>
        </w:rPr>
        <w:t>:</w:t>
      </w:r>
    </w:p>
    <w:p w14:paraId="7A263938" w14:textId="2BE22708" w:rsidR="00F87519" w:rsidRDefault="00F87519" w:rsidP="00374DAB">
      <w:pPr>
        <w:rPr>
          <w:sz w:val="20"/>
          <w:szCs w:val="20"/>
        </w:rPr>
      </w:pPr>
      <w:r w:rsidRPr="00F87519">
        <w:rPr>
          <w:sz w:val="20"/>
          <w:szCs w:val="20"/>
        </w:rPr>
        <w:drawing>
          <wp:inline distT="0" distB="0" distL="0" distR="0" wp14:anchorId="1E002594" wp14:editId="1A74E3F4">
            <wp:extent cx="5731510" cy="2089785"/>
            <wp:effectExtent l="0" t="0" r="0" b="5715"/>
            <wp:docPr id="60234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40838" name=""/>
                    <pic:cNvPicPr/>
                  </pic:nvPicPr>
                  <pic:blipFill>
                    <a:blip r:embed="rId20"/>
                    <a:stretch>
                      <a:fillRect/>
                    </a:stretch>
                  </pic:blipFill>
                  <pic:spPr>
                    <a:xfrm>
                      <a:off x="0" y="0"/>
                      <a:ext cx="5731510" cy="2089785"/>
                    </a:xfrm>
                    <a:prstGeom prst="rect">
                      <a:avLst/>
                    </a:prstGeom>
                  </pic:spPr>
                </pic:pic>
              </a:graphicData>
            </a:graphic>
          </wp:inline>
        </w:drawing>
      </w:r>
    </w:p>
    <w:p w14:paraId="65B0701D" w14:textId="450FF3FA" w:rsidR="00800A7E" w:rsidRDefault="00800A7E">
      <w:pPr>
        <w:rPr>
          <w:sz w:val="20"/>
          <w:szCs w:val="20"/>
        </w:rPr>
      </w:pPr>
      <w:r>
        <w:rPr>
          <w:sz w:val="20"/>
          <w:szCs w:val="20"/>
        </w:rPr>
        <w:br w:type="page"/>
      </w:r>
    </w:p>
    <w:p w14:paraId="100FA261" w14:textId="1EFE5F7D" w:rsidR="00810481" w:rsidRDefault="00800A7E" w:rsidP="00374DAB">
      <w:pPr>
        <w:rPr>
          <w:sz w:val="20"/>
          <w:szCs w:val="20"/>
        </w:rPr>
      </w:pPr>
      <w:r>
        <w:rPr>
          <w:sz w:val="20"/>
          <w:szCs w:val="20"/>
        </w:rPr>
        <w:lastRenderedPageBreak/>
        <w:t>First draft:</w:t>
      </w:r>
    </w:p>
    <w:p w14:paraId="7F1C8B90" w14:textId="77777777" w:rsidR="00800A7E" w:rsidRPr="00DD7131" w:rsidRDefault="00800A7E" w:rsidP="00800A7E">
      <w:pPr>
        <w:rPr>
          <w:sz w:val="20"/>
          <w:szCs w:val="20"/>
        </w:rPr>
      </w:pPr>
      <w:r w:rsidRPr="00DD7131">
        <w:rPr>
          <w:sz w:val="20"/>
          <w:szCs w:val="20"/>
        </w:rPr>
        <w:t>CAPEX vs OPEX</w:t>
      </w:r>
    </w:p>
    <w:p w14:paraId="052304FC" w14:textId="77777777" w:rsidR="00800A7E" w:rsidRPr="00DD7131" w:rsidRDefault="00800A7E" w:rsidP="00800A7E">
      <w:pPr>
        <w:rPr>
          <w:sz w:val="20"/>
          <w:szCs w:val="20"/>
        </w:rPr>
      </w:pPr>
    </w:p>
    <w:p w14:paraId="2B82D9CA" w14:textId="77777777" w:rsidR="00800A7E" w:rsidRPr="00DD7131" w:rsidRDefault="00800A7E" w:rsidP="00800A7E">
      <w:pPr>
        <w:rPr>
          <w:sz w:val="20"/>
          <w:szCs w:val="20"/>
        </w:rPr>
      </w:pPr>
    </w:p>
    <w:p w14:paraId="55E9F498" w14:textId="77777777" w:rsidR="00800A7E" w:rsidRPr="00DD7131" w:rsidRDefault="00800A7E" w:rsidP="00800A7E">
      <w:pPr>
        <w:rPr>
          <w:sz w:val="20"/>
          <w:szCs w:val="20"/>
        </w:rPr>
      </w:pPr>
      <w:r w:rsidRPr="00DD7131">
        <w:rPr>
          <w:sz w:val="20"/>
          <w:szCs w:val="20"/>
        </w:rPr>
        <w:t>eSMR vs SMR</w:t>
      </w:r>
    </w:p>
    <w:p w14:paraId="0B595FBC" w14:textId="77777777" w:rsidR="00800A7E" w:rsidRPr="00DD7131" w:rsidRDefault="00800A7E" w:rsidP="00800A7E">
      <w:pPr>
        <w:rPr>
          <w:sz w:val="20"/>
          <w:szCs w:val="20"/>
        </w:rPr>
      </w:pPr>
      <w:r w:rsidRPr="00DD7131">
        <w:rPr>
          <w:sz w:val="20"/>
          <w:szCs w:val="20"/>
        </w:rPr>
        <w:t>Comparison of the SMR process as an electrified process with the conventinal process on a block flow diagramm level, leads to the result, that energy delivered by natural gas is replaced by electrical energy, but energy consumption itself is not reduced significantly. This brings us straigthforwardly to the conclusion, that due to energy prices being on a way higher level than NG prices, this process can’t be implemented economically more viable than the incumbent proess.</w:t>
      </w:r>
    </w:p>
    <w:p w14:paraId="7EBA7414" w14:textId="77777777" w:rsidR="00800A7E" w:rsidRPr="00DD7131" w:rsidRDefault="00800A7E" w:rsidP="00800A7E">
      <w:pPr>
        <w:rPr>
          <w:sz w:val="20"/>
          <w:szCs w:val="20"/>
        </w:rPr>
      </w:pPr>
    </w:p>
    <w:p w14:paraId="520419BA" w14:textId="77777777" w:rsidR="00800A7E" w:rsidRPr="00DD7131" w:rsidRDefault="00800A7E" w:rsidP="00800A7E">
      <w:pPr>
        <w:rPr>
          <w:sz w:val="20"/>
          <w:szCs w:val="20"/>
        </w:rPr>
      </w:pPr>
      <w:r w:rsidRPr="00DD7131">
        <w:rPr>
          <w:sz w:val="20"/>
          <w:szCs w:val="20"/>
        </w:rPr>
        <w:t xml:space="preserve">To explain that in further depth, let’s have a look into the process concepts step by step, starting with the PSA and its off gas integration, before go through the process downstreamly. </w:t>
      </w:r>
    </w:p>
    <w:p w14:paraId="025BD528" w14:textId="77777777" w:rsidR="00800A7E" w:rsidRPr="00DD7131" w:rsidRDefault="00800A7E" w:rsidP="00800A7E">
      <w:pPr>
        <w:pStyle w:val="ListParagraph"/>
        <w:numPr>
          <w:ilvl w:val="0"/>
          <w:numId w:val="1"/>
        </w:numPr>
        <w:rPr>
          <w:sz w:val="20"/>
          <w:szCs w:val="20"/>
        </w:rPr>
      </w:pPr>
      <w:r w:rsidRPr="00DD7131">
        <w:rPr>
          <w:sz w:val="20"/>
          <w:szCs w:val="20"/>
        </w:rPr>
        <w:t>Both concepts use a PSA for final product purification, resulting in pure hydrogen as product and all other molecules in the off gas. The incumbent process fires the H2-rich off gas in the reformer, while in the eSMR concept a purge is necessary to get rid of the nitrogen introduced with our feed. The recycle is choosen to be just large enough to produce the steam required for the process independently, the rest is recycled to the reactor to maximize yield.</w:t>
      </w:r>
    </w:p>
    <w:p w14:paraId="180D182E" w14:textId="77777777" w:rsidR="00800A7E" w:rsidRPr="00DD7131" w:rsidRDefault="00800A7E" w:rsidP="00800A7E">
      <w:pPr>
        <w:pStyle w:val="ListParagraph"/>
        <w:numPr>
          <w:ilvl w:val="0"/>
          <w:numId w:val="1"/>
        </w:numPr>
        <w:rPr>
          <w:sz w:val="20"/>
          <w:szCs w:val="20"/>
        </w:rPr>
      </w:pPr>
      <w:r w:rsidRPr="00DD7131">
        <w:rPr>
          <w:sz w:val="20"/>
          <w:szCs w:val="20"/>
        </w:rPr>
        <w:t>Both processes perform the same reaction set to yield the product of interest. Consequently, both feeds exists of natural gas and steam, aditionally the electrified process feeds the mentioned recycle stream.</w:t>
      </w:r>
    </w:p>
    <w:p w14:paraId="49655C7A" w14:textId="77777777" w:rsidR="00800A7E" w:rsidRPr="00DD7131" w:rsidRDefault="00800A7E" w:rsidP="00800A7E">
      <w:pPr>
        <w:pStyle w:val="ListParagraph"/>
        <w:numPr>
          <w:ilvl w:val="0"/>
          <w:numId w:val="1"/>
        </w:numPr>
        <w:rPr>
          <w:sz w:val="20"/>
          <w:szCs w:val="20"/>
        </w:rPr>
      </w:pPr>
      <w:r w:rsidRPr="00DD7131">
        <w:rPr>
          <w:sz w:val="20"/>
          <w:szCs w:val="20"/>
        </w:rPr>
        <w:t>The outlet stream leaves the reformer at temperatures of 850°C or 1100°C respectively. Both temperatures are higher than the material constraints of standard heat exchangers (500-600°C), which means feed preheating by our product stream is not possible. In the incumbent process the last 200-300°C temperature increase is therefore reached by NG firing. The product stream is instead used to produce steam, for the process as well as export. On the contrary the eSMR reactor concept allows a reactor internal heat integration, which allows heat integration from product to educt stream even on this high of a temperature level.</w:t>
      </w:r>
    </w:p>
    <w:p w14:paraId="509994E7" w14:textId="77777777" w:rsidR="00800A7E" w:rsidRPr="00DD7131" w:rsidRDefault="00800A7E" w:rsidP="00800A7E">
      <w:pPr>
        <w:pStyle w:val="ListParagraph"/>
        <w:numPr>
          <w:ilvl w:val="0"/>
          <w:numId w:val="1"/>
        </w:numPr>
        <w:rPr>
          <w:sz w:val="20"/>
          <w:szCs w:val="20"/>
        </w:rPr>
      </w:pPr>
      <w:r w:rsidRPr="00DD7131">
        <w:rPr>
          <w:sz w:val="20"/>
          <w:szCs w:val="20"/>
        </w:rPr>
        <w:t>Both concepts include a WGS reaction step for hydrogen yield maximization.</w:t>
      </w:r>
    </w:p>
    <w:p w14:paraId="2EF240EE" w14:textId="77777777" w:rsidR="00800A7E" w:rsidRPr="00DD7131" w:rsidRDefault="00800A7E" w:rsidP="00800A7E">
      <w:pPr>
        <w:pStyle w:val="ListParagraph"/>
        <w:numPr>
          <w:ilvl w:val="0"/>
          <w:numId w:val="1"/>
        </w:numPr>
        <w:rPr>
          <w:sz w:val="20"/>
          <w:szCs w:val="20"/>
        </w:rPr>
      </w:pPr>
      <w:r w:rsidRPr="00DD7131">
        <w:rPr>
          <w:sz w:val="20"/>
          <w:szCs w:val="20"/>
        </w:rPr>
        <w:t xml:space="preserve">In the electrified process carbon will be removed from the cycle by the purge, or if the enrichment is too high in that case via an additional carbon capture unit is necessary. </w:t>
      </w:r>
    </w:p>
    <w:p w14:paraId="1EB1AA3A" w14:textId="77777777" w:rsidR="00800A7E" w:rsidRPr="00DD7131" w:rsidRDefault="00800A7E" w:rsidP="00800A7E">
      <w:pPr>
        <w:rPr>
          <w:sz w:val="20"/>
          <w:szCs w:val="20"/>
        </w:rPr>
      </w:pPr>
      <w:r w:rsidRPr="00DD7131">
        <w:rPr>
          <w:sz w:val="20"/>
          <w:szCs w:val="20"/>
        </w:rPr>
        <w:t xml:space="preserve">The difference can be broken down to higher NG demand of the incumbent process for preheating and reaction enthalpy reasons, which ultimately is compleately converted to steam (assuming an ideal heat integration) and hence a steam export is created. Reaction enthalpy for the products of interest is the same in both processes. Consequently, the higher NG demand can be attributed solely to preheating, in addition any losses (flue gas losses and insulation losses of the firebox and radiant section, 6-10% of fired energy and 1-5% respectively) must be covered. Practically sorted, it needs to be highlighted, that typical integrated plants have overall a deficit in their steam balance, which is offset by steam production most often from natural gas firing. Concluding from this, that it makes no difference (neglecting minior differences in conversion efficiency) whether steam is produced from NG on purpose or as a byproduct from SMR. Hence, the only difference are higher losses through flue gas and potentially through insulation (due to smaller reactor design). Even if assuming the electrified process as ideal with no losses, a economic competitive edge is not given due to about xxx% higher electricity prices compared to NG. </w:t>
      </w:r>
    </w:p>
    <w:p w14:paraId="20DC3CA7" w14:textId="77777777" w:rsidR="00800A7E" w:rsidRPr="00DD7131" w:rsidRDefault="00800A7E" w:rsidP="00800A7E">
      <w:pPr>
        <w:rPr>
          <w:sz w:val="20"/>
          <w:szCs w:val="20"/>
        </w:rPr>
      </w:pPr>
      <w:r w:rsidRPr="00DD7131">
        <w:rPr>
          <w:sz w:val="20"/>
          <w:szCs w:val="20"/>
        </w:rPr>
        <w:t xml:space="preserve">An additional difference occures, if a carbon capture unit is introduced. In that case carbon is removed from a CO2-rich gas stream downstream of the shift reactor. But even assuming an ideal 100% conversion in the reformer and the shift reactor, the CO2 content cannot exceed 20%, according to the combined SMR and WGS reaction </w:t>
      </w:r>
    </w:p>
    <w:p w14:paraId="3C0F9461" w14:textId="77777777" w:rsidR="00800A7E" w:rsidRPr="00DD7131" w:rsidRDefault="00800A7E" w:rsidP="00800A7E">
      <w:pPr>
        <w:rPr>
          <w:rFonts w:eastAsiaTheme="minorEastAsia"/>
          <w:sz w:val="20"/>
          <w:szCs w:val="20"/>
        </w:rPr>
      </w:pPr>
      <m:oMathPara>
        <m:oMath>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4</m:t>
              </m:r>
            </m:sub>
          </m:sSub>
          <m:r>
            <w:rPr>
              <w:rFonts w:ascii="Cambria Math" w:hAnsi="Cambria Math"/>
              <w:sz w:val="20"/>
              <w:szCs w:val="20"/>
            </w:rPr>
            <m:t xml:space="preserve">+2 </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2</m:t>
              </m:r>
            </m:sub>
          </m:sSub>
          <m:r>
            <w:rPr>
              <w:rFonts w:ascii="Cambria Math" w:hAnsi="Cambria Math"/>
              <w:sz w:val="20"/>
              <w:szCs w:val="20"/>
            </w:rPr>
            <m:t>O→C</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 xml:space="preserve">+4 </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2</m:t>
              </m:r>
            </m:sub>
          </m:sSub>
        </m:oMath>
      </m:oMathPara>
    </w:p>
    <w:p w14:paraId="3CBC328B" w14:textId="77777777" w:rsidR="00800A7E" w:rsidRPr="00DD7131" w:rsidRDefault="00800A7E" w:rsidP="00800A7E">
      <w:pPr>
        <w:rPr>
          <w:rFonts w:eastAsiaTheme="minorEastAsia"/>
          <w:sz w:val="20"/>
          <w:szCs w:val="20"/>
        </w:rPr>
      </w:pPr>
      <w:r w:rsidRPr="00DD7131">
        <w:rPr>
          <w:rFonts w:eastAsiaTheme="minorEastAsia"/>
          <w:sz w:val="20"/>
          <w:szCs w:val="20"/>
        </w:rPr>
        <w:t>This is a similar content as in combustion flue gasses (sources). Which leads to the conclusion, that a carbon capture as part of the electrified process concept is associated with the same effort as the flue gas carbon capture. And from the fact that flue gas carbon capture is not widely commercialised, not even in regions with high carbon taxes (e.g., European Union), it can be concluded that its just not economically viable.</w:t>
      </w:r>
    </w:p>
    <w:p w14:paraId="1AEBC827" w14:textId="77777777" w:rsidR="00800A7E" w:rsidRPr="00DD7131" w:rsidRDefault="00800A7E" w:rsidP="00800A7E">
      <w:pPr>
        <w:rPr>
          <w:rFonts w:eastAsiaTheme="minorEastAsia"/>
          <w:sz w:val="20"/>
          <w:szCs w:val="20"/>
        </w:rPr>
      </w:pPr>
    </w:p>
    <w:p w14:paraId="626A48D9" w14:textId="77777777" w:rsidR="00800A7E" w:rsidRPr="00DD7131" w:rsidRDefault="00800A7E" w:rsidP="00800A7E">
      <w:pPr>
        <w:rPr>
          <w:rFonts w:eastAsiaTheme="minorEastAsia"/>
          <w:sz w:val="20"/>
          <w:szCs w:val="20"/>
        </w:rPr>
      </w:pPr>
    </w:p>
    <w:p w14:paraId="22798E04" w14:textId="77777777" w:rsidR="00800A7E" w:rsidRPr="00DD7131" w:rsidRDefault="00800A7E" w:rsidP="00800A7E">
      <w:pPr>
        <w:rPr>
          <w:sz w:val="20"/>
          <w:szCs w:val="20"/>
        </w:rPr>
      </w:pPr>
    </w:p>
    <w:p w14:paraId="24FFA9A9" w14:textId="2C49F97C" w:rsidR="00800A7E" w:rsidRDefault="00800A7E" w:rsidP="00800A7E">
      <w:pPr>
        <w:rPr>
          <w:sz w:val="20"/>
          <w:szCs w:val="20"/>
        </w:rPr>
      </w:pPr>
      <w:r w:rsidRPr="00DD7131">
        <w:rPr>
          <w:sz w:val="20"/>
          <w:szCs w:val="20"/>
        </w:rPr>
        <w:t>Recycle mostly of CO, total amount of recycle could be reduced if a second low temp shift reactor would be added, but for economics it doesn makes a difference on the level of the current analysis.</w:t>
      </w:r>
    </w:p>
    <w:p w14:paraId="4AA5FE64" w14:textId="77777777" w:rsidR="00222285" w:rsidRDefault="00222285" w:rsidP="00800A7E">
      <w:pPr>
        <w:rPr>
          <w:sz w:val="20"/>
          <w:szCs w:val="20"/>
        </w:rPr>
      </w:pPr>
    </w:p>
    <w:p w14:paraId="414CE99A" w14:textId="77777777" w:rsidR="00222285" w:rsidRDefault="00222285" w:rsidP="00800A7E">
      <w:pPr>
        <w:rPr>
          <w:sz w:val="20"/>
          <w:szCs w:val="20"/>
        </w:rPr>
      </w:pPr>
    </w:p>
    <w:p w14:paraId="21F29F0B" w14:textId="77777777" w:rsidR="00222285" w:rsidRDefault="00222285" w:rsidP="00222285">
      <w:pPr>
        <w:rPr>
          <w:sz w:val="20"/>
          <w:szCs w:val="20"/>
        </w:rPr>
      </w:pPr>
      <w:r>
        <w:rPr>
          <w:sz w:val="20"/>
          <w:szCs w:val="20"/>
        </w:rPr>
        <w:t xml:space="preserve">Another CCS-related separation technology is </w:t>
      </w:r>
      <w:r>
        <w:rPr>
          <w:b/>
          <w:bCs/>
          <w:sz w:val="20"/>
          <w:szCs w:val="20"/>
        </w:rPr>
        <w:t>o</w:t>
      </w:r>
      <w:r w:rsidRPr="00701B02">
        <w:rPr>
          <w:b/>
          <w:bCs/>
          <w:sz w:val="20"/>
          <w:szCs w:val="20"/>
        </w:rPr>
        <w:t>xyfuel combustio</w:t>
      </w:r>
      <w:r>
        <w:rPr>
          <w:b/>
          <w:bCs/>
          <w:sz w:val="20"/>
          <w:szCs w:val="20"/>
        </w:rPr>
        <w:t xml:space="preserve">n </w:t>
      </w:r>
      <w:r w:rsidRPr="00BF3CD6">
        <w:rPr>
          <w:sz w:val="20"/>
          <w:szCs w:val="20"/>
        </w:rPr>
        <w:t>[Ullmann’s Carbon Dioxide, S.27</w:t>
      </w:r>
      <w:r>
        <w:rPr>
          <w:sz w:val="20"/>
          <w:szCs w:val="20"/>
        </w:rPr>
        <w:t>]</w:t>
      </w:r>
      <w:r>
        <w:rPr>
          <w:b/>
          <w:bCs/>
          <w:sz w:val="20"/>
          <w:szCs w:val="20"/>
        </w:rPr>
        <w:t xml:space="preserve">, </w:t>
      </w:r>
      <w:r w:rsidRPr="00BD27B7">
        <w:rPr>
          <w:sz w:val="20"/>
          <w:szCs w:val="20"/>
        </w:rPr>
        <w:t>which shows better efficiency than post- and pre-combustion at high capture rates</w:t>
      </w:r>
      <w:r>
        <w:rPr>
          <w:sz w:val="20"/>
          <w:szCs w:val="20"/>
        </w:rPr>
        <w:t xml:space="preserve"> (&gt;92%) </w:t>
      </w:r>
      <w:r w:rsidRPr="007A0E20">
        <w:rPr>
          <w:color w:val="EE0000"/>
          <w:sz w:val="20"/>
          <w:szCs w:val="20"/>
        </w:rPr>
        <w:lastRenderedPageBreak/>
        <w:t>[https://doi.org/10.1016/j.jece.2021.105777</w:t>
      </w:r>
      <w:r>
        <w:rPr>
          <w:color w:val="EE0000"/>
          <w:sz w:val="20"/>
          <w:szCs w:val="20"/>
        </w:rPr>
        <w:t xml:space="preserve">; </w:t>
      </w:r>
      <w:r w:rsidRPr="00FD6E78">
        <w:rPr>
          <w:color w:val="EE0000"/>
          <w:sz w:val="20"/>
          <w:szCs w:val="20"/>
        </w:rPr>
        <w:t>https://doi.org/10.1021/acsomega.3c05034</w:t>
      </w:r>
      <w:r w:rsidRPr="007A0E20">
        <w:rPr>
          <w:color w:val="EE0000"/>
          <w:sz w:val="20"/>
          <w:szCs w:val="20"/>
        </w:rPr>
        <w:t>]</w:t>
      </w:r>
      <w:r w:rsidRPr="00BD27B7">
        <w:rPr>
          <w:sz w:val="20"/>
          <w:szCs w:val="20"/>
        </w:rPr>
        <w:t>.</w:t>
      </w:r>
      <w:r>
        <w:rPr>
          <w:b/>
          <w:bCs/>
          <w:sz w:val="20"/>
          <w:szCs w:val="20"/>
        </w:rPr>
        <w:t xml:space="preserve"> This technology</w:t>
      </w:r>
      <w:r w:rsidRPr="00BF3CD6">
        <w:rPr>
          <w:sz w:val="20"/>
          <w:szCs w:val="20"/>
        </w:rPr>
        <w:t>,</w:t>
      </w:r>
      <w:r>
        <w:rPr>
          <w:sz w:val="20"/>
          <w:szCs w:val="20"/>
        </w:rPr>
        <w:t xml:space="preserve"> by contrast,</w:t>
      </w:r>
      <w:r w:rsidRPr="00701B02">
        <w:rPr>
          <w:sz w:val="20"/>
          <w:szCs w:val="20"/>
        </w:rPr>
        <w:t xml:space="preserve"> yields a nearly </w:t>
      </w:r>
      <w:r w:rsidRPr="00701B02">
        <w:rPr>
          <w:b/>
          <w:bCs/>
          <w:sz w:val="20"/>
          <w:szCs w:val="20"/>
        </w:rPr>
        <w:t>pure CO₂ flue gas</w:t>
      </w:r>
      <w:r>
        <w:rPr>
          <w:b/>
          <w:bCs/>
          <w:sz w:val="20"/>
          <w:szCs w:val="20"/>
        </w:rPr>
        <w:t xml:space="preserve"> </w:t>
      </w:r>
      <w:r w:rsidRPr="00701B02">
        <w:rPr>
          <w:sz w:val="20"/>
          <w:szCs w:val="20"/>
        </w:rPr>
        <w:t>with minimal separation effort</w:t>
      </w:r>
      <w:r>
        <w:rPr>
          <w:sz w:val="20"/>
          <w:szCs w:val="20"/>
        </w:rPr>
        <w:t xml:space="preserve">, </w:t>
      </w:r>
      <w:r w:rsidRPr="00701B02">
        <w:rPr>
          <w:sz w:val="20"/>
          <w:szCs w:val="20"/>
        </w:rPr>
        <w:t>but</w:t>
      </w:r>
      <w:r>
        <w:rPr>
          <w:sz w:val="20"/>
          <w:szCs w:val="20"/>
        </w:rPr>
        <w:t xml:space="preserve"> </w:t>
      </w:r>
      <w:r w:rsidRPr="00701B02">
        <w:rPr>
          <w:sz w:val="20"/>
          <w:szCs w:val="20"/>
        </w:rPr>
        <w:t>has not reached commercial maturity</w:t>
      </w:r>
      <w:r>
        <w:rPr>
          <w:sz w:val="20"/>
          <w:szCs w:val="20"/>
        </w:rPr>
        <w:t xml:space="preserve"> due to </w:t>
      </w:r>
      <w:r w:rsidRPr="008F30BA">
        <w:rPr>
          <w:sz w:val="20"/>
          <w:szCs w:val="20"/>
        </w:rPr>
        <w:t>unfavorable economic</w:t>
      </w:r>
      <w:r>
        <w:rPr>
          <w:sz w:val="20"/>
          <w:szCs w:val="20"/>
        </w:rPr>
        <w:t xml:space="preserve">s. </w:t>
      </w:r>
      <w:r w:rsidRPr="00701B02">
        <w:rPr>
          <w:sz w:val="20"/>
          <w:szCs w:val="20"/>
        </w:rPr>
        <w:t xml:space="preserve">The economic viability of this concept is highly sensitive to prevailing </w:t>
      </w:r>
      <w:r w:rsidRPr="00701B02">
        <w:rPr>
          <w:b/>
          <w:bCs/>
          <w:sz w:val="20"/>
          <w:szCs w:val="20"/>
        </w:rPr>
        <w:t>carbon pricing</w:t>
      </w:r>
      <w:r w:rsidRPr="00701B02">
        <w:rPr>
          <w:sz w:val="20"/>
          <w:szCs w:val="20"/>
        </w:rPr>
        <w:t>.</w:t>
      </w:r>
      <w:r>
        <w:rPr>
          <w:sz w:val="20"/>
          <w:szCs w:val="20"/>
        </w:rPr>
        <w:t xml:space="preserve"> According to the combustion reaction of NG with oxgen</w:t>
      </w:r>
    </w:p>
    <w:p w14:paraId="73CC1CB2" w14:textId="77777777" w:rsidR="00222285" w:rsidRPr="00C77CA1" w:rsidRDefault="00222285" w:rsidP="00222285">
      <w:pPr>
        <w:rPr>
          <w:rFonts w:eastAsiaTheme="minorEastAsia"/>
          <w:sz w:val="20"/>
          <w:szCs w:val="20"/>
        </w:rPr>
      </w:pPr>
      <m:oMathPara>
        <m:oMath>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4</m:t>
              </m:r>
            </m:sub>
          </m:sSub>
          <m:r>
            <w:rPr>
              <w:rFonts w:ascii="Cambria Math" w:hAnsi="Cambria Math"/>
              <w:sz w:val="20"/>
              <w:szCs w:val="20"/>
            </w:rPr>
            <m:t xml:space="preserve">+2 </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 xml:space="preserve">+2 </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2</m:t>
              </m:r>
            </m:sub>
          </m:sSub>
          <m:r>
            <w:rPr>
              <w:rFonts w:ascii="Cambria Math" w:hAnsi="Cambria Math"/>
              <w:sz w:val="20"/>
              <w:szCs w:val="20"/>
            </w:rPr>
            <m:t>O</m:t>
          </m:r>
        </m:oMath>
      </m:oMathPara>
    </w:p>
    <w:p w14:paraId="7875BF3D" w14:textId="77777777" w:rsidR="00222285" w:rsidRDefault="00222285" w:rsidP="00222285">
      <w:pPr>
        <w:rPr>
          <w:sz w:val="20"/>
          <w:szCs w:val="20"/>
        </w:rPr>
      </w:pPr>
      <m:oMathPara>
        <m:oMath>
          <m:sSub>
            <m:sSubPr>
              <m:ctrlPr>
                <w:rPr>
                  <w:rFonts w:ascii="Cambria Math" w:hAnsi="Cambria Math"/>
                  <w:i/>
                  <w:sz w:val="20"/>
                  <w:szCs w:val="20"/>
                </w:rPr>
              </m:ctrlPr>
            </m:sSubPr>
            <m:e>
              <m:r>
                <w:rPr>
                  <w:rFonts w:ascii="Cambria Math" w:hAnsi="Cambria Math"/>
                  <w:sz w:val="20"/>
                  <w:szCs w:val="20"/>
                </w:rPr>
                <m:t>M</m:t>
              </m:r>
            </m:e>
            <m:sub>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sub>
          </m:sSub>
          <m:r>
            <w:rPr>
              <w:rFonts w:ascii="Cambria Math" w:eastAsiaTheme="minorEastAsia" w:hAnsi="Cambria Math"/>
              <w:sz w:val="20"/>
              <w:szCs w:val="20"/>
            </w:rPr>
            <m:t>=2∙</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sub>
              </m:sSub>
            </m:num>
            <m:den>
              <m:sSub>
                <m:sSubPr>
                  <m:ctrlPr>
                    <w:rPr>
                      <w:rFonts w:ascii="Cambria Math" w:hAnsi="Cambria Math"/>
                      <w:i/>
                      <w:sz w:val="20"/>
                      <w:szCs w:val="20"/>
                    </w:rPr>
                  </m:ctrlPr>
                </m:sSubPr>
                <m:e>
                  <m:r>
                    <w:rPr>
                      <w:rFonts w:ascii="Cambria Math" w:hAnsi="Cambria Math"/>
                      <w:sz w:val="20"/>
                      <w:szCs w:val="20"/>
                    </w:rPr>
                    <m:t>MW</m:t>
                  </m:r>
                </m:e>
                <m: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sub>
              </m:sSub>
            </m:den>
          </m:f>
          <m:r>
            <w:rPr>
              <w:rFonts w:ascii="Cambria Math" w:eastAsiaTheme="minorEastAsia" w:hAnsi="Cambria Math"/>
              <w:sz w:val="20"/>
              <w:szCs w:val="20"/>
            </w:rPr>
            <m:t>∙</m:t>
          </m:r>
          <m:sSub>
            <m:sSubPr>
              <m:ctrlPr>
                <w:rPr>
                  <w:rFonts w:ascii="Cambria Math" w:hAnsi="Cambria Math"/>
                  <w:i/>
                  <w:sz w:val="20"/>
                  <w:szCs w:val="20"/>
                </w:rPr>
              </m:ctrlPr>
            </m:sSubPr>
            <m:e>
              <m:r>
                <w:rPr>
                  <w:rFonts w:ascii="Cambria Math" w:hAnsi="Cambria Math"/>
                  <w:sz w:val="20"/>
                  <w:szCs w:val="20"/>
                </w:rPr>
                <m:t>MW</m:t>
              </m:r>
            </m:e>
            <m:sub>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sub>
          </m:sSub>
          <m:r>
            <w:rPr>
              <w:rFonts w:ascii="Cambria Math" w:eastAsiaTheme="minorEastAsia" w:hAnsi="Cambria Math"/>
              <w:sz w:val="20"/>
              <w:szCs w:val="20"/>
            </w:rPr>
            <m:t>=2∙</m:t>
          </m:r>
          <m:f>
            <m:fPr>
              <m:ctrlPr>
                <w:rPr>
                  <w:rFonts w:ascii="Cambria Math" w:hAnsi="Cambria Math"/>
                  <w:i/>
                  <w:sz w:val="20"/>
                  <w:szCs w:val="20"/>
                </w:rPr>
              </m:ctrlPr>
            </m:fPr>
            <m:num>
              <m:r>
                <w:rPr>
                  <w:rFonts w:ascii="Cambria Math" w:hAnsi="Cambria Math"/>
                  <w:sz w:val="20"/>
                  <w:szCs w:val="20"/>
                </w:rPr>
                <m:t>1t</m:t>
              </m:r>
            </m:num>
            <m:den>
              <m:r>
                <w:rPr>
                  <w:rFonts w:ascii="Cambria Math" w:hAnsi="Cambria Math"/>
                  <w:sz w:val="20"/>
                  <w:szCs w:val="20"/>
                </w:rPr>
                <m:t>44</m:t>
              </m:r>
              <m:f>
                <m:fPr>
                  <m:type m:val="lin"/>
                  <m:ctrlPr>
                    <w:rPr>
                      <w:rFonts w:ascii="Cambria Math" w:hAnsi="Cambria Math"/>
                      <w:i/>
                      <w:sz w:val="20"/>
                      <w:szCs w:val="20"/>
                    </w:rPr>
                  </m:ctrlPr>
                </m:fPr>
                <m:num>
                  <m:r>
                    <w:rPr>
                      <w:rFonts w:ascii="Cambria Math" w:hAnsi="Cambria Math"/>
                      <w:sz w:val="20"/>
                      <w:szCs w:val="20"/>
                    </w:rPr>
                    <m:t>g</m:t>
                  </m:r>
                </m:num>
                <m:den>
                  <m:r>
                    <w:rPr>
                      <w:rFonts w:ascii="Cambria Math" w:hAnsi="Cambria Math"/>
                      <w:sz w:val="20"/>
                      <w:szCs w:val="20"/>
                    </w:rPr>
                    <m:t>mol</m:t>
                  </m:r>
                </m:den>
              </m:f>
            </m:den>
          </m:f>
          <m:r>
            <w:rPr>
              <w:rFonts w:ascii="Cambria Math" w:eastAsiaTheme="minorEastAsia" w:hAnsi="Cambria Math"/>
              <w:sz w:val="20"/>
              <w:szCs w:val="20"/>
            </w:rPr>
            <m:t>∙</m:t>
          </m:r>
          <m:r>
            <w:rPr>
              <w:rFonts w:ascii="Cambria Math" w:hAnsi="Cambria Math"/>
              <w:sz w:val="20"/>
              <w:szCs w:val="20"/>
            </w:rPr>
            <m:t>32</m:t>
          </m:r>
          <m:f>
            <m:fPr>
              <m:type m:val="lin"/>
              <m:ctrlPr>
                <w:rPr>
                  <w:rFonts w:ascii="Cambria Math" w:hAnsi="Cambria Math"/>
                  <w:i/>
                  <w:sz w:val="20"/>
                  <w:szCs w:val="20"/>
                </w:rPr>
              </m:ctrlPr>
            </m:fPr>
            <m:num>
              <m:r>
                <w:rPr>
                  <w:rFonts w:ascii="Cambria Math" w:hAnsi="Cambria Math"/>
                  <w:sz w:val="20"/>
                  <w:szCs w:val="20"/>
                </w:rPr>
                <m:t>g</m:t>
              </m:r>
            </m:num>
            <m:den>
              <m:r>
                <w:rPr>
                  <w:rFonts w:ascii="Cambria Math" w:hAnsi="Cambria Math"/>
                  <w:sz w:val="20"/>
                  <w:szCs w:val="20"/>
                </w:rPr>
                <m:t>mol</m:t>
              </m:r>
            </m:den>
          </m:f>
          <m:r>
            <w:rPr>
              <w:rFonts w:ascii="Cambria Math" w:hAnsi="Cambria Math"/>
              <w:sz w:val="20"/>
              <w:szCs w:val="20"/>
            </w:rPr>
            <m:t>=1.</m:t>
          </m:r>
          <m:acc>
            <m:accPr>
              <m:chr m:val="̅"/>
              <m:ctrlPr>
                <w:rPr>
                  <w:rFonts w:ascii="Cambria Math" w:hAnsi="Cambria Math"/>
                  <w:i/>
                  <w:sz w:val="20"/>
                  <w:szCs w:val="20"/>
                </w:rPr>
              </m:ctrlPr>
            </m:accPr>
            <m:e>
              <m:r>
                <w:rPr>
                  <w:rFonts w:ascii="Cambria Math" w:hAnsi="Cambria Math"/>
                  <w:sz w:val="20"/>
                  <w:szCs w:val="20"/>
                </w:rPr>
                <m:t>45</m:t>
              </m:r>
            </m:e>
          </m:acc>
          <m:r>
            <w:rPr>
              <w:rFonts w:ascii="Cambria Math" w:eastAsiaTheme="minorEastAsia" w:hAnsi="Cambria Math"/>
              <w:sz w:val="20"/>
              <w:szCs w:val="20"/>
            </w:rPr>
            <m:t>t</m:t>
          </m:r>
        </m:oMath>
      </m:oMathPara>
    </w:p>
    <w:p w14:paraId="58367AA0" w14:textId="77777777" w:rsidR="00222285" w:rsidRDefault="00222285" w:rsidP="00222285">
      <w:pPr>
        <w:rPr>
          <w:sz w:val="20"/>
          <w:szCs w:val="20"/>
        </w:rPr>
      </w:pPr>
      <w:r>
        <w:rPr>
          <w:sz w:val="20"/>
          <w:szCs w:val="20"/>
        </w:rPr>
        <w:t>at least 1.45 t O</w:t>
      </w:r>
      <w:r>
        <w:rPr>
          <w:sz w:val="20"/>
          <w:szCs w:val="20"/>
          <w:vertAlign w:val="subscript"/>
        </w:rPr>
        <w:t>2</w:t>
      </w:r>
      <w:r>
        <w:rPr>
          <w:sz w:val="20"/>
          <w:szCs w:val="20"/>
        </w:rPr>
        <w:t xml:space="preserve"> needs to be produced per 1 t CO</w:t>
      </w:r>
      <w:r>
        <w:rPr>
          <w:sz w:val="20"/>
          <w:szCs w:val="20"/>
          <w:vertAlign w:val="subscript"/>
        </w:rPr>
        <w:t>2</w:t>
      </w:r>
      <w:r>
        <w:rPr>
          <w:sz w:val="20"/>
          <w:szCs w:val="20"/>
        </w:rPr>
        <w:t>. At an associated energy demand of 200 kWh/t O</w:t>
      </w:r>
      <w:r>
        <w:rPr>
          <w:sz w:val="20"/>
          <w:szCs w:val="20"/>
          <w:vertAlign w:val="subscript"/>
        </w:rPr>
        <w:t>2</w:t>
      </w:r>
      <w:r>
        <w:rPr>
          <w:sz w:val="20"/>
          <w:szCs w:val="20"/>
        </w:rPr>
        <w:t xml:space="preserve"> </w:t>
      </w:r>
      <w:r w:rsidRPr="005F4C28">
        <w:rPr>
          <w:color w:val="EE0000"/>
          <w:sz w:val="20"/>
          <w:szCs w:val="20"/>
        </w:rPr>
        <w:t xml:space="preserve">[https://doi.org/10.1016/j.jclpro.2021.128476] </w:t>
      </w:r>
      <w:r>
        <w:rPr>
          <w:sz w:val="20"/>
          <w:szCs w:val="20"/>
        </w:rPr>
        <w:t xml:space="preserve">and an assumed electricity price of 0.20 €/kWh (Germany </w:t>
      </w:r>
      <w:r w:rsidRPr="002A1605">
        <w:rPr>
          <w:color w:val="EE0000"/>
          <w:sz w:val="20"/>
          <w:szCs w:val="20"/>
        </w:rPr>
        <w:t>[https://www.smard.de/page/en/topic-article/5892/216044/industrial-electricity-price-trends]</w:t>
      </w:r>
      <w:r>
        <w:rPr>
          <w:sz w:val="20"/>
          <w:szCs w:val="20"/>
        </w:rPr>
        <w:t>) this leads to oxygen production costs of 58 €/t CO</w:t>
      </w:r>
      <w:r>
        <w:rPr>
          <w:sz w:val="20"/>
          <w:szCs w:val="20"/>
          <w:vertAlign w:val="subscript"/>
        </w:rPr>
        <w:t>2</w:t>
      </w:r>
      <w:r>
        <w:rPr>
          <w:sz w:val="20"/>
          <w:szCs w:val="20"/>
        </w:rPr>
        <w:t>, which is already almost as high as current carbon certificates. Aditionally, futher costs for and makes oxyfuel combustion economically not viable at current carbon prices.</w:t>
      </w:r>
    </w:p>
    <w:p w14:paraId="3D0B2285" w14:textId="77777777" w:rsidR="00222285" w:rsidRDefault="00222285" w:rsidP="00222285">
      <w:pPr>
        <w:rPr>
          <w:sz w:val="20"/>
          <w:szCs w:val="20"/>
        </w:rPr>
      </w:pPr>
      <w:r>
        <w:rPr>
          <w:sz w:val="20"/>
          <w:szCs w:val="20"/>
        </w:rPr>
        <w:t>In retrofit concepts (low temperature design) air-N</w:t>
      </w:r>
      <w:r>
        <w:rPr>
          <w:sz w:val="20"/>
          <w:szCs w:val="20"/>
          <w:vertAlign w:val="subscript"/>
        </w:rPr>
        <w:t>2</w:t>
      </w:r>
      <w:r>
        <w:rPr>
          <w:sz w:val="20"/>
          <w:szCs w:val="20"/>
        </w:rPr>
        <w:t xml:space="preserve"> is substituted by CO</w:t>
      </w:r>
      <w:r>
        <w:rPr>
          <w:sz w:val="20"/>
          <w:szCs w:val="20"/>
          <w:vertAlign w:val="subscript"/>
        </w:rPr>
        <w:t>2</w:t>
      </w:r>
      <w:r>
        <w:rPr>
          <w:sz w:val="20"/>
          <w:szCs w:val="20"/>
        </w:rPr>
        <w:t xml:space="preserve"> to moderate peak flame temperatures through flue gas recycle. In contrast, temperatures of &gt;2000°C are reached in high temperature design </w:t>
      </w:r>
      <w:r w:rsidRPr="00F532E0">
        <w:rPr>
          <w:color w:val="EE0000"/>
          <w:sz w:val="20"/>
          <w:szCs w:val="20"/>
        </w:rPr>
        <w:t>[source]</w:t>
      </w:r>
      <w:r>
        <w:rPr>
          <w:sz w:val="20"/>
          <w:szCs w:val="20"/>
        </w:rPr>
        <w:t xml:space="preserve">, which is way above the material limitation of the OCMC reactor design. Furthermore, this concept doesn’t leverage the main innovation (electrical energy input) of the OCMC design and hence realization with other materials obvious, </w:t>
      </w:r>
      <w:r w:rsidRPr="00222285">
        <w:rPr>
          <w:sz w:val="20"/>
          <w:szCs w:val="20"/>
        </w:rPr>
        <w:t>what this concept rules out for further investigation</w:t>
      </w:r>
      <w:r>
        <w:rPr>
          <w:sz w:val="20"/>
          <w:szCs w:val="20"/>
        </w:rPr>
        <w:t>.</w:t>
      </w:r>
    </w:p>
    <w:p w14:paraId="6F380C59" w14:textId="77777777" w:rsidR="00222285" w:rsidRDefault="00222285" w:rsidP="00222285">
      <w:pPr>
        <w:rPr>
          <w:sz w:val="20"/>
          <w:szCs w:val="20"/>
        </w:rPr>
      </w:pPr>
    </w:p>
    <w:p w14:paraId="543EAFD6" w14:textId="77777777" w:rsidR="00222285" w:rsidRPr="00EE4A0F" w:rsidRDefault="00222285" w:rsidP="00222285">
      <w:pPr>
        <w:rPr>
          <w:color w:val="EE0000"/>
          <w:sz w:val="20"/>
          <w:szCs w:val="20"/>
        </w:rPr>
      </w:pPr>
      <w:r w:rsidRPr="007A0E20">
        <w:rPr>
          <w:sz w:val="20"/>
          <w:szCs w:val="20"/>
        </w:rPr>
        <w:t>leads to</w:t>
      </w:r>
      <w:r>
        <w:rPr>
          <w:b/>
          <w:bCs/>
          <w:sz w:val="20"/>
          <w:szCs w:val="20"/>
        </w:rPr>
        <w:t xml:space="preserve"> higher flame temperatures</w:t>
      </w:r>
      <w:r w:rsidRPr="00701B02">
        <w:rPr>
          <w:sz w:val="20"/>
          <w:szCs w:val="20"/>
        </w:rPr>
        <w:t xml:space="preserve"> </w:t>
      </w:r>
      <w:r>
        <w:rPr>
          <w:sz w:val="20"/>
          <w:szCs w:val="20"/>
        </w:rPr>
        <w:t xml:space="preserve">and </w:t>
      </w:r>
      <w:r w:rsidRPr="007A0E20">
        <w:rPr>
          <w:color w:val="EE0000"/>
          <w:sz w:val="20"/>
          <w:szCs w:val="20"/>
        </w:rPr>
        <w:t xml:space="preserve">hence </w:t>
      </w:r>
      <w:r w:rsidRPr="00701B02">
        <w:rPr>
          <w:sz w:val="20"/>
          <w:szCs w:val="20"/>
        </w:rPr>
        <w:t>The OCM</w:t>
      </w:r>
      <w:r>
        <w:rPr>
          <w:sz w:val="20"/>
          <w:szCs w:val="20"/>
        </w:rPr>
        <w:t>C</w:t>
      </w:r>
      <w:r w:rsidRPr="00701B02">
        <w:rPr>
          <w:sz w:val="20"/>
          <w:szCs w:val="20"/>
        </w:rPr>
        <w:t xml:space="preserve"> reactor concept overcomes these constraints, leaving the SMR process unchanged while requiring an air separation unit (ASU) instead of a carbon capture unit </w:t>
      </w:r>
      <w:r>
        <w:rPr>
          <w:sz w:val="20"/>
          <w:szCs w:val="20"/>
        </w:rPr>
        <w:t>–</w:t>
      </w:r>
      <w:r w:rsidRPr="00701B02">
        <w:rPr>
          <w:sz w:val="20"/>
          <w:szCs w:val="20"/>
        </w:rPr>
        <w:t xml:space="preserve"> at the cost of increased specific electricity demand.</w:t>
      </w:r>
      <w:r>
        <w:rPr>
          <w:sz w:val="20"/>
          <w:szCs w:val="20"/>
        </w:rPr>
        <w:t xml:space="preserve">. </w:t>
      </w:r>
      <w:r w:rsidRPr="00EE4A0F">
        <w:rPr>
          <w:color w:val="EE0000"/>
          <w:sz w:val="20"/>
          <w:szCs w:val="20"/>
        </w:rPr>
        <w:t xml:space="preserve">Was dafür spricht, dass die tchnologie nicht primär an den materiallimitationen scheitert sondern tendenziell an den generellen OPEX economics mit zu teurer O2 Produktion und die OCMC Technologie entsprechend keinen untersuchenswerten Unterschied macht. </w:t>
      </w:r>
      <w:r>
        <w:rPr>
          <w:color w:val="EE0000"/>
          <w:sz w:val="20"/>
          <w:szCs w:val="20"/>
        </w:rPr>
        <w:t xml:space="preserve">Höhere Flammtemperaturen werden durch einen flue gas recycle gemanaged und sind keine technische Limitierung. Vielleicht auch unterschied zwischen neudesign und retrofitting. Aber Berretta meinte Temperatur wäre das Problem. </w:t>
      </w:r>
    </w:p>
    <w:p w14:paraId="324F295D" w14:textId="77777777" w:rsidR="00222285" w:rsidRDefault="00222285" w:rsidP="00800A7E">
      <w:pPr>
        <w:rPr>
          <w:sz w:val="20"/>
          <w:szCs w:val="20"/>
        </w:rPr>
      </w:pPr>
    </w:p>
    <w:p w14:paraId="0FF05333" w14:textId="77777777" w:rsidR="00D84592" w:rsidRDefault="00D84592" w:rsidP="00800A7E">
      <w:pPr>
        <w:rPr>
          <w:sz w:val="20"/>
          <w:szCs w:val="20"/>
        </w:rPr>
      </w:pPr>
    </w:p>
    <w:p w14:paraId="037FFE19" w14:textId="77777777" w:rsidR="00D84592" w:rsidRPr="001046D7" w:rsidRDefault="00D84592" w:rsidP="00D84592">
      <w:pPr>
        <w:rPr>
          <w:rFonts w:eastAsiaTheme="minorEastAsia"/>
          <w:color w:val="EE0000"/>
          <w:sz w:val="20"/>
          <w:szCs w:val="20"/>
        </w:rPr>
      </w:pPr>
      <m:oMathPara>
        <m:oMath>
          <m:r>
            <w:rPr>
              <w:rFonts w:ascii="Cambria Math" w:hAnsi="Cambria Math"/>
              <w:color w:val="EE0000"/>
              <w:sz w:val="20"/>
              <w:szCs w:val="20"/>
            </w:rPr>
            <m:t>Abatement Effectiveness=</m:t>
          </m:r>
          <m:f>
            <m:fPr>
              <m:ctrlPr>
                <w:rPr>
                  <w:rFonts w:ascii="Cambria Math" w:hAnsi="Cambria Math"/>
                  <w:i/>
                  <w:color w:val="EE0000"/>
                  <w:sz w:val="20"/>
                  <w:szCs w:val="20"/>
                </w:rPr>
              </m:ctrlPr>
            </m:fPr>
            <m:num>
              <m:r>
                <w:rPr>
                  <w:rFonts w:ascii="Cambria Math" w:hAnsi="Cambria Math"/>
                  <w:color w:val="EE0000"/>
                  <w:sz w:val="20"/>
                  <w:szCs w:val="20"/>
                </w:rPr>
                <m:t>1</m:t>
              </m:r>
            </m:num>
            <m:den>
              <m:f>
                <m:fPr>
                  <m:ctrlPr>
                    <w:rPr>
                      <w:rFonts w:ascii="Cambria Math" w:hAnsi="Cambria Math"/>
                      <w:i/>
                      <w:color w:val="EE0000"/>
                      <w:sz w:val="20"/>
                      <w:szCs w:val="20"/>
                    </w:rPr>
                  </m:ctrlPr>
                </m:fPr>
                <m:num>
                  <m:r>
                    <w:rPr>
                      <w:rFonts w:ascii="Cambria Math" w:hAnsi="Cambria Math"/>
                      <w:color w:val="EE0000"/>
                      <w:sz w:val="20"/>
                      <w:szCs w:val="20"/>
                    </w:rPr>
                    <m:t>∆</m:t>
                  </m:r>
                  <m:sSub>
                    <m:sSubPr>
                      <m:ctrlPr>
                        <w:rPr>
                          <w:rFonts w:ascii="Cambria Math" w:hAnsi="Cambria Math"/>
                          <w:i/>
                          <w:color w:val="EE0000"/>
                          <w:sz w:val="20"/>
                          <w:szCs w:val="20"/>
                        </w:rPr>
                      </m:ctrlPr>
                    </m:sSubPr>
                    <m:e>
                      <m:r>
                        <w:rPr>
                          <w:rFonts w:ascii="Cambria Math" w:hAnsi="Cambria Math"/>
                          <w:color w:val="EE0000"/>
                          <w:sz w:val="20"/>
                          <w:szCs w:val="20"/>
                        </w:rPr>
                        <m:t>H</m:t>
                      </m:r>
                    </m:e>
                    <m:sub>
                      <m:r>
                        <w:rPr>
                          <w:rFonts w:ascii="Cambria Math" w:hAnsi="Cambria Math"/>
                          <w:color w:val="EE0000"/>
                          <w:sz w:val="20"/>
                          <w:szCs w:val="20"/>
                        </w:rPr>
                        <m:t>R</m:t>
                      </m:r>
                    </m:sub>
                  </m:sSub>
                  <m:r>
                    <w:rPr>
                      <w:rFonts w:ascii="Cambria Math" w:hAnsi="Cambria Math"/>
                      <w:color w:val="EE0000"/>
                      <w:sz w:val="20"/>
                      <w:szCs w:val="20"/>
                    </w:rPr>
                    <m:t>(T)</m:t>
                  </m:r>
                </m:num>
                <m:den>
                  <m:sSub>
                    <m:sSubPr>
                      <m:ctrlPr>
                        <w:rPr>
                          <w:rFonts w:ascii="Cambria Math" w:hAnsi="Cambria Math"/>
                          <w:i/>
                          <w:color w:val="EE0000"/>
                          <w:sz w:val="20"/>
                          <w:szCs w:val="20"/>
                        </w:rPr>
                      </m:ctrlPr>
                    </m:sSubPr>
                    <m:e>
                      <m:r>
                        <w:rPr>
                          <w:rFonts w:ascii="Cambria Math" w:hAnsi="Cambria Math"/>
                          <w:color w:val="EE0000"/>
                          <w:sz w:val="20"/>
                          <w:szCs w:val="20"/>
                        </w:rPr>
                        <m:t>η</m:t>
                      </m:r>
                    </m:e>
                    <m:sub>
                      <m:r>
                        <w:rPr>
                          <w:rFonts w:ascii="Cambria Math" w:hAnsi="Cambria Math"/>
                          <w:color w:val="EE0000"/>
                          <w:sz w:val="20"/>
                          <w:szCs w:val="20"/>
                        </w:rPr>
                        <m:t xml:space="preserve">fired energy, conventinal </m:t>
                      </m:r>
                    </m:sub>
                  </m:sSub>
                </m:den>
              </m:f>
              <m:r>
                <w:rPr>
                  <w:rFonts w:ascii="Cambria Math" w:eastAsiaTheme="minorEastAsia" w:hAnsi="Cambria Math"/>
                  <w:color w:val="EE0000"/>
                  <w:sz w:val="20"/>
                  <w:szCs w:val="20"/>
                </w:rPr>
                <m:t>∙Combustion Emissions</m:t>
              </m:r>
            </m:den>
          </m:f>
          <m:r>
            <w:rPr>
              <w:rFonts w:ascii="Cambria Math" w:hAnsi="Cambria Math"/>
              <w:color w:val="EE0000"/>
              <w:sz w:val="20"/>
              <w:szCs w:val="20"/>
            </w:rPr>
            <m:t>=</m:t>
          </m:r>
          <m:f>
            <m:fPr>
              <m:ctrlPr>
                <w:rPr>
                  <w:rFonts w:ascii="Cambria Math" w:hAnsi="Cambria Math"/>
                  <w:i/>
                  <w:color w:val="EE0000"/>
                  <w:sz w:val="20"/>
                  <w:szCs w:val="20"/>
                </w:rPr>
              </m:ctrlPr>
            </m:fPr>
            <m:num>
              <m:r>
                <w:rPr>
                  <w:rFonts w:ascii="Cambria Math" w:hAnsi="Cambria Math"/>
                  <w:color w:val="EE0000"/>
                  <w:sz w:val="20"/>
                  <w:szCs w:val="20"/>
                </w:rPr>
                <m:t>1</m:t>
              </m:r>
            </m:num>
            <m:den>
              <m:f>
                <m:fPr>
                  <m:ctrlPr>
                    <w:rPr>
                      <w:rFonts w:ascii="Cambria Math" w:hAnsi="Cambria Math"/>
                      <w:i/>
                      <w:color w:val="EE0000"/>
                      <w:sz w:val="20"/>
                      <w:szCs w:val="20"/>
                    </w:rPr>
                  </m:ctrlPr>
                </m:fPr>
                <m:num>
                  <m:r>
                    <w:rPr>
                      <w:rFonts w:ascii="Cambria Math" w:hAnsi="Cambria Math"/>
                      <w:color w:val="EE0000"/>
                      <w:sz w:val="20"/>
                      <w:szCs w:val="20"/>
                    </w:rPr>
                    <m:t>4.7</m:t>
                  </m:r>
                  <m:f>
                    <m:fPr>
                      <m:ctrlPr>
                        <w:rPr>
                          <w:rFonts w:ascii="Cambria Math" w:hAnsi="Cambria Math"/>
                          <w:i/>
                          <w:color w:val="EE0000"/>
                          <w:sz w:val="20"/>
                          <w:szCs w:val="20"/>
                        </w:rPr>
                      </m:ctrlPr>
                    </m:fPr>
                    <m:num>
                      <m:r>
                        <w:rPr>
                          <w:rFonts w:ascii="Cambria Math" w:hAnsi="Cambria Math"/>
                          <w:color w:val="EE0000"/>
                          <w:sz w:val="20"/>
                          <w:szCs w:val="20"/>
                        </w:rPr>
                        <m:t>MWh</m:t>
                      </m:r>
                    </m:num>
                    <m:den>
                      <m:r>
                        <w:rPr>
                          <w:rFonts w:ascii="Cambria Math" w:hAnsi="Cambria Math"/>
                          <w:color w:val="EE0000"/>
                          <w:sz w:val="20"/>
                          <w:szCs w:val="20"/>
                        </w:rPr>
                        <m:t>t C</m:t>
                      </m:r>
                      <m:sSub>
                        <m:sSubPr>
                          <m:ctrlPr>
                            <w:rPr>
                              <w:rFonts w:ascii="Cambria Math" w:hAnsi="Cambria Math"/>
                              <w:i/>
                              <w:color w:val="EE0000"/>
                              <w:sz w:val="20"/>
                              <w:szCs w:val="20"/>
                            </w:rPr>
                          </m:ctrlPr>
                        </m:sSubPr>
                        <m:e>
                          <m:r>
                            <w:rPr>
                              <w:rFonts w:ascii="Cambria Math" w:hAnsi="Cambria Math"/>
                              <w:color w:val="EE0000"/>
                              <w:sz w:val="20"/>
                              <w:szCs w:val="20"/>
                            </w:rPr>
                            <m:t>H</m:t>
                          </m:r>
                        </m:e>
                        <m:sub>
                          <m:r>
                            <w:rPr>
                              <w:rFonts w:ascii="Cambria Math" w:hAnsi="Cambria Math"/>
                              <w:color w:val="EE0000"/>
                              <w:sz w:val="20"/>
                              <w:szCs w:val="20"/>
                            </w:rPr>
                            <m:t>4</m:t>
                          </m:r>
                        </m:sub>
                      </m:sSub>
                    </m:den>
                  </m:f>
                </m:num>
                <m:den>
                  <m:r>
                    <w:rPr>
                      <w:rFonts w:ascii="Cambria Math" w:hAnsi="Cambria Math"/>
                      <w:color w:val="EE0000"/>
                      <w:sz w:val="20"/>
                      <w:szCs w:val="20"/>
                    </w:rPr>
                    <m:t>0.85</m:t>
                  </m:r>
                </m:den>
              </m:f>
              <m:r>
                <w:rPr>
                  <w:rFonts w:ascii="Cambria Math" w:eastAsiaTheme="minorEastAsia" w:hAnsi="Cambria Math"/>
                  <w:color w:val="EE0000"/>
                  <w:sz w:val="20"/>
                  <w:szCs w:val="20"/>
                </w:rPr>
                <m:t>∙</m:t>
              </m:r>
              <m:f>
                <m:fPr>
                  <m:ctrlPr>
                    <w:rPr>
                      <w:rFonts w:ascii="Cambria Math" w:eastAsiaTheme="minorEastAsia" w:hAnsi="Cambria Math"/>
                      <w:i/>
                      <w:color w:val="EE0000"/>
                      <w:sz w:val="20"/>
                      <w:szCs w:val="20"/>
                    </w:rPr>
                  </m:ctrlPr>
                </m:fPr>
                <m:num>
                  <m:r>
                    <w:rPr>
                      <w:rFonts w:ascii="Cambria Math" w:eastAsiaTheme="minorEastAsia" w:hAnsi="Cambria Math"/>
                      <w:color w:val="EE0000"/>
                      <w:sz w:val="20"/>
                      <w:szCs w:val="20"/>
                    </w:rPr>
                    <m:t>44</m:t>
                  </m:r>
                </m:num>
                <m:den>
                  <m:r>
                    <w:rPr>
                      <w:rFonts w:ascii="Cambria Math" w:eastAsiaTheme="minorEastAsia" w:hAnsi="Cambria Math"/>
                      <w:color w:val="EE0000"/>
                      <w:sz w:val="20"/>
                      <w:szCs w:val="20"/>
                    </w:rPr>
                    <m:t>16</m:t>
                  </m:r>
                </m:den>
              </m:f>
              <m:f>
                <m:fPr>
                  <m:ctrlPr>
                    <w:rPr>
                      <w:rFonts w:ascii="Cambria Math" w:eastAsiaTheme="minorEastAsia" w:hAnsi="Cambria Math"/>
                      <w:i/>
                      <w:color w:val="EE0000"/>
                      <w:sz w:val="20"/>
                      <w:szCs w:val="20"/>
                    </w:rPr>
                  </m:ctrlPr>
                </m:fPr>
                <m:num>
                  <m:r>
                    <w:rPr>
                      <w:rFonts w:ascii="Cambria Math" w:eastAsiaTheme="minorEastAsia" w:hAnsi="Cambria Math"/>
                      <w:color w:val="EE0000"/>
                      <w:sz w:val="20"/>
                      <w:szCs w:val="20"/>
                    </w:rPr>
                    <m:t>t C</m:t>
                  </m:r>
                  <m:sSub>
                    <m:sSubPr>
                      <m:ctrlPr>
                        <w:rPr>
                          <w:rFonts w:ascii="Cambria Math" w:eastAsiaTheme="minorEastAsia" w:hAnsi="Cambria Math"/>
                          <w:i/>
                          <w:color w:val="EE0000"/>
                          <w:sz w:val="20"/>
                          <w:szCs w:val="20"/>
                        </w:rPr>
                      </m:ctrlPr>
                    </m:sSubPr>
                    <m:e>
                      <m:r>
                        <w:rPr>
                          <w:rFonts w:ascii="Cambria Math" w:eastAsiaTheme="minorEastAsia" w:hAnsi="Cambria Math"/>
                          <w:color w:val="EE0000"/>
                          <w:sz w:val="20"/>
                          <w:szCs w:val="20"/>
                        </w:rPr>
                        <m:t>O</m:t>
                      </m:r>
                    </m:e>
                    <m:sub>
                      <m:r>
                        <w:rPr>
                          <w:rFonts w:ascii="Cambria Math" w:eastAsiaTheme="minorEastAsia" w:hAnsi="Cambria Math"/>
                          <w:color w:val="EE0000"/>
                          <w:sz w:val="20"/>
                          <w:szCs w:val="20"/>
                        </w:rPr>
                        <m:t>2</m:t>
                      </m:r>
                    </m:sub>
                  </m:sSub>
                </m:num>
                <m:den>
                  <m:r>
                    <w:rPr>
                      <w:rFonts w:ascii="Cambria Math" w:eastAsiaTheme="minorEastAsia" w:hAnsi="Cambria Math"/>
                      <w:color w:val="EE0000"/>
                      <w:sz w:val="20"/>
                      <w:szCs w:val="20"/>
                    </w:rPr>
                    <m:t>t C</m:t>
                  </m:r>
                  <m:sSub>
                    <m:sSubPr>
                      <m:ctrlPr>
                        <w:rPr>
                          <w:rFonts w:ascii="Cambria Math" w:eastAsiaTheme="minorEastAsia" w:hAnsi="Cambria Math"/>
                          <w:i/>
                          <w:color w:val="EE0000"/>
                          <w:sz w:val="20"/>
                          <w:szCs w:val="20"/>
                        </w:rPr>
                      </m:ctrlPr>
                    </m:sSubPr>
                    <m:e>
                      <m:r>
                        <w:rPr>
                          <w:rFonts w:ascii="Cambria Math" w:eastAsiaTheme="minorEastAsia" w:hAnsi="Cambria Math"/>
                          <w:color w:val="EE0000"/>
                          <w:sz w:val="20"/>
                          <w:szCs w:val="20"/>
                        </w:rPr>
                        <m:t>H</m:t>
                      </m:r>
                    </m:e>
                    <m:sub>
                      <m:r>
                        <w:rPr>
                          <w:rFonts w:ascii="Cambria Math" w:eastAsiaTheme="minorEastAsia" w:hAnsi="Cambria Math"/>
                          <w:color w:val="EE0000"/>
                          <w:sz w:val="20"/>
                          <w:szCs w:val="20"/>
                        </w:rPr>
                        <m:t>4</m:t>
                      </m:r>
                    </m:sub>
                  </m:sSub>
                </m:den>
              </m:f>
            </m:den>
          </m:f>
          <m:r>
            <w:rPr>
              <w:rFonts w:ascii="Cambria Math" w:hAnsi="Cambria Math"/>
              <w:color w:val="EE0000"/>
              <w:sz w:val="20"/>
              <w:szCs w:val="20"/>
            </w:rPr>
            <m:t>=</m:t>
          </m:r>
          <m:r>
            <w:rPr>
              <w:rFonts w:ascii="Cambria Math" w:eastAsiaTheme="minorEastAsia" w:hAnsi="Cambria Math"/>
              <w:color w:val="EE0000"/>
              <w:sz w:val="20"/>
              <w:szCs w:val="20"/>
            </w:rPr>
            <m:t>0.09</m:t>
          </m:r>
          <m:f>
            <m:fPr>
              <m:ctrlPr>
                <w:rPr>
                  <w:rFonts w:ascii="Cambria Math" w:eastAsiaTheme="minorEastAsia" w:hAnsi="Cambria Math"/>
                  <w:i/>
                  <w:color w:val="EE0000"/>
                  <w:sz w:val="20"/>
                  <w:szCs w:val="20"/>
                </w:rPr>
              </m:ctrlPr>
            </m:fPr>
            <m:num>
              <m:r>
                <w:rPr>
                  <w:rFonts w:ascii="Cambria Math" w:eastAsiaTheme="minorEastAsia" w:hAnsi="Cambria Math"/>
                  <w:color w:val="EE0000"/>
                  <w:sz w:val="20"/>
                  <w:szCs w:val="20"/>
                </w:rPr>
                <m:t>t C</m:t>
              </m:r>
              <m:sSub>
                <m:sSubPr>
                  <m:ctrlPr>
                    <w:rPr>
                      <w:rFonts w:ascii="Cambria Math" w:eastAsiaTheme="minorEastAsia" w:hAnsi="Cambria Math"/>
                      <w:i/>
                      <w:color w:val="EE0000"/>
                      <w:sz w:val="20"/>
                      <w:szCs w:val="20"/>
                    </w:rPr>
                  </m:ctrlPr>
                </m:sSubPr>
                <m:e>
                  <m:r>
                    <w:rPr>
                      <w:rFonts w:ascii="Cambria Math" w:eastAsiaTheme="minorEastAsia" w:hAnsi="Cambria Math"/>
                      <w:color w:val="EE0000"/>
                      <w:sz w:val="20"/>
                      <w:szCs w:val="20"/>
                    </w:rPr>
                    <m:t>O</m:t>
                  </m:r>
                </m:e>
                <m:sub>
                  <m:r>
                    <w:rPr>
                      <w:rFonts w:ascii="Cambria Math" w:eastAsiaTheme="minorEastAsia" w:hAnsi="Cambria Math"/>
                      <w:color w:val="EE0000"/>
                      <w:sz w:val="20"/>
                      <w:szCs w:val="20"/>
                    </w:rPr>
                    <m:t>2</m:t>
                  </m:r>
                </m:sub>
              </m:sSub>
            </m:num>
            <m:den>
              <m:r>
                <w:rPr>
                  <w:rFonts w:ascii="Cambria Math" w:eastAsiaTheme="minorEastAsia" w:hAnsi="Cambria Math"/>
                  <w:color w:val="EE0000"/>
                  <w:sz w:val="20"/>
                  <w:szCs w:val="20"/>
                </w:rPr>
                <m:t>MWh</m:t>
              </m:r>
            </m:den>
          </m:f>
        </m:oMath>
      </m:oMathPara>
    </w:p>
    <w:p w14:paraId="6043ACDE" w14:textId="77777777" w:rsidR="00D84592" w:rsidRPr="001046D7" w:rsidRDefault="00D84592" w:rsidP="00D84592">
      <w:pPr>
        <w:rPr>
          <w:rFonts w:eastAsiaTheme="minorEastAsia"/>
          <w:color w:val="EE0000"/>
          <w:sz w:val="20"/>
          <w:szCs w:val="20"/>
        </w:rPr>
      </w:pPr>
      <m:oMathPara>
        <m:oMath>
          <m:r>
            <w:rPr>
              <w:rFonts w:ascii="Cambria Math" w:hAnsi="Cambria Math"/>
              <w:color w:val="EE0000"/>
              <w:sz w:val="20"/>
              <w:szCs w:val="20"/>
            </w:rPr>
            <m:t>Abatement Effectiveness=</m:t>
          </m:r>
          <m:f>
            <m:fPr>
              <m:ctrlPr>
                <w:rPr>
                  <w:rFonts w:ascii="Cambria Math" w:hAnsi="Cambria Math"/>
                  <w:i/>
                  <w:color w:val="EE0000"/>
                  <w:sz w:val="20"/>
                  <w:szCs w:val="20"/>
                </w:rPr>
              </m:ctrlPr>
            </m:fPr>
            <m:num>
              <m:f>
                <m:fPr>
                  <m:ctrlPr>
                    <w:rPr>
                      <w:rFonts w:ascii="Cambria Math" w:eastAsiaTheme="minorHAnsi" w:hAnsi="Cambria Math" w:cstheme="minorBidi"/>
                      <w:i/>
                      <w:color w:val="EE0000"/>
                      <w:kern w:val="2"/>
                      <w:sz w:val="20"/>
                      <w:szCs w:val="20"/>
                      <w:lang w:eastAsia="en-US"/>
                      <w14:ligatures w14:val="standardContextual"/>
                    </w:rPr>
                  </m:ctrlPr>
                </m:fPr>
                <m:num>
                  <m:f>
                    <m:fPr>
                      <m:ctrlPr>
                        <w:rPr>
                          <w:rFonts w:ascii="Cambria Math" w:eastAsiaTheme="minorHAnsi" w:hAnsi="Cambria Math" w:cstheme="minorBidi"/>
                          <w:i/>
                          <w:color w:val="EE0000"/>
                          <w:kern w:val="2"/>
                          <w:sz w:val="20"/>
                          <w:szCs w:val="20"/>
                          <w:lang w:eastAsia="en-US"/>
                          <w14:ligatures w14:val="standardContextual"/>
                        </w:rPr>
                      </m:ctrlPr>
                    </m:fPr>
                    <m:num>
                      <m:r>
                        <w:rPr>
                          <w:rFonts w:ascii="Cambria Math" w:hAnsi="Cambria Math"/>
                          <w:color w:val="EE0000"/>
                          <w:sz w:val="20"/>
                          <w:szCs w:val="20"/>
                        </w:rPr>
                        <m:t>∆</m:t>
                      </m:r>
                      <m:sSub>
                        <m:sSubPr>
                          <m:ctrlPr>
                            <w:rPr>
                              <w:rFonts w:ascii="Cambria Math" w:hAnsi="Cambria Math"/>
                              <w:i/>
                              <w:color w:val="EE0000"/>
                              <w:sz w:val="20"/>
                              <w:szCs w:val="20"/>
                            </w:rPr>
                          </m:ctrlPr>
                        </m:sSubPr>
                        <m:e>
                          <m:r>
                            <w:rPr>
                              <w:rFonts w:ascii="Cambria Math" w:hAnsi="Cambria Math"/>
                              <w:color w:val="EE0000"/>
                              <w:sz w:val="20"/>
                              <w:szCs w:val="20"/>
                            </w:rPr>
                            <m:t>H</m:t>
                          </m:r>
                        </m:e>
                        <m:sub>
                          <m:r>
                            <w:rPr>
                              <w:rFonts w:ascii="Cambria Math" w:hAnsi="Cambria Math"/>
                              <w:color w:val="EE0000"/>
                              <w:sz w:val="20"/>
                              <w:szCs w:val="20"/>
                            </w:rPr>
                            <m:t>R</m:t>
                          </m:r>
                        </m:sub>
                      </m:sSub>
                      <m:r>
                        <w:rPr>
                          <w:rFonts w:ascii="Cambria Math" w:hAnsi="Cambria Math"/>
                          <w:color w:val="EE0000"/>
                          <w:sz w:val="20"/>
                          <w:szCs w:val="20"/>
                        </w:rPr>
                        <m:t>(850°C)</m:t>
                      </m:r>
                    </m:num>
                    <m:den>
                      <m:sSub>
                        <m:sSubPr>
                          <m:ctrlPr>
                            <w:rPr>
                              <w:rFonts w:ascii="Cambria Math" w:hAnsi="Cambria Math"/>
                              <w:i/>
                              <w:color w:val="EE0000"/>
                              <w:sz w:val="20"/>
                              <w:szCs w:val="20"/>
                            </w:rPr>
                          </m:ctrlPr>
                        </m:sSubPr>
                        <m:e>
                          <m:r>
                            <w:rPr>
                              <w:rFonts w:ascii="Cambria Math" w:hAnsi="Cambria Math"/>
                              <w:color w:val="EE0000"/>
                              <w:sz w:val="20"/>
                              <w:szCs w:val="20"/>
                            </w:rPr>
                            <m:t>η</m:t>
                          </m:r>
                        </m:e>
                        <m:sub>
                          <m:r>
                            <w:rPr>
                              <w:rFonts w:ascii="Cambria Math" w:hAnsi="Cambria Math"/>
                              <w:color w:val="EE0000"/>
                              <w:sz w:val="20"/>
                              <w:szCs w:val="20"/>
                            </w:rPr>
                            <m:t xml:space="preserve">fired energy, conventinal </m:t>
                          </m:r>
                        </m:sub>
                      </m:sSub>
                    </m:den>
                  </m:f>
                </m:num>
                <m:den>
                  <m:sSub>
                    <m:sSubPr>
                      <m:ctrlPr>
                        <w:rPr>
                          <w:rFonts w:ascii="Cambria Math" w:eastAsiaTheme="minorHAnsi" w:hAnsi="Cambria Math" w:cstheme="minorBidi"/>
                          <w:i/>
                          <w:color w:val="EE0000"/>
                          <w:kern w:val="2"/>
                          <w:sz w:val="20"/>
                          <w:szCs w:val="20"/>
                          <w:lang w:eastAsia="en-US"/>
                          <w14:ligatures w14:val="standardContextual"/>
                        </w:rPr>
                      </m:ctrlPr>
                    </m:sSubPr>
                    <m:e>
                      <m:r>
                        <w:rPr>
                          <w:rFonts w:ascii="Cambria Math" w:hAnsi="Cambria Math"/>
                          <w:color w:val="EE0000"/>
                          <w:sz w:val="20"/>
                          <w:szCs w:val="20"/>
                        </w:rPr>
                        <m:t>LHV</m:t>
                      </m:r>
                    </m:e>
                    <m:sub>
                      <m:r>
                        <w:rPr>
                          <w:rFonts w:ascii="Cambria Math" w:hAnsi="Cambria Math"/>
                          <w:color w:val="EE0000"/>
                          <w:sz w:val="20"/>
                          <w:szCs w:val="20"/>
                        </w:rPr>
                        <m:t>NG</m:t>
                      </m:r>
                    </m:sub>
                  </m:sSub>
                </m:den>
              </m:f>
              <m:r>
                <w:rPr>
                  <w:rFonts w:ascii="Cambria Math" w:hAnsi="Cambria Math"/>
                  <w:color w:val="EE0000"/>
                  <w:sz w:val="20"/>
                  <w:szCs w:val="20"/>
                </w:rPr>
                <m:t>∙</m:t>
              </m:r>
              <m:r>
                <w:rPr>
                  <w:rFonts w:ascii="Cambria Math" w:eastAsiaTheme="minorEastAsia" w:hAnsi="Cambria Math"/>
                  <w:color w:val="EE0000"/>
                  <w:sz w:val="20"/>
                  <w:szCs w:val="20"/>
                </w:rPr>
                <m:t>Emission Factor</m:t>
              </m:r>
            </m:num>
            <m:den>
              <m:r>
                <w:rPr>
                  <w:rFonts w:ascii="Cambria Math" w:hAnsi="Cambria Math"/>
                  <w:color w:val="EE0000"/>
                  <w:sz w:val="20"/>
                  <w:szCs w:val="20"/>
                </w:rPr>
                <m:t>∆</m:t>
              </m:r>
              <m:sSub>
                <m:sSubPr>
                  <m:ctrlPr>
                    <w:rPr>
                      <w:rFonts w:ascii="Cambria Math" w:hAnsi="Cambria Math"/>
                      <w:i/>
                      <w:color w:val="EE0000"/>
                      <w:sz w:val="20"/>
                      <w:szCs w:val="20"/>
                    </w:rPr>
                  </m:ctrlPr>
                </m:sSubPr>
                <m:e>
                  <m:r>
                    <w:rPr>
                      <w:rFonts w:ascii="Cambria Math" w:hAnsi="Cambria Math"/>
                      <w:color w:val="EE0000"/>
                      <w:sz w:val="20"/>
                      <w:szCs w:val="20"/>
                    </w:rPr>
                    <m:t>H</m:t>
                  </m:r>
                </m:e>
                <m:sub>
                  <m:r>
                    <w:rPr>
                      <w:rFonts w:ascii="Cambria Math" w:hAnsi="Cambria Math"/>
                      <w:color w:val="EE0000"/>
                      <w:sz w:val="20"/>
                      <w:szCs w:val="20"/>
                    </w:rPr>
                    <m:t>R</m:t>
                  </m:r>
                </m:sub>
              </m:sSub>
              <m:r>
                <w:rPr>
                  <w:rFonts w:ascii="Cambria Math" w:hAnsi="Cambria Math"/>
                  <w:color w:val="EE0000"/>
                  <w:sz w:val="20"/>
                  <w:szCs w:val="20"/>
                </w:rPr>
                <m:t>(1100°C)</m:t>
              </m:r>
            </m:den>
          </m:f>
          <m:r>
            <w:rPr>
              <w:rFonts w:ascii="Cambria Math" w:hAnsi="Cambria Math"/>
              <w:color w:val="EE0000"/>
              <w:sz w:val="20"/>
              <w:szCs w:val="20"/>
            </w:rPr>
            <m:t>=</m:t>
          </m:r>
          <m:f>
            <m:fPr>
              <m:ctrlPr>
                <w:rPr>
                  <w:rFonts w:ascii="Cambria Math" w:hAnsi="Cambria Math"/>
                  <w:i/>
                  <w:color w:val="EE0000"/>
                  <w:sz w:val="20"/>
                  <w:szCs w:val="20"/>
                </w:rPr>
              </m:ctrlPr>
            </m:fPr>
            <m:num>
              <m:f>
                <m:fPr>
                  <m:ctrlPr>
                    <w:rPr>
                      <w:rFonts w:ascii="Cambria Math" w:eastAsiaTheme="minorHAnsi" w:hAnsi="Cambria Math" w:cstheme="minorBidi"/>
                      <w:i/>
                      <w:color w:val="EE0000"/>
                      <w:kern w:val="2"/>
                      <w:sz w:val="20"/>
                      <w:szCs w:val="20"/>
                      <w:lang w:eastAsia="en-US"/>
                      <w14:ligatures w14:val="standardContextual"/>
                    </w:rPr>
                  </m:ctrlPr>
                </m:fPr>
                <m:num>
                  <m:f>
                    <m:fPr>
                      <m:ctrlPr>
                        <w:rPr>
                          <w:rFonts w:ascii="Cambria Math" w:eastAsiaTheme="minorHAnsi" w:hAnsi="Cambria Math" w:cstheme="minorBidi"/>
                          <w:i/>
                          <w:color w:val="EE0000"/>
                          <w:kern w:val="2"/>
                          <w:sz w:val="20"/>
                          <w:szCs w:val="20"/>
                          <w:lang w:eastAsia="en-US"/>
                          <w14:ligatures w14:val="standardContextual"/>
                        </w:rPr>
                      </m:ctrlPr>
                    </m:fPr>
                    <m:num>
                      <m:r>
                        <w:rPr>
                          <w:rFonts w:ascii="Cambria Math" w:hAnsi="Cambria Math"/>
                          <w:color w:val="EE0000"/>
                          <w:sz w:val="20"/>
                          <w:szCs w:val="20"/>
                        </w:rPr>
                        <m:t>∆</m:t>
                      </m:r>
                      <m:sSub>
                        <m:sSubPr>
                          <m:ctrlPr>
                            <w:rPr>
                              <w:rFonts w:ascii="Cambria Math" w:hAnsi="Cambria Math"/>
                              <w:i/>
                              <w:color w:val="EE0000"/>
                              <w:sz w:val="20"/>
                              <w:szCs w:val="20"/>
                            </w:rPr>
                          </m:ctrlPr>
                        </m:sSubPr>
                        <m:e>
                          <m:r>
                            <w:rPr>
                              <w:rFonts w:ascii="Cambria Math" w:hAnsi="Cambria Math"/>
                              <w:color w:val="EE0000"/>
                              <w:sz w:val="20"/>
                              <w:szCs w:val="20"/>
                            </w:rPr>
                            <m:t>H</m:t>
                          </m:r>
                        </m:e>
                        <m:sub>
                          <m:r>
                            <w:rPr>
                              <w:rFonts w:ascii="Cambria Math" w:hAnsi="Cambria Math"/>
                              <w:color w:val="EE0000"/>
                              <w:sz w:val="20"/>
                              <w:szCs w:val="20"/>
                            </w:rPr>
                            <m:t>R</m:t>
                          </m:r>
                        </m:sub>
                      </m:sSub>
                      <m:r>
                        <w:rPr>
                          <w:rFonts w:ascii="Cambria Math" w:hAnsi="Cambria Math"/>
                          <w:color w:val="EE0000"/>
                          <w:sz w:val="20"/>
                          <w:szCs w:val="20"/>
                        </w:rPr>
                        <m:t>(850°C)</m:t>
                      </m:r>
                    </m:num>
                    <m:den>
                      <m:r>
                        <w:rPr>
                          <w:rFonts w:ascii="Cambria Math" w:hAnsi="Cambria Math"/>
                          <w:color w:val="EE0000"/>
                          <w:sz w:val="20"/>
                          <w:szCs w:val="20"/>
                        </w:rPr>
                        <m:t>0.85</m:t>
                      </m:r>
                    </m:den>
                  </m:f>
                </m:num>
                <m:den>
                  <m:r>
                    <w:rPr>
                      <w:rFonts w:ascii="Cambria Math" w:hAnsi="Cambria Math"/>
                      <w:color w:val="EE0000"/>
                      <w:sz w:val="20"/>
                      <w:szCs w:val="20"/>
                    </w:rPr>
                    <m:t>37</m:t>
                  </m:r>
                  <m:f>
                    <m:fPr>
                      <m:ctrlPr>
                        <w:rPr>
                          <w:rFonts w:ascii="Cambria Math" w:eastAsiaTheme="minorHAnsi" w:hAnsi="Cambria Math" w:cstheme="minorBidi"/>
                          <w:i/>
                          <w:color w:val="EE0000"/>
                          <w:kern w:val="2"/>
                          <w:sz w:val="20"/>
                          <w:szCs w:val="20"/>
                          <w:lang w:eastAsia="en-US"/>
                          <w14:ligatures w14:val="standardContextual"/>
                        </w:rPr>
                      </m:ctrlPr>
                    </m:fPr>
                    <m:num>
                      <m:r>
                        <w:rPr>
                          <w:rFonts w:ascii="Cambria Math" w:hAnsi="Cambria Math"/>
                          <w:color w:val="EE0000"/>
                          <w:sz w:val="20"/>
                          <w:szCs w:val="20"/>
                        </w:rPr>
                        <m:t>MJ</m:t>
                      </m:r>
                    </m:num>
                    <m:den>
                      <m:sSup>
                        <m:sSupPr>
                          <m:ctrlPr>
                            <w:rPr>
                              <w:rFonts w:ascii="Cambria Math" w:eastAsiaTheme="minorHAnsi" w:hAnsi="Cambria Math" w:cstheme="minorBidi"/>
                              <w:i/>
                              <w:color w:val="EE0000"/>
                              <w:kern w:val="2"/>
                              <w:sz w:val="20"/>
                              <w:szCs w:val="20"/>
                              <w:lang w:eastAsia="en-US"/>
                              <w14:ligatures w14:val="standardContextual"/>
                            </w:rPr>
                          </m:ctrlPr>
                        </m:sSupPr>
                        <m:e>
                          <m:r>
                            <w:rPr>
                              <w:rFonts w:ascii="Cambria Math" w:hAnsi="Cambria Math"/>
                              <w:color w:val="EE0000"/>
                              <w:sz w:val="20"/>
                              <w:szCs w:val="20"/>
                            </w:rPr>
                            <m:t>m</m:t>
                          </m:r>
                        </m:e>
                        <m:sup>
                          <m:r>
                            <w:rPr>
                              <w:rFonts w:ascii="Cambria Math" w:hAnsi="Cambria Math"/>
                              <w:color w:val="EE0000"/>
                              <w:sz w:val="20"/>
                              <w:szCs w:val="20"/>
                            </w:rPr>
                            <m:t>3</m:t>
                          </m:r>
                        </m:sup>
                      </m:sSup>
                      <m:r>
                        <w:rPr>
                          <w:rFonts w:ascii="Cambria Math" w:hAnsi="Cambria Math"/>
                          <w:color w:val="EE0000"/>
                          <w:sz w:val="20"/>
                          <w:szCs w:val="20"/>
                        </w:rPr>
                        <m:t xml:space="preserve"> NG</m:t>
                      </m:r>
                    </m:den>
                  </m:f>
                  <m:r>
                    <w:rPr>
                      <w:rFonts w:ascii="Cambria Math" w:hAnsi="Cambria Math"/>
                      <w:color w:val="EE0000"/>
                      <w:sz w:val="20"/>
                      <w:szCs w:val="20"/>
                    </w:rPr>
                    <m:t>∙</m:t>
                  </m:r>
                  <m:f>
                    <m:fPr>
                      <m:ctrlPr>
                        <w:rPr>
                          <w:rFonts w:ascii="Cambria Math" w:eastAsiaTheme="minorHAnsi" w:hAnsi="Cambria Math" w:cstheme="minorBidi"/>
                          <w:i/>
                          <w:color w:val="EE0000"/>
                          <w:kern w:val="2"/>
                          <w:sz w:val="20"/>
                          <w:szCs w:val="20"/>
                          <w:lang w:eastAsia="en-US"/>
                          <w14:ligatures w14:val="standardContextual"/>
                        </w:rPr>
                      </m:ctrlPr>
                    </m:fPr>
                    <m:num>
                      <m:r>
                        <w:rPr>
                          <w:rFonts w:ascii="Cambria Math" w:hAnsi="Cambria Math"/>
                          <w:color w:val="EE0000"/>
                          <w:sz w:val="20"/>
                          <w:szCs w:val="20"/>
                        </w:rPr>
                        <m:t>0.2778∙</m:t>
                      </m:r>
                      <m:sSup>
                        <m:sSupPr>
                          <m:ctrlPr>
                            <w:rPr>
                              <w:rFonts w:ascii="Cambria Math" w:eastAsiaTheme="minorHAnsi" w:hAnsi="Cambria Math" w:cstheme="minorBidi"/>
                              <w:i/>
                              <w:color w:val="EE0000"/>
                              <w:kern w:val="2"/>
                              <w:sz w:val="20"/>
                              <w:szCs w:val="20"/>
                              <w:lang w:eastAsia="en-US"/>
                              <w14:ligatures w14:val="standardContextual"/>
                            </w:rPr>
                          </m:ctrlPr>
                        </m:sSupPr>
                        <m:e>
                          <m:r>
                            <w:rPr>
                              <w:rFonts w:ascii="Cambria Math" w:hAnsi="Cambria Math"/>
                              <w:color w:val="EE0000"/>
                              <w:sz w:val="20"/>
                              <w:szCs w:val="20"/>
                            </w:rPr>
                            <m:t>10</m:t>
                          </m:r>
                        </m:e>
                        <m:sup>
                          <m:r>
                            <w:rPr>
                              <w:rFonts w:ascii="Cambria Math" w:hAnsi="Cambria Math"/>
                              <w:color w:val="EE0000"/>
                              <w:sz w:val="20"/>
                              <w:szCs w:val="20"/>
                            </w:rPr>
                            <m:t>-3</m:t>
                          </m:r>
                        </m:sup>
                      </m:sSup>
                      <m:f>
                        <m:fPr>
                          <m:ctrlPr>
                            <w:rPr>
                              <w:rFonts w:ascii="Cambria Math" w:eastAsiaTheme="minorHAnsi" w:hAnsi="Cambria Math" w:cstheme="minorBidi"/>
                              <w:i/>
                              <w:color w:val="EE0000"/>
                              <w:kern w:val="2"/>
                              <w:sz w:val="20"/>
                              <w:szCs w:val="20"/>
                              <w:lang w:eastAsia="en-US"/>
                              <w14:ligatures w14:val="standardContextual"/>
                            </w:rPr>
                          </m:ctrlPr>
                        </m:fPr>
                        <m:num>
                          <m:r>
                            <w:rPr>
                              <w:rFonts w:ascii="Cambria Math" w:hAnsi="Cambria Math"/>
                              <w:color w:val="EE0000"/>
                              <w:sz w:val="20"/>
                              <w:szCs w:val="20"/>
                            </w:rPr>
                            <m:t>MWh</m:t>
                          </m:r>
                        </m:num>
                        <m:den>
                          <m:r>
                            <w:rPr>
                              <w:rFonts w:ascii="Cambria Math" w:hAnsi="Cambria Math"/>
                              <w:color w:val="EE0000"/>
                              <w:sz w:val="20"/>
                              <w:szCs w:val="20"/>
                            </w:rPr>
                            <m:t>MJ</m:t>
                          </m:r>
                        </m:den>
                      </m:f>
                    </m:num>
                    <m:den>
                      <m:r>
                        <w:rPr>
                          <w:rFonts w:ascii="Cambria Math" w:hAnsi="Cambria Math"/>
                          <w:color w:val="EE0000"/>
                          <w:sz w:val="20"/>
                          <w:szCs w:val="20"/>
                        </w:rPr>
                        <m:t>0.79∙</m:t>
                      </m:r>
                      <m:sSup>
                        <m:sSupPr>
                          <m:ctrlPr>
                            <w:rPr>
                              <w:rFonts w:ascii="Cambria Math" w:eastAsiaTheme="minorHAnsi" w:hAnsi="Cambria Math" w:cstheme="minorBidi"/>
                              <w:i/>
                              <w:color w:val="EE0000"/>
                              <w:kern w:val="2"/>
                              <w:sz w:val="20"/>
                              <w:szCs w:val="20"/>
                              <w:lang w:eastAsia="en-US"/>
                              <w14:ligatures w14:val="standardContextual"/>
                            </w:rPr>
                          </m:ctrlPr>
                        </m:sSupPr>
                        <m:e>
                          <m:r>
                            <w:rPr>
                              <w:rFonts w:ascii="Cambria Math" w:hAnsi="Cambria Math"/>
                              <w:color w:val="EE0000"/>
                              <w:sz w:val="20"/>
                              <w:szCs w:val="20"/>
                            </w:rPr>
                            <m:t>10</m:t>
                          </m:r>
                        </m:e>
                        <m:sup>
                          <m:r>
                            <w:rPr>
                              <w:rFonts w:ascii="Cambria Math" w:hAnsi="Cambria Math"/>
                              <w:color w:val="EE0000"/>
                              <w:sz w:val="20"/>
                              <w:szCs w:val="20"/>
                            </w:rPr>
                            <m:t>-3</m:t>
                          </m:r>
                        </m:sup>
                      </m:sSup>
                      <m:f>
                        <m:fPr>
                          <m:ctrlPr>
                            <w:rPr>
                              <w:rFonts w:ascii="Cambria Math" w:eastAsiaTheme="minorHAnsi" w:hAnsi="Cambria Math" w:cstheme="minorBidi"/>
                              <w:i/>
                              <w:color w:val="EE0000"/>
                              <w:kern w:val="2"/>
                              <w:sz w:val="20"/>
                              <w:szCs w:val="20"/>
                              <w:lang w:eastAsia="en-US"/>
                              <w14:ligatures w14:val="standardContextual"/>
                            </w:rPr>
                          </m:ctrlPr>
                        </m:fPr>
                        <m:num>
                          <m:r>
                            <w:rPr>
                              <w:rFonts w:ascii="Cambria Math" w:hAnsi="Cambria Math"/>
                              <w:color w:val="EE0000"/>
                              <w:sz w:val="20"/>
                              <w:szCs w:val="20"/>
                            </w:rPr>
                            <m:t>t NG</m:t>
                          </m:r>
                        </m:num>
                        <m:den>
                          <m:sSup>
                            <m:sSupPr>
                              <m:ctrlPr>
                                <w:rPr>
                                  <w:rFonts w:ascii="Cambria Math" w:eastAsiaTheme="minorHAnsi" w:hAnsi="Cambria Math" w:cstheme="minorBidi"/>
                                  <w:i/>
                                  <w:color w:val="EE0000"/>
                                  <w:kern w:val="2"/>
                                  <w:sz w:val="20"/>
                                  <w:szCs w:val="20"/>
                                  <w:lang w:eastAsia="en-US"/>
                                  <w14:ligatures w14:val="standardContextual"/>
                                </w:rPr>
                              </m:ctrlPr>
                            </m:sSupPr>
                            <m:e>
                              <m:r>
                                <w:rPr>
                                  <w:rFonts w:ascii="Cambria Math" w:hAnsi="Cambria Math"/>
                                  <w:color w:val="EE0000"/>
                                  <w:sz w:val="20"/>
                                  <w:szCs w:val="20"/>
                                </w:rPr>
                                <m:t>m</m:t>
                              </m:r>
                            </m:e>
                            <m:sup>
                              <m:r>
                                <w:rPr>
                                  <w:rFonts w:ascii="Cambria Math" w:hAnsi="Cambria Math"/>
                                  <w:color w:val="EE0000"/>
                                  <w:sz w:val="20"/>
                                  <w:szCs w:val="20"/>
                                </w:rPr>
                                <m:t>3</m:t>
                              </m:r>
                            </m:sup>
                          </m:sSup>
                          <m:r>
                            <w:rPr>
                              <w:rFonts w:ascii="Cambria Math" w:hAnsi="Cambria Math"/>
                              <w:color w:val="EE0000"/>
                              <w:sz w:val="20"/>
                              <w:szCs w:val="20"/>
                            </w:rPr>
                            <m:t xml:space="preserve"> NG</m:t>
                          </m:r>
                        </m:den>
                      </m:f>
                    </m:den>
                  </m:f>
                </m:den>
              </m:f>
              <m:r>
                <w:rPr>
                  <w:rFonts w:ascii="Cambria Math" w:hAnsi="Cambria Math"/>
                  <w:color w:val="EE0000"/>
                  <w:sz w:val="20"/>
                  <w:szCs w:val="20"/>
                </w:rPr>
                <m:t>∙</m:t>
              </m:r>
              <m:r>
                <w:rPr>
                  <w:rFonts w:ascii="Cambria Math" w:eastAsiaTheme="minorEastAsia" w:hAnsi="Cambria Math"/>
                  <w:color w:val="EE0000"/>
                  <w:sz w:val="20"/>
                  <w:szCs w:val="20"/>
                </w:rPr>
                <m:t>57</m:t>
              </m:r>
              <m:f>
                <m:fPr>
                  <m:ctrlPr>
                    <w:rPr>
                      <w:rFonts w:ascii="Cambria Math" w:eastAsiaTheme="minorEastAsia" w:hAnsi="Cambria Math"/>
                      <w:i/>
                      <w:color w:val="EE0000"/>
                      <w:sz w:val="20"/>
                      <w:szCs w:val="20"/>
                    </w:rPr>
                  </m:ctrlPr>
                </m:fPr>
                <m:num>
                  <m:r>
                    <w:rPr>
                      <w:rFonts w:ascii="Cambria Math" w:eastAsiaTheme="minorEastAsia" w:hAnsi="Cambria Math"/>
                      <w:color w:val="EE0000"/>
                      <w:sz w:val="20"/>
                      <w:szCs w:val="20"/>
                    </w:rPr>
                    <m:t>t C</m:t>
                  </m:r>
                  <m:sSub>
                    <m:sSubPr>
                      <m:ctrlPr>
                        <w:rPr>
                          <w:rFonts w:ascii="Cambria Math" w:eastAsiaTheme="minorEastAsia" w:hAnsi="Cambria Math"/>
                          <w:i/>
                          <w:color w:val="EE0000"/>
                          <w:sz w:val="20"/>
                          <w:szCs w:val="20"/>
                        </w:rPr>
                      </m:ctrlPr>
                    </m:sSubPr>
                    <m:e>
                      <m:r>
                        <w:rPr>
                          <w:rFonts w:ascii="Cambria Math" w:eastAsiaTheme="minorEastAsia" w:hAnsi="Cambria Math"/>
                          <w:color w:val="EE0000"/>
                          <w:sz w:val="20"/>
                          <w:szCs w:val="20"/>
                        </w:rPr>
                        <m:t>O</m:t>
                      </m:r>
                    </m:e>
                    <m:sub>
                      <m:r>
                        <w:rPr>
                          <w:rFonts w:ascii="Cambria Math" w:eastAsiaTheme="minorEastAsia" w:hAnsi="Cambria Math"/>
                          <w:color w:val="EE0000"/>
                          <w:sz w:val="20"/>
                          <w:szCs w:val="20"/>
                        </w:rPr>
                        <m:t>2</m:t>
                      </m:r>
                    </m:sub>
                  </m:sSub>
                </m:num>
                <m:den>
                  <m:r>
                    <w:rPr>
                      <w:rFonts w:ascii="Cambria Math" w:eastAsiaTheme="minorEastAsia" w:hAnsi="Cambria Math"/>
                      <w:color w:val="EE0000"/>
                      <w:sz w:val="20"/>
                      <w:szCs w:val="20"/>
                    </w:rPr>
                    <m:t>TJ</m:t>
                  </m:r>
                </m:den>
              </m:f>
              <m:r>
                <w:rPr>
                  <w:rFonts w:ascii="Cambria Math" w:eastAsiaTheme="minorEastAsia" w:hAnsi="Cambria Math"/>
                  <w:color w:val="EE0000"/>
                  <w:sz w:val="20"/>
                  <w:szCs w:val="20"/>
                </w:rPr>
                <m:t>∙</m:t>
              </m:r>
              <m:f>
                <m:fPr>
                  <m:ctrlPr>
                    <w:rPr>
                      <w:rFonts w:ascii="Cambria Math" w:eastAsiaTheme="minorHAnsi" w:hAnsi="Cambria Math" w:cstheme="minorBidi"/>
                      <w:i/>
                      <w:color w:val="EE0000"/>
                      <w:kern w:val="2"/>
                      <w:sz w:val="20"/>
                      <w:szCs w:val="20"/>
                      <w:lang w:eastAsia="en-US"/>
                      <w14:ligatures w14:val="standardContextual"/>
                    </w:rPr>
                  </m:ctrlPr>
                </m:fPr>
                <m:num>
                  <m:sSup>
                    <m:sSupPr>
                      <m:ctrlPr>
                        <w:rPr>
                          <w:rFonts w:ascii="Cambria Math" w:eastAsiaTheme="minorHAnsi" w:hAnsi="Cambria Math" w:cstheme="minorBidi"/>
                          <w:i/>
                          <w:color w:val="EE0000"/>
                          <w:kern w:val="2"/>
                          <w:sz w:val="20"/>
                          <w:szCs w:val="20"/>
                          <w:lang w:eastAsia="en-US"/>
                          <w14:ligatures w14:val="standardContextual"/>
                        </w:rPr>
                      </m:ctrlPr>
                    </m:sSupPr>
                    <m:e>
                      <m:r>
                        <w:rPr>
                          <w:rFonts w:ascii="Cambria Math" w:hAnsi="Cambria Math"/>
                          <w:color w:val="EE0000"/>
                          <w:sz w:val="20"/>
                          <w:szCs w:val="20"/>
                        </w:rPr>
                        <m:t>10</m:t>
                      </m:r>
                    </m:e>
                    <m:sup>
                      <m:r>
                        <w:rPr>
                          <w:rFonts w:ascii="Cambria Math" w:hAnsi="Cambria Math"/>
                          <w:color w:val="EE0000"/>
                          <w:sz w:val="20"/>
                          <w:szCs w:val="20"/>
                        </w:rPr>
                        <m:t>-6</m:t>
                      </m:r>
                    </m:sup>
                  </m:sSup>
                  <m:f>
                    <m:fPr>
                      <m:ctrlPr>
                        <w:rPr>
                          <w:rFonts w:ascii="Cambria Math" w:eastAsiaTheme="minorEastAsia" w:hAnsi="Cambria Math" w:cstheme="minorBidi"/>
                          <w:i/>
                          <w:color w:val="EE0000"/>
                          <w:kern w:val="2"/>
                          <w:sz w:val="20"/>
                          <w:szCs w:val="20"/>
                          <w:lang w:eastAsia="en-US"/>
                          <w14:ligatures w14:val="standardContextual"/>
                        </w:rPr>
                      </m:ctrlPr>
                    </m:fPr>
                    <m:num>
                      <m:r>
                        <w:rPr>
                          <w:rFonts w:ascii="Cambria Math" w:eastAsiaTheme="minorEastAsia" w:hAnsi="Cambria Math"/>
                          <w:color w:val="EE0000"/>
                          <w:sz w:val="20"/>
                          <w:szCs w:val="20"/>
                        </w:rPr>
                        <m:t>TJ</m:t>
                      </m:r>
                    </m:num>
                    <m:den>
                      <m:r>
                        <w:rPr>
                          <w:rFonts w:ascii="Cambria Math" w:eastAsiaTheme="minorEastAsia" w:hAnsi="Cambria Math"/>
                          <w:color w:val="EE0000"/>
                          <w:sz w:val="20"/>
                          <w:szCs w:val="20"/>
                        </w:rPr>
                        <m:t>MJ</m:t>
                      </m:r>
                    </m:den>
                  </m:f>
                  <m:r>
                    <w:rPr>
                      <w:rFonts w:ascii="Cambria Math" w:eastAsiaTheme="minorEastAsia" w:hAnsi="Cambria Math"/>
                      <w:color w:val="EE0000"/>
                      <w:sz w:val="20"/>
                      <w:szCs w:val="20"/>
                    </w:rPr>
                    <m:t>∙</m:t>
                  </m:r>
                  <m:r>
                    <w:rPr>
                      <w:rFonts w:ascii="Cambria Math" w:hAnsi="Cambria Math"/>
                      <w:color w:val="EE0000"/>
                      <w:sz w:val="20"/>
                      <w:szCs w:val="20"/>
                    </w:rPr>
                    <m:t>37</m:t>
                  </m:r>
                  <m:f>
                    <m:fPr>
                      <m:ctrlPr>
                        <w:rPr>
                          <w:rFonts w:ascii="Cambria Math" w:eastAsiaTheme="minorHAnsi" w:hAnsi="Cambria Math" w:cstheme="minorBidi"/>
                          <w:i/>
                          <w:color w:val="EE0000"/>
                          <w:kern w:val="2"/>
                          <w:sz w:val="20"/>
                          <w:szCs w:val="20"/>
                          <w:lang w:eastAsia="en-US"/>
                          <w14:ligatures w14:val="standardContextual"/>
                        </w:rPr>
                      </m:ctrlPr>
                    </m:fPr>
                    <m:num>
                      <m:r>
                        <w:rPr>
                          <w:rFonts w:ascii="Cambria Math" w:hAnsi="Cambria Math"/>
                          <w:color w:val="EE0000"/>
                          <w:sz w:val="20"/>
                          <w:szCs w:val="20"/>
                        </w:rPr>
                        <m:t>MJ</m:t>
                      </m:r>
                    </m:num>
                    <m:den>
                      <m:sSup>
                        <m:sSupPr>
                          <m:ctrlPr>
                            <w:rPr>
                              <w:rFonts w:ascii="Cambria Math" w:eastAsiaTheme="minorHAnsi" w:hAnsi="Cambria Math" w:cstheme="minorBidi"/>
                              <w:i/>
                              <w:color w:val="EE0000"/>
                              <w:kern w:val="2"/>
                              <w:sz w:val="20"/>
                              <w:szCs w:val="20"/>
                              <w:lang w:eastAsia="en-US"/>
                              <w14:ligatures w14:val="standardContextual"/>
                            </w:rPr>
                          </m:ctrlPr>
                        </m:sSupPr>
                        <m:e>
                          <m:r>
                            <w:rPr>
                              <w:rFonts w:ascii="Cambria Math" w:hAnsi="Cambria Math"/>
                              <w:color w:val="EE0000"/>
                              <w:sz w:val="20"/>
                              <w:szCs w:val="20"/>
                            </w:rPr>
                            <m:t>m</m:t>
                          </m:r>
                        </m:e>
                        <m:sup>
                          <m:r>
                            <w:rPr>
                              <w:rFonts w:ascii="Cambria Math" w:hAnsi="Cambria Math"/>
                              <w:color w:val="EE0000"/>
                              <w:sz w:val="20"/>
                              <w:szCs w:val="20"/>
                            </w:rPr>
                            <m:t>3</m:t>
                          </m:r>
                        </m:sup>
                      </m:sSup>
                      <m:r>
                        <w:rPr>
                          <w:rFonts w:ascii="Cambria Math" w:hAnsi="Cambria Math"/>
                          <w:color w:val="EE0000"/>
                          <w:sz w:val="20"/>
                          <w:szCs w:val="20"/>
                        </w:rPr>
                        <m:t xml:space="preserve"> NG</m:t>
                      </m:r>
                    </m:den>
                  </m:f>
                </m:num>
                <m:den>
                  <m:r>
                    <w:rPr>
                      <w:rFonts w:ascii="Cambria Math" w:hAnsi="Cambria Math"/>
                      <w:color w:val="EE0000"/>
                      <w:sz w:val="20"/>
                      <w:szCs w:val="20"/>
                    </w:rPr>
                    <m:t>0.79∙</m:t>
                  </m:r>
                  <m:sSup>
                    <m:sSupPr>
                      <m:ctrlPr>
                        <w:rPr>
                          <w:rFonts w:ascii="Cambria Math" w:eastAsiaTheme="minorHAnsi" w:hAnsi="Cambria Math" w:cstheme="minorBidi"/>
                          <w:i/>
                          <w:color w:val="EE0000"/>
                          <w:kern w:val="2"/>
                          <w:sz w:val="20"/>
                          <w:szCs w:val="20"/>
                          <w:lang w:eastAsia="en-US"/>
                          <w14:ligatures w14:val="standardContextual"/>
                        </w:rPr>
                      </m:ctrlPr>
                    </m:sSupPr>
                    <m:e>
                      <m:r>
                        <w:rPr>
                          <w:rFonts w:ascii="Cambria Math" w:hAnsi="Cambria Math"/>
                          <w:color w:val="EE0000"/>
                          <w:sz w:val="20"/>
                          <w:szCs w:val="20"/>
                        </w:rPr>
                        <m:t>10</m:t>
                      </m:r>
                    </m:e>
                    <m:sup>
                      <m:r>
                        <w:rPr>
                          <w:rFonts w:ascii="Cambria Math" w:hAnsi="Cambria Math"/>
                          <w:color w:val="EE0000"/>
                          <w:sz w:val="20"/>
                          <w:szCs w:val="20"/>
                        </w:rPr>
                        <m:t>-3</m:t>
                      </m:r>
                    </m:sup>
                  </m:sSup>
                  <m:f>
                    <m:fPr>
                      <m:ctrlPr>
                        <w:rPr>
                          <w:rFonts w:ascii="Cambria Math" w:eastAsiaTheme="minorHAnsi" w:hAnsi="Cambria Math" w:cstheme="minorBidi"/>
                          <w:i/>
                          <w:color w:val="EE0000"/>
                          <w:kern w:val="2"/>
                          <w:sz w:val="20"/>
                          <w:szCs w:val="20"/>
                          <w:lang w:eastAsia="en-US"/>
                          <w14:ligatures w14:val="standardContextual"/>
                        </w:rPr>
                      </m:ctrlPr>
                    </m:fPr>
                    <m:num>
                      <m:r>
                        <w:rPr>
                          <w:rFonts w:ascii="Cambria Math" w:hAnsi="Cambria Math"/>
                          <w:color w:val="EE0000"/>
                          <w:sz w:val="20"/>
                          <w:szCs w:val="20"/>
                        </w:rPr>
                        <m:t>t NG</m:t>
                      </m:r>
                    </m:num>
                    <m:den>
                      <m:sSup>
                        <m:sSupPr>
                          <m:ctrlPr>
                            <w:rPr>
                              <w:rFonts w:ascii="Cambria Math" w:eastAsiaTheme="minorHAnsi" w:hAnsi="Cambria Math" w:cstheme="minorBidi"/>
                              <w:i/>
                              <w:color w:val="EE0000"/>
                              <w:kern w:val="2"/>
                              <w:sz w:val="20"/>
                              <w:szCs w:val="20"/>
                              <w:lang w:eastAsia="en-US"/>
                              <w14:ligatures w14:val="standardContextual"/>
                            </w:rPr>
                          </m:ctrlPr>
                        </m:sSupPr>
                        <m:e>
                          <m:r>
                            <w:rPr>
                              <w:rFonts w:ascii="Cambria Math" w:hAnsi="Cambria Math"/>
                              <w:color w:val="EE0000"/>
                              <w:sz w:val="20"/>
                              <w:szCs w:val="20"/>
                            </w:rPr>
                            <m:t>m</m:t>
                          </m:r>
                        </m:e>
                        <m:sup>
                          <m:r>
                            <w:rPr>
                              <w:rFonts w:ascii="Cambria Math" w:hAnsi="Cambria Math"/>
                              <w:color w:val="EE0000"/>
                              <w:sz w:val="20"/>
                              <w:szCs w:val="20"/>
                            </w:rPr>
                            <m:t>3</m:t>
                          </m:r>
                        </m:sup>
                      </m:sSup>
                      <m:r>
                        <w:rPr>
                          <w:rFonts w:ascii="Cambria Math" w:hAnsi="Cambria Math"/>
                          <w:color w:val="EE0000"/>
                          <w:sz w:val="20"/>
                          <w:szCs w:val="20"/>
                        </w:rPr>
                        <m:t xml:space="preserve"> NG</m:t>
                      </m:r>
                    </m:den>
                  </m:f>
                </m:den>
              </m:f>
            </m:num>
            <m:den>
              <m:r>
                <w:rPr>
                  <w:rFonts w:ascii="Cambria Math" w:hAnsi="Cambria Math"/>
                  <w:color w:val="EE0000"/>
                  <w:sz w:val="20"/>
                  <w:szCs w:val="20"/>
                </w:rPr>
                <m:t>∆</m:t>
              </m:r>
              <m:sSub>
                <m:sSubPr>
                  <m:ctrlPr>
                    <w:rPr>
                      <w:rFonts w:ascii="Cambria Math" w:hAnsi="Cambria Math"/>
                      <w:i/>
                      <w:color w:val="EE0000"/>
                      <w:sz w:val="20"/>
                      <w:szCs w:val="20"/>
                    </w:rPr>
                  </m:ctrlPr>
                </m:sSubPr>
                <m:e>
                  <m:r>
                    <w:rPr>
                      <w:rFonts w:ascii="Cambria Math" w:hAnsi="Cambria Math"/>
                      <w:color w:val="EE0000"/>
                      <w:sz w:val="20"/>
                      <w:szCs w:val="20"/>
                    </w:rPr>
                    <m:t>H</m:t>
                  </m:r>
                </m:e>
                <m:sub>
                  <m:r>
                    <w:rPr>
                      <w:rFonts w:ascii="Cambria Math" w:hAnsi="Cambria Math"/>
                      <w:color w:val="EE0000"/>
                      <w:sz w:val="20"/>
                      <w:szCs w:val="20"/>
                    </w:rPr>
                    <m:t>R</m:t>
                  </m:r>
                </m:sub>
              </m:sSub>
              <m:r>
                <w:rPr>
                  <w:rFonts w:ascii="Cambria Math" w:hAnsi="Cambria Math"/>
                  <w:color w:val="EE0000"/>
                  <w:sz w:val="20"/>
                  <w:szCs w:val="20"/>
                </w:rPr>
                <m:t>(1100°C)</m:t>
              </m:r>
            </m:den>
          </m:f>
          <m:r>
            <w:rPr>
              <w:rFonts w:ascii="Cambria Math" w:hAnsi="Cambria Math"/>
              <w:color w:val="EE0000"/>
              <w:sz w:val="20"/>
              <w:szCs w:val="20"/>
            </w:rPr>
            <m:t>=</m:t>
          </m:r>
          <m:f>
            <m:fPr>
              <m:ctrlPr>
                <w:rPr>
                  <w:rFonts w:ascii="Cambria Math" w:hAnsi="Cambria Math"/>
                  <w:i/>
                  <w:color w:val="EE0000"/>
                  <w:sz w:val="20"/>
                  <w:szCs w:val="20"/>
                </w:rPr>
              </m:ctrlPr>
            </m:fPr>
            <m:num>
              <m:f>
                <m:fPr>
                  <m:ctrlPr>
                    <w:rPr>
                      <w:rFonts w:ascii="Cambria Math" w:eastAsiaTheme="minorHAnsi" w:hAnsi="Cambria Math" w:cstheme="minorBidi"/>
                      <w:i/>
                      <w:color w:val="EE0000"/>
                      <w:kern w:val="2"/>
                      <w:sz w:val="20"/>
                      <w:szCs w:val="20"/>
                      <w:lang w:eastAsia="en-US"/>
                      <w14:ligatures w14:val="standardContextual"/>
                    </w:rPr>
                  </m:ctrlPr>
                </m:fPr>
                <m:num>
                  <m:f>
                    <m:fPr>
                      <m:ctrlPr>
                        <w:rPr>
                          <w:rFonts w:ascii="Cambria Math" w:eastAsiaTheme="minorHAnsi" w:hAnsi="Cambria Math" w:cstheme="minorBidi"/>
                          <w:i/>
                          <w:color w:val="EE0000"/>
                          <w:kern w:val="2"/>
                          <w:sz w:val="20"/>
                          <w:szCs w:val="20"/>
                          <w:lang w:eastAsia="en-US"/>
                          <w14:ligatures w14:val="standardContextual"/>
                        </w:rPr>
                      </m:ctrlPr>
                    </m:fPr>
                    <m:num>
                      <m:r>
                        <w:rPr>
                          <w:rFonts w:ascii="Cambria Math" w:hAnsi="Cambria Math"/>
                          <w:sz w:val="20"/>
                          <w:szCs w:val="20"/>
                        </w:rPr>
                        <m:t>215.1</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kJ</m:t>
                          </m:r>
                        </m:num>
                        <m:den>
                          <m:r>
                            <w:rPr>
                              <w:rFonts w:ascii="Cambria Math" w:hAnsi="Cambria Math"/>
                              <w:sz w:val="20"/>
                              <w:szCs w:val="20"/>
                            </w:rPr>
                            <m:t>mol C</m:t>
                          </m:r>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H</m:t>
                              </m:r>
                            </m:e>
                            <m:sub>
                              <m:r>
                                <w:rPr>
                                  <w:rFonts w:ascii="Cambria Math" w:hAnsi="Cambria Math"/>
                                  <w:sz w:val="20"/>
                                  <w:szCs w:val="20"/>
                                </w:rPr>
                                <m:t>4 reacted</m:t>
                              </m:r>
                            </m:sub>
                          </m:sSub>
                        </m:den>
                      </m:f>
                    </m:num>
                    <m:den>
                      <m:r>
                        <w:rPr>
                          <w:rFonts w:ascii="Cambria Math" w:hAnsi="Cambria Math"/>
                          <w:color w:val="EE0000"/>
                          <w:sz w:val="20"/>
                          <w:szCs w:val="20"/>
                        </w:rPr>
                        <m:t>0.85</m:t>
                      </m:r>
                    </m:den>
                  </m:f>
                </m:num>
                <m:den>
                  <m:r>
                    <w:rPr>
                      <w:rFonts w:ascii="Cambria Math" w:hAnsi="Cambria Math"/>
                      <w:color w:val="EE0000"/>
                      <w:sz w:val="20"/>
                      <w:szCs w:val="20"/>
                    </w:rPr>
                    <m:t xml:space="preserve">13.01 </m:t>
                  </m:r>
                  <m:f>
                    <m:fPr>
                      <m:ctrlPr>
                        <w:rPr>
                          <w:rFonts w:ascii="Cambria Math" w:eastAsiaTheme="minorHAnsi" w:hAnsi="Cambria Math" w:cstheme="minorBidi"/>
                          <w:i/>
                          <w:color w:val="EE0000"/>
                          <w:kern w:val="2"/>
                          <w:sz w:val="20"/>
                          <w:szCs w:val="20"/>
                          <w:lang w:eastAsia="en-US"/>
                          <w14:ligatures w14:val="standardContextual"/>
                        </w:rPr>
                      </m:ctrlPr>
                    </m:fPr>
                    <m:num>
                      <m:r>
                        <w:rPr>
                          <w:rFonts w:ascii="Cambria Math" w:hAnsi="Cambria Math"/>
                          <w:color w:val="EE0000"/>
                          <w:sz w:val="20"/>
                          <w:szCs w:val="20"/>
                        </w:rPr>
                        <m:t>MWh</m:t>
                      </m:r>
                    </m:num>
                    <m:den>
                      <m:r>
                        <w:rPr>
                          <w:rFonts w:ascii="Cambria Math" w:hAnsi="Cambria Math"/>
                          <w:color w:val="EE0000"/>
                          <w:sz w:val="20"/>
                          <w:szCs w:val="20"/>
                        </w:rPr>
                        <m:t>t NG</m:t>
                      </m:r>
                    </m:den>
                  </m:f>
                </m:den>
              </m:f>
              <m:r>
                <w:rPr>
                  <w:rFonts w:ascii="Cambria Math" w:hAnsi="Cambria Math"/>
                  <w:color w:val="EE0000"/>
                  <w:sz w:val="20"/>
                  <w:szCs w:val="20"/>
                </w:rPr>
                <m:t>∙</m:t>
              </m:r>
              <m:r>
                <w:rPr>
                  <w:rFonts w:ascii="Cambria Math" w:eastAsiaTheme="minorEastAsia" w:hAnsi="Cambria Math"/>
                  <w:color w:val="EE0000"/>
                  <w:sz w:val="20"/>
                  <w:szCs w:val="20"/>
                </w:rPr>
                <m:t>2.67</m:t>
              </m:r>
              <m:f>
                <m:fPr>
                  <m:ctrlPr>
                    <w:rPr>
                      <w:rFonts w:ascii="Cambria Math" w:eastAsiaTheme="minorEastAsia" w:hAnsi="Cambria Math"/>
                      <w:i/>
                      <w:color w:val="EE0000"/>
                      <w:sz w:val="20"/>
                      <w:szCs w:val="20"/>
                    </w:rPr>
                  </m:ctrlPr>
                </m:fPr>
                <m:num>
                  <m:r>
                    <w:rPr>
                      <w:rFonts w:ascii="Cambria Math" w:eastAsiaTheme="minorEastAsia" w:hAnsi="Cambria Math"/>
                      <w:color w:val="EE0000"/>
                      <w:sz w:val="20"/>
                      <w:szCs w:val="20"/>
                    </w:rPr>
                    <m:t>t C</m:t>
                  </m:r>
                  <m:sSub>
                    <m:sSubPr>
                      <m:ctrlPr>
                        <w:rPr>
                          <w:rFonts w:ascii="Cambria Math" w:eastAsiaTheme="minorEastAsia" w:hAnsi="Cambria Math"/>
                          <w:i/>
                          <w:color w:val="EE0000"/>
                          <w:sz w:val="20"/>
                          <w:szCs w:val="20"/>
                        </w:rPr>
                      </m:ctrlPr>
                    </m:sSubPr>
                    <m:e>
                      <m:r>
                        <w:rPr>
                          <w:rFonts w:ascii="Cambria Math" w:eastAsiaTheme="minorEastAsia" w:hAnsi="Cambria Math"/>
                          <w:color w:val="EE0000"/>
                          <w:sz w:val="20"/>
                          <w:szCs w:val="20"/>
                        </w:rPr>
                        <m:t>O</m:t>
                      </m:r>
                    </m:e>
                    <m:sub>
                      <m:r>
                        <w:rPr>
                          <w:rFonts w:ascii="Cambria Math" w:eastAsiaTheme="minorEastAsia" w:hAnsi="Cambria Math"/>
                          <w:color w:val="EE0000"/>
                          <w:sz w:val="20"/>
                          <w:szCs w:val="20"/>
                        </w:rPr>
                        <m:t>2</m:t>
                      </m:r>
                    </m:sub>
                  </m:sSub>
                </m:num>
                <m:den>
                  <m:r>
                    <w:rPr>
                      <w:rFonts w:ascii="Cambria Math" w:eastAsiaTheme="minorEastAsia" w:hAnsi="Cambria Math"/>
                      <w:color w:val="EE0000"/>
                      <w:sz w:val="20"/>
                      <w:szCs w:val="20"/>
                    </w:rPr>
                    <m:t>t NG</m:t>
                  </m:r>
                </m:den>
              </m:f>
            </m:num>
            <m:den>
              <m:r>
                <w:rPr>
                  <w:rFonts w:ascii="Cambria Math" w:hAnsi="Cambria Math"/>
                  <w:sz w:val="20"/>
                  <w:szCs w:val="20"/>
                </w:rPr>
                <m:t>220.3</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kJ</m:t>
                  </m:r>
                </m:num>
                <m:den>
                  <m:r>
                    <w:rPr>
                      <w:rFonts w:ascii="Cambria Math" w:hAnsi="Cambria Math"/>
                      <w:sz w:val="20"/>
                      <w:szCs w:val="20"/>
                    </w:rPr>
                    <m:t>mol C</m:t>
                  </m:r>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H</m:t>
                      </m:r>
                    </m:e>
                    <m:sub>
                      <m:r>
                        <w:rPr>
                          <w:rFonts w:ascii="Cambria Math" w:hAnsi="Cambria Math"/>
                          <w:sz w:val="20"/>
                          <w:szCs w:val="20"/>
                        </w:rPr>
                        <m:t>4 reacted</m:t>
                      </m:r>
                    </m:sub>
                  </m:sSub>
                </m:den>
              </m:f>
            </m:den>
          </m:f>
          <m:r>
            <w:rPr>
              <w:rFonts w:ascii="Cambria Math" w:hAnsi="Cambria Math"/>
              <w:color w:val="EE0000"/>
              <w:sz w:val="20"/>
              <w:szCs w:val="20"/>
            </w:rPr>
            <m:t>=</m:t>
          </m:r>
          <m:r>
            <w:rPr>
              <w:rFonts w:ascii="Cambria Math" w:eastAsiaTheme="minorEastAsia" w:hAnsi="Cambria Math"/>
              <w:color w:val="EE0000"/>
              <w:sz w:val="20"/>
              <w:szCs w:val="20"/>
            </w:rPr>
            <m:t>0</m:t>
          </m:r>
          <m:f>
            <m:fPr>
              <m:ctrlPr>
                <w:rPr>
                  <w:rFonts w:ascii="Cambria Math" w:eastAsiaTheme="minorEastAsia" w:hAnsi="Cambria Math"/>
                  <w:i/>
                  <w:color w:val="EE0000"/>
                  <w:sz w:val="20"/>
                  <w:szCs w:val="20"/>
                </w:rPr>
              </m:ctrlPr>
            </m:fPr>
            <m:num>
              <m:r>
                <w:rPr>
                  <w:rFonts w:ascii="Cambria Math" w:eastAsiaTheme="minorEastAsia" w:hAnsi="Cambria Math"/>
                  <w:color w:val="EE0000"/>
                  <w:sz w:val="20"/>
                  <w:szCs w:val="20"/>
                </w:rPr>
                <m:t>t C</m:t>
              </m:r>
              <m:sSub>
                <m:sSubPr>
                  <m:ctrlPr>
                    <w:rPr>
                      <w:rFonts w:ascii="Cambria Math" w:eastAsiaTheme="minorEastAsia" w:hAnsi="Cambria Math"/>
                      <w:i/>
                      <w:color w:val="EE0000"/>
                      <w:sz w:val="20"/>
                      <w:szCs w:val="20"/>
                    </w:rPr>
                  </m:ctrlPr>
                </m:sSubPr>
                <m:e>
                  <m:r>
                    <w:rPr>
                      <w:rFonts w:ascii="Cambria Math" w:eastAsiaTheme="minorEastAsia" w:hAnsi="Cambria Math"/>
                      <w:color w:val="EE0000"/>
                      <w:sz w:val="20"/>
                      <w:szCs w:val="20"/>
                    </w:rPr>
                    <m:t>O</m:t>
                  </m:r>
                </m:e>
                <m:sub>
                  <m:r>
                    <w:rPr>
                      <w:rFonts w:ascii="Cambria Math" w:eastAsiaTheme="minorEastAsia" w:hAnsi="Cambria Math"/>
                      <w:color w:val="EE0000"/>
                      <w:sz w:val="20"/>
                      <w:szCs w:val="20"/>
                    </w:rPr>
                    <m:t>2</m:t>
                  </m:r>
                </m:sub>
              </m:sSub>
            </m:num>
            <m:den>
              <m:r>
                <w:rPr>
                  <w:rFonts w:ascii="Cambria Math" w:eastAsiaTheme="minorEastAsia" w:hAnsi="Cambria Math"/>
                  <w:color w:val="EE0000"/>
                  <w:sz w:val="20"/>
                  <w:szCs w:val="20"/>
                </w:rPr>
                <m:t>MWh</m:t>
              </m:r>
            </m:den>
          </m:f>
        </m:oMath>
      </m:oMathPara>
    </w:p>
    <w:p w14:paraId="57EB9355" w14:textId="77777777" w:rsidR="00D84592" w:rsidRDefault="00D84592" w:rsidP="00800A7E">
      <w:pPr>
        <w:rPr>
          <w:sz w:val="20"/>
          <w:szCs w:val="20"/>
        </w:rPr>
      </w:pPr>
    </w:p>
    <w:p w14:paraId="342D7EF5" w14:textId="77777777" w:rsidR="00DD2441" w:rsidRDefault="00DD2441" w:rsidP="00800A7E">
      <w:pPr>
        <w:rPr>
          <w:sz w:val="20"/>
          <w:szCs w:val="20"/>
        </w:rPr>
      </w:pPr>
    </w:p>
    <w:p w14:paraId="67062EB8" w14:textId="77777777" w:rsidR="00DD2441" w:rsidRPr="000053AA" w:rsidRDefault="00DD2441" w:rsidP="00DD2441">
      <w:pPr>
        <w:rPr>
          <w:sz w:val="20"/>
          <w:szCs w:val="20"/>
        </w:rPr>
      </w:pPr>
      <w:r w:rsidRPr="000053AA">
        <w:rPr>
          <w:sz w:val="20"/>
          <w:szCs w:val="20"/>
        </w:rPr>
        <w:t xml:space="preserve">Since eSMR produces near-zero direct CO₂ emissions, a fair comparison requires an equally low-carbon reference </w:t>
      </w:r>
      <w:r>
        <w:rPr>
          <w:sz w:val="20"/>
          <w:szCs w:val="20"/>
        </w:rPr>
        <w:t>–</w:t>
      </w:r>
      <w:r w:rsidRPr="000053AA">
        <w:rPr>
          <w:sz w:val="20"/>
          <w:szCs w:val="20"/>
        </w:rPr>
        <w:t xml:space="preserve"> namely, conventional SMR equipped with flue gas carbon capture.</w:t>
      </w:r>
    </w:p>
    <w:p w14:paraId="733B4200" w14:textId="77777777" w:rsidR="00DD2441" w:rsidRPr="00A84BD4" w:rsidRDefault="00DD2441" w:rsidP="00DD2441">
      <w:pPr>
        <w:rPr>
          <w:rFonts w:eastAsiaTheme="minorEastAsia"/>
          <w:sz w:val="20"/>
          <w:szCs w:val="20"/>
        </w:rPr>
      </w:pPr>
      <w:r w:rsidRPr="00DD7131">
        <w:rPr>
          <w:sz w:val="20"/>
          <w:szCs w:val="20"/>
        </w:rPr>
        <w:t>In th</w:t>
      </w:r>
      <w:r>
        <w:rPr>
          <w:sz w:val="20"/>
          <w:szCs w:val="20"/>
        </w:rPr>
        <w:t>e eSMR process</w:t>
      </w:r>
      <w:r w:rsidRPr="00DD7131">
        <w:rPr>
          <w:sz w:val="20"/>
          <w:szCs w:val="20"/>
        </w:rPr>
        <w:t>, carbon is removed from a CO₂-rich stream downstream of the shift reactor</w:t>
      </w:r>
      <w:r>
        <w:rPr>
          <w:sz w:val="20"/>
          <w:szCs w:val="20"/>
        </w:rPr>
        <w:t xml:space="preserve"> at </w:t>
      </w:r>
      <w:r w:rsidRPr="00A26D0E">
        <w:rPr>
          <w:b/>
          <w:bCs/>
          <w:sz w:val="20"/>
          <w:szCs w:val="20"/>
        </w:rPr>
        <w:t xml:space="preserve">high pressures </w:t>
      </w:r>
      <w:r>
        <w:rPr>
          <w:sz w:val="20"/>
          <w:szCs w:val="20"/>
        </w:rPr>
        <w:t>(pre-combustion capture)</w:t>
      </w:r>
      <w:r w:rsidRPr="00DD7131">
        <w:rPr>
          <w:sz w:val="20"/>
          <w:szCs w:val="20"/>
        </w:rPr>
        <w:t xml:space="preserve">. </w:t>
      </w:r>
      <w:r>
        <w:rPr>
          <w:sz w:val="20"/>
          <w:szCs w:val="20"/>
        </w:rPr>
        <w:t>A</w:t>
      </w:r>
      <w:r w:rsidRPr="00DD7131">
        <w:rPr>
          <w:sz w:val="20"/>
          <w:szCs w:val="20"/>
        </w:rPr>
        <w:t xml:space="preserve">ssuming complete conversion in both the reformer and shift reactor, the maximum achievable </w:t>
      </w:r>
      <w:r w:rsidRPr="00964CCC">
        <w:rPr>
          <w:b/>
          <w:bCs/>
          <w:sz w:val="20"/>
          <w:szCs w:val="20"/>
        </w:rPr>
        <w:t xml:space="preserve">CO₂ content </w:t>
      </w:r>
      <w:r w:rsidRPr="00964CCC">
        <w:rPr>
          <w:sz w:val="20"/>
          <w:szCs w:val="20"/>
        </w:rPr>
        <w:t>is</w:t>
      </w:r>
      <w:r w:rsidRPr="00964CCC">
        <w:rPr>
          <w:b/>
          <w:bCs/>
          <w:sz w:val="20"/>
          <w:szCs w:val="20"/>
        </w:rPr>
        <w:t xml:space="preserve"> 20%</w:t>
      </w:r>
      <w:r w:rsidRPr="00DD7131">
        <w:rPr>
          <w:sz w:val="20"/>
          <w:szCs w:val="20"/>
        </w:rPr>
        <w:t>, as dictated by the combined SMR and WGS stoichiometry:</w:t>
      </w:r>
      <w:r w:rsidRPr="00DD7131">
        <w:rPr>
          <w:sz w:val="20"/>
          <w:szCs w:val="20"/>
        </w:rPr>
        <w:br/>
      </w:r>
      <m:oMathPara>
        <m:oMath>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4</m:t>
              </m:r>
            </m:sub>
          </m:sSub>
          <m:r>
            <w:rPr>
              <w:rFonts w:ascii="Cambria Math" w:hAnsi="Cambria Math"/>
              <w:sz w:val="20"/>
              <w:szCs w:val="20"/>
            </w:rPr>
            <m:t xml:space="preserve">+2 </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2</m:t>
              </m:r>
            </m:sub>
          </m:sSub>
          <m:r>
            <w:rPr>
              <w:rFonts w:ascii="Cambria Math" w:hAnsi="Cambria Math"/>
              <w:sz w:val="20"/>
              <w:szCs w:val="20"/>
            </w:rPr>
            <m:t>O→C</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 xml:space="preserve">+4 </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2</m:t>
              </m:r>
            </m:sub>
          </m:sSub>
        </m:oMath>
      </m:oMathPara>
    </w:p>
    <w:p w14:paraId="435FEF30" w14:textId="77777777" w:rsidR="00DD2441" w:rsidRPr="00DD7131" w:rsidRDefault="00DD2441" w:rsidP="00DD2441">
      <w:pPr>
        <w:rPr>
          <w:sz w:val="20"/>
          <w:szCs w:val="20"/>
        </w:rPr>
      </w:pPr>
      <m:oMathPara>
        <m:oMath>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x</m:t>
              </m:r>
            </m:e>
            <m: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,max</m:t>
              </m:r>
            </m:sub>
          </m:sSub>
          <m:r>
            <w:rPr>
              <w:rFonts w:ascii="Cambria Math" w:hAnsi="Cambria Math"/>
              <w:sz w:val="20"/>
              <w:szCs w:val="20"/>
            </w:rPr>
            <m:t>=</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1</m:t>
              </m:r>
            </m:num>
            <m:den>
              <m:r>
                <w:rPr>
                  <w:rFonts w:ascii="Cambria Math" w:hAnsi="Cambria Math"/>
                  <w:sz w:val="20"/>
                  <w:szCs w:val="20"/>
                </w:rPr>
                <m:t>1+4</m:t>
              </m:r>
            </m:den>
          </m:f>
          <m:r>
            <w:rPr>
              <w:rFonts w:ascii="Cambria Math" w:hAnsi="Cambria Math"/>
              <w:sz w:val="20"/>
              <w:szCs w:val="20"/>
            </w:rPr>
            <m:t>=20%</m:t>
          </m:r>
        </m:oMath>
      </m:oMathPara>
    </w:p>
    <w:p w14:paraId="5267E193" w14:textId="77777777" w:rsidR="00DD2441" w:rsidRDefault="00DD2441" w:rsidP="00DD2441">
      <w:pPr>
        <w:rPr>
          <w:sz w:val="20"/>
          <w:szCs w:val="20"/>
        </w:rPr>
      </w:pPr>
      <w:r w:rsidRPr="00DD7131">
        <w:rPr>
          <w:sz w:val="20"/>
          <w:szCs w:val="20"/>
        </w:rPr>
        <w:t xml:space="preserve">This CO₂ concentration is </w:t>
      </w:r>
      <w:r>
        <w:rPr>
          <w:sz w:val="20"/>
          <w:szCs w:val="20"/>
        </w:rPr>
        <w:t xml:space="preserve">notably higher than the </w:t>
      </w:r>
      <w:r w:rsidRPr="00964CCC">
        <w:rPr>
          <w:b/>
          <w:bCs/>
          <w:sz w:val="20"/>
          <w:szCs w:val="20"/>
        </w:rPr>
        <w:t xml:space="preserve">maximal </w:t>
      </w:r>
      <w:r>
        <w:rPr>
          <w:b/>
          <w:bCs/>
          <w:sz w:val="20"/>
          <w:szCs w:val="20"/>
        </w:rPr>
        <w:t>~</w:t>
      </w:r>
      <w:r w:rsidRPr="00964CCC">
        <w:rPr>
          <w:b/>
          <w:bCs/>
          <w:sz w:val="20"/>
          <w:szCs w:val="20"/>
        </w:rPr>
        <w:t>1</w:t>
      </w:r>
      <w:r>
        <w:rPr>
          <w:b/>
          <w:bCs/>
          <w:sz w:val="20"/>
          <w:szCs w:val="20"/>
        </w:rPr>
        <w:t>2</w:t>
      </w:r>
      <w:r w:rsidRPr="00964CCC">
        <w:rPr>
          <w:b/>
          <w:bCs/>
          <w:sz w:val="20"/>
          <w:szCs w:val="20"/>
        </w:rPr>
        <w:t>% CO₂</w:t>
      </w:r>
      <w:r w:rsidRPr="00DD7131">
        <w:rPr>
          <w:sz w:val="20"/>
          <w:szCs w:val="20"/>
        </w:rPr>
        <w:t xml:space="preserve"> content </w:t>
      </w:r>
      <w:r>
        <w:rPr>
          <w:sz w:val="20"/>
          <w:szCs w:val="20"/>
        </w:rPr>
        <w:t>of a stoichiometric CH</w:t>
      </w:r>
      <w:r w:rsidRPr="008559F9">
        <w:rPr>
          <w:sz w:val="20"/>
          <w:szCs w:val="20"/>
          <w:vertAlign w:val="subscript"/>
        </w:rPr>
        <w:t>4</w:t>
      </w:r>
      <w:r>
        <w:rPr>
          <w:sz w:val="20"/>
          <w:szCs w:val="20"/>
        </w:rPr>
        <w:t xml:space="preserve"> combustion flue gas at </w:t>
      </w:r>
      <w:r w:rsidRPr="00A26D0E">
        <w:rPr>
          <w:b/>
          <w:bCs/>
          <w:sz w:val="20"/>
          <w:szCs w:val="20"/>
        </w:rPr>
        <w:t>atmospheric pressure</w:t>
      </w:r>
      <w:r>
        <w:rPr>
          <w:sz w:val="20"/>
          <w:szCs w:val="20"/>
        </w:rPr>
        <w:t xml:space="preserve"> (post-combustion capture), which is even lower in case of excess air:</w:t>
      </w:r>
    </w:p>
    <w:p w14:paraId="764595C5" w14:textId="77777777" w:rsidR="00DD2441" w:rsidRPr="00A84BD4" w:rsidRDefault="00DD2441" w:rsidP="00DD2441">
      <w:pPr>
        <w:rPr>
          <w:rFonts w:eastAsiaTheme="minorEastAsia"/>
          <w:sz w:val="20"/>
          <w:szCs w:val="20"/>
        </w:rPr>
      </w:pPr>
      <m:oMathPara>
        <m:oMath>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4</m:t>
              </m:r>
            </m:sub>
          </m:sSub>
          <m:r>
            <w:rPr>
              <w:rFonts w:ascii="Cambria Math" w:hAnsi="Cambria Math"/>
              <w:sz w:val="20"/>
              <w:szCs w:val="20"/>
            </w:rPr>
            <m:t xml:space="preserve">+2 </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+2∙</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0.79</m:t>
              </m:r>
            </m:num>
            <m:den>
              <m:r>
                <w:rPr>
                  <w:rFonts w:ascii="Cambria Math" w:hAnsi="Cambria Math"/>
                  <w:sz w:val="20"/>
                  <w:szCs w:val="20"/>
                </w:rPr>
                <m:t>0.21</m:t>
              </m:r>
            </m:den>
          </m:f>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m:t>
              </m:r>
            </m:sub>
          </m:s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 xml:space="preserve">+2 </m:t>
          </m:r>
          <m:sSub>
            <m:sSubPr>
              <m:ctrlPr>
                <w:rPr>
                  <w:rFonts w:ascii="Cambria Math" w:hAnsi="Cambria Math"/>
                  <w:i/>
                  <w:sz w:val="20"/>
                  <w:szCs w:val="20"/>
                </w:rPr>
              </m:ctrlPr>
            </m:sSubPr>
            <m:e>
              <m:r>
                <w:rPr>
                  <w:rFonts w:ascii="Cambria Math" w:hAnsi="Cambria Math"/>
                  <w:sz w:val="20"/>
                  <w:szCs w:val="20"/>
                </w:rPr>
                <m:t>H</m:t>
              </m:r>
            </m:e>
            <m:sub>
              <m:r>
                <w:rPr>
                  <w:rFonts w:ascii="Cambria Math" w:hAnsi="Cambria Math"/>
                  <w:sz w:val="20"/>
                  <w:szCs w:val="20"/>
                </w:rPr>
                <m:t>2</m:t>
              </m:r>
            </m:sub>
          </m:sSub>
          <m:r>
            <w:rPr>
              <w:rFonts w:ascii="Cambria Math" w:hAnsi="Cambria Math"/>
              <w:sz w:val="20"/>
              <w:szCs w:val="20"/>
            </w:rPr>
            <m:t>O+7.52</m:t>
          </m:r>
          <m:sSub>
            <m:sSubPr>
              <m:ctrlPr>
                <w:rPr>
                  <w:rFonts w:ascii="Cambria Math" w:hAnsi="Cambria Math"/>
                  <w:i/>
                  <w:sz w:val="20"/>
                  <w:szCs w:val="20"/>
                </w:rPr>
              </m:ctrlPr>
            </m:sSubPr>
            <m:e>
              <m:r>
                <w:rPr>
                  <w:rFonts w:ascii="Cambria Math" w:hAnsi="Cambria Math"/>
                  <w:sz w:val="20"/>
                  <w:szCs w:val="20"/>
                </w:rPr>
                <m:t xml:space="preserve"> N</m:t>
              </m:r>
            </m:e>
            <m:sub>
              <m:r>
                <w:rPr>
                  <w:rFonts w:ascii="Cambria Math" w:hAnsi="Cambria Math"/>
                  <w:sz w:val="20"/>
                  <w:szCs w:val="20"/>
                </w:rPr>
                <m:t>2</m:t>
              </m:r>
            </m:sub>
          </m:sSub>
        </m:oMath>
      </m:oMathPara>
    </w:p>
    <w:p w14:paraId="668FB0CF" w14:textId="77777777" w:rsidR="00DD2441" w:rsidRDefault="00DD2441" w:rsidP="00DD2441">
      <w:pPr>
        <w:rPr>
          <w:sz w:val="20"/>
          <w:szCs w:val="20"/>
        </w:rPr>
      </w:pPr>
      <m:oMathPara>
        <m:oMath>
          <m:sSub>
            <m:sSubPr>
              <m:ctrlPr>
                <w:rPr>
                  <w:rFonts w:ascii="Cambria Math" w:eastAsiaTheme="minorHAnsi" w:hAnsi="Cambria Math" w:cstheme="minorBidi"/>
                  <w:i/>
                  <w:kern w:val="2"/>
                  <w:sz w:val="20"/>
                  <w:szCs w:val="20"/>
                  <w:lang w:eastAsia="en-US"/>
                  <w14:ligatures w14:val="standardContextual"/>
                </w:rPr>
              </m:ctrlPr>
            </m:sSubPr>
            <m:e>
              <m:r>
                <w:rPr>
                  <w:rFonts w:ascii="Cambria Math" w:hAnsi="Cambria Math"/>
                  <w:sz w:val="20"/>
                  <w:szCs w:val="20"/>
                </w:rPr>
                <m:t>x</m:t>
              </m:r>
            </m:e>
            <m:sub>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O</m:t>
                  </m:r>
                </m:e>
                <m:sub>
                  <m:r>
                    <w:rPr>
                      <w:rFonts w:ascii="Cambria Math" w:hAnsi="Cambria Math"/>
                      <w:sz w:val="20"/>
                      <w:szCs w:val="20"/>
                    </w:rPr>
                    <m:t>2</m:t>
                  </m:r>
                </m:sub>
              </m:sSub>
              <m:r>
                <w:rPr>
                  <w:rFonts w:ascii="Cambria Math" w:hAnsi="Cambria Math"/>
                  <w:sz w:val="20"/>
                  <w:szCs w:val="20"/>
                </w:rPr>
                <m:t>,max</m:t>
              </m:r>
            </m:sub>
          </m:sSub>
          <m:r>
            <w:rPr>
              <w:rFonts w:ascii="Cambria Math" w:hAnsi="Cambria Math"/>
              <w:sz w:val="20"/>
              <w:szCs w:val="20"/>
            </w:rPr>
            <m:t>=</m:t>
          </m:r>
          <m:f>
            <m:fPr>
              <m:ctrlPr>
                <w:rPr>
                  <w:rFonts w:ascii="Cambria Math" w:eastAsiaTheme="minorHAnsi" w:hAnsi="Cambria Math" w:cstheme="minorBidi"/>
                  <w:i/>
                  <w:kern w:val="2"/>
                  <w:sz w:val="20"/>
                  <w:szCs w:val="20"/>
                  <w:lang w:eastAsia="en-US"/>
                  <w14:ligatures w14:val="standardContextual"/>
                </w:rPr>
              </m:ctrlPr>
            </m:fPr>
            <m:num>
              <m:r>
                <w:rPr>
                  <w:rFonts w:ascii="Cambria Math" w:hAnsi="Cambria Math"/>
                  <w:sz w:val="20"/>
                  <w:szCs w:val="20"/>
                </w:rPr>
                <m:t>1</m:t>
              </m:r>
            </m:num>
            <m:den>
              <m:r>
                <w:rPr>
                  <w:rFonts w:ascii="Cambria Math" w:hAnsi="Cambria Math"/>
                  <w:sz w:val="20"/>
                  <w:szCs w:val="20"/>
                </w:rPr>
                <m:t>1+7.52</m:t>
              </m:r>
            </m:den>
          </m:f>
          <m:r>
            <w:rPr>
              <w:rFonts w:ascii="Cambria Math" w:eastAsiaTheme="minorEastAsia" w:hAnsi="Cambria Math"/>
              <w:sz w:val="20"/>
              <w:szCs w:val="20"/>
            </w:rPr>
            <m:t>=11.7%</m:t>
          </m:r>
        </m:oMath>
      </m:oMathPara>
    </w:p>
    <w:p w14:paraId="317ED3FC" w14:textId="77777777" w:rsidR="00DD2441" w:rsidRDefault="00DD2441" w:rsidP="00DD2441">
      <w:pPr>
        <w:rPr>
          <w:sz w:val="20"/>
          <w:szCs w:val="20"/>
        </w:rPr>
      </w:pPr>
      <w:r>
        <w:rPr>
          <w:sz w:val="20"/>
          <w:szCs w:val="20"/>
        </w:rPr>
        <w:t>From the associated CO</w:t>
      </w:r>
      <w:r w:rsidRPr="006B63ED">
        <w:rPr>
          <w:sz w:val="20"/>
          <w:szCs w:val="20"/>
          <w:vertAlign w:val="subscript"/>
        </w:rPr>
        <w:t>2</w:t>
      </w:r>
      <w:r>
        <w:rPr>
          <w:sz w:val="20"/>
          <w:szCs w:val="20"/>
        </w:rPr>
        <w:t xml:space="preserve"> partial pressures</w:t>
      </w:r>
      <w:r w:rsidRPr="00DD7131">
        <w:rPr>
          <w:sz w:val="20"/>
          <w:szCs w:val="20"/>
        </w:rPr>
        <w:t xml:space="preserve"> follows that </w:t>
      </w:r>
      <w:r w:rsidRPr="00964CCC">
        <w:rPr>
          <w:b/>
          <w:bCs/>
          <w:sz w:val="20"/>
          <w:szCs w:val="20"/>
        </w:rPr>
        <w:t>carbon capture integrated into the eSMR</w:t>
      </w:r>
      <w:r w:rsidRPr="00DD7131">
        <w:rPr>
          <w:sz w:val="20"/>
          <w:szCs w:val="20"/>
        </w:rPr>
        <w:t xml:space="preserve"> concept is associated with </w:t>
      </w:r>
      <w:r w:rsidRPr="00964CCC">
        <w:rPr>
          <w:b/>
          <w:bCs/>
          <w:sz w:val="20"/>
          <w:szCs w:val="20"/>
        </w:rPr>
        <w:t>lower effort and thus cost</w:t>
      </w:r>
      <w:r w:rsidRPr="00DD7131">
        <w:rPr>
          <w:sz w:val="20"/>
          <w:szCs w:val="20"/>
        </w:rPr>
        <w:t xml:space="preserve"> </w:t>
      </w:r>
      <w:r>
        <w:rPr>
          <w:sz w:val="20"/>
          <w:szCs w:val="20"/>
        </w:rPr>
        <w:t>than</w:t>
      </w:r>
      <w:r w:rsidRPr="00DD7131">
        <w:rPr>
          <w:sz w:val="20"/>
          <w:szCs w:val="20"/>
        </w:rPr>
        <w:t xml:space="preserve"> flue gas carbon capture</w:t>
      </w:r>
      <w:r>
        <w:rPr>
          <w:sz w:val="20"/>
          <w:szCs w:val="20"/>
        </w:rPr>
        <w:t xml:space="preserve"> </w:t>
      </w:r>
      <w:r w:rsidRPr="00354EBF">
        <w:rPr>
          <w:color w:val="EE0000"/>
          <w:sz w:val="20"/>
          <w:szCs w:val="20"/>
        </w:rPr>
        <w:t>[</w:t>
      </w:r>
      <w:r>
        <w:rPr>
          <w:color w:val="EE0000"/>
          <w:sz w:val="20"/>
          <w:szCs w:val="20"/>
        </w:rPr>
        <w:t xml:space="preserve">Quelle bezieht sich auf Stromproduktion und ist nach der partial pressure ausführung eigentlich nicht mehr nötig: </w:t>
      </w:r>
      <w:r w:rsidRPr="00354EBF">
        <w:rPr>
          <w:color w:val="EE0000"/>
          <w:sz w:val="20"/>
          <w:szCs w:val="20"/>
        </w:rPr>
        <w:t>https://papers.ssrn.com/sol3/papers.cfm?abstract_id=4284525]</w:t>
      </w:r>
      <w:r w:rsidRPr="00354EBF">
        <w:rPr>
          <w:sz w:val="20"/>
          <w:szCs w:val="20"/>
        </w:rPr>
        <w:t xml:space="preserve">. </w:t>
      </w:r>
    </w:p>
    <w:p w14:paraId="69973BC4" w14:textId="77777777" w:rsidR="00DD2441" w:rsidRDefault="00DD2441" w:rsidP="00DD2441">
      <w:pPr>
        <w:rPr>
          <w:sz w:val="20"/>
          <w:szCs w:val="20"/>
          <w:lang w:val="en-GB"/>
        </w:rPr>
      </w:pPr>
      <w:r>
        <w:rPr>
          <w:sz w:val="20"/>
          <w:szCs w:val="20"/>
        </w:rPr>
        <w:t xml:space="preserve">As CO2 loading capacity of chemical and physical absorption solvents cross at around 10 bar CO2 partial pressure – the </w:t>
      </w:r>
      <w:r w:rsidRPr="00AE5DE9">
        <w:rPr>
          <w:sz w:val="20"/>
          <w:szCs w:val="20"/>
          <w:lang w:val="en-GB"/>
        </w:rPr>
        <w:t>most important thermodynamic driver</w:t>
      </w:r>
      <w:r>
        <w:rPr>
          <w:sz w:val="20"/>
          <w:szCs w:val="20"/>
          <w:lang w:val="en-GB"/>
        </w:rPr>
        <w:t xml:space="preserve"> for capture – it is below that partial pressure, where typically chemical absorption is preferred, while above physical absorption gets of more interest. From this can be concluded that upon a pressure of ~50 bar (and hence for both processes) a chemical solvent system is used. </w:t>
      </w:r>
    </w:p>
    <w:p w14:paraId="69DCCA82" w14:textId="77777777" w:rsidR="00DD2441" w:rsidRDefault="00DD2441" w:rsidP="00DD2441">
      <w:pPr>
        <w:rPr>
          <w:sz w:val="20"/>
          <w:szCs w:val="20"/>
        </w:rPr>
      </w:pPr>
      <w:r>
        <w:rPr>
          <w:sz w:val="20"/>
          <w:szCs w:val="20"/>
          <w:lang w:val="en-GB"/>
        </w:rPr>
        <w:t xml:space="preserve">For quantification purposes an analysis of </w:t>
      </w:r>
      <w:r>
        <w:rPr>
          <w:sz w:val="20"/>
          <w:szCs w:val="20"/>
        </w:rPr>
        <w:t>e</w:t>
      </w:r>
      <w:r w:rsidRPr="00CE0C58">
        <w:rPr>
          <w:sz w:val="20"/>
          <w:szCs w:val="20"/>
        </w:rPr>
        <w:t>nergy penalty estimates for CO2 capture</w:t>
      </w:r>
      <w:r>
        <w:rPr>
          <w:sz w:val="20"/>
          <w:szCs w:val="20"/>
        </w:rPr>
        <w:t xml:space="preserve"> in electricity production from natural gas via different capture-combustion modes is used, due to </w:t>
      </w:r>
      <w:r w:rsidRPr="00CE0C58">
        <w:rPr>
          <w:sz w:val="20"/>
          <w:szCs w:val="20"/>
        </w:rPr>
        <w:t>limited literature on</w:t>
      </w:r>
      <w:r>
        <w:rPr>
          <w:sz w:val="20"/>
          <w:szCs w:val="20"/>
        </w:rPr>
        <w:t xml:space="preserve"> capturing in</w:t>
      </w:r>
      <w:r w:rsidRPr="00CE0C58">
        <w:rPr>
          <w:sz w:val="20"/>
          <w:szCs w:val="20"/>
        </w:rPr>
        <w:t xml:space="preserve"> SMR</w:t>
      </w:r>
      <w:r>
        <w:rPr>
          <w:sz w:val="20"/>
          <w:szCs w:val="20"/>
        </w:rPr>
        <w:t>. Pre-combustion syngas dabei hat sogar größeren CO2 gehalt, während post-combustion sogar geringeren CO2 gehalt hat als in SMR process bei welchem noch das stoichiometric process CO2 inkludiert ist. Damit ist es eine sehr konvervative betrachtung zugunsten des eSMR prozesses. (und selbst unter diesen reicht es nicht aus um gap zu überwinden)</w:t>
      </w:r>
    </w:p>
    <w:p w14:paraId="5651C42D" w14:textId="77777777" w:rsidR="00DD2441" w:rsidRPr="00CE0C58" w:rsidRDefault="00DD2441" w:rsidP="00DD2441">
      <w:pPr>
        <w:rPr>
          <w:sz w:val="20"/>
          <w:szCs w:val="20"/>
        </w:rPr>
      </w:pPr>
      <w:r>
        <w:rPr>
          <w:sz w:val="20"/>
          <w:szCs w:val="20"/>
        </w:rPr>
        <w:t xml:space="preserve">In SMR muss sehr viel mehr CO2 (cobustion +stoichiometric process emissions) gecaptured werden als in eSMR (nur stoichiometric process emissions), </w:t>
      </w:r>
    </w:p>
    <w:p w14:paraId="63FC744A" w14:textId="77777777" w:rsidR="00DD2441" w:rsidRDefault="00DD2441" w:rsidP="00800A7E">
      <w:pPr>
        <w:rPr>
          <w:sz w:val="20"/>
          <w:szCs w:val="20"/>
        </w:rPr>
      </w:pPr>
    </w:p>
    <w:p w14:paraId="445EA9D7" w14:textId="77777777" w:rsidR="00565E56" w:rsidRDefault="00565E56" w:rsidP="00800A7E">
      <w:pPr>
        <w:rPr>
          <w:sz w:val="20"/>
          <w:szCs w:val="20"/>
        </w:rPr>
      </w:pPr>
    </w:p>
    <w:p w14:paraId="4E0E734B" w14:textId="77777777" w:rsidR="00565E56" w:rsidRDefault="00565E56" w:rsidP="00565E56">
      <w:pPr>
        <w:rPr>
          <w:sz w:val="20"/>
          <w:szCs w:val="20"/>
        </w:rPr>
      </w:pPr>
      <w:r>
        <w:rPr>
          <w:sz w:val="20"/>
          <w:szCs w:val="20"/>
        </w:rPr>
        <w:t xml:space="preserve">This indicates a potential edge against the conventional process with CCUS, but is likely not to change the negative cost dynamic of higher utility costs. </w:t>
      </w:r>
    </w:p>
    <w:p w14:paraId="545EA5E0" w14:textId="77777777" w:rsidR="00565E56" w:rsidRDefault="00565E56" w:rsidP="00800A7E">
      <w:pPr>
        <w:rPr>
          <w:sz w:val="20"/>
          <w:szCs w:val="20"/>
        </w:rPr>
      </w:pPr>
    </w:p>
    <w:p w14:paraId="7C2A35EF" w14:textId="77777777" w:rsidR="00AF7FF7" w:rsidRDefault="00AF7FF7" w:rsidP="00800A7E">
      <w:pPr>
        <w:rPr>
          <w:sz w:val="20"/>
          <w:szCs w:val="20"/>
        </w:rPr>
      </w:pPr>
    </w:p>
    <w:p w14:paraId="685517CE" w14:textId="77777777" w:rsidR="00AF7FF7" w:rsidRDefault="00AF7FF7" w:rsidP="00AF7FF7">
      <w:pPr>
        <w:rPr>
          <w:sz w:val="20"/>
          <w:szCs w:val="20"/>
          <w:lang w:val="en-GB"/>
        </w:rPr>
      </w:pPr>
      <w:r>
        <w:rPr>
          <w:sz w:val="20"/>
          <w:szCs w:val="20"/>
        </w:rPr>
        <w:t xml:space="preserve">As CO2 loading capacity of chemical and physical absorption solvents cross at around 10 bar CO2 partial pressure – the </w:t>
      </w:r>
      <w:r w:rsidRPr="00AE5DE9">
        <w:rPr>
          <w:sz w:val="20"/>
          <w:szCs w:val="20"/>
          <w:lang w:val="en-GB"/>
        </w:rPr>
        <w:t>most important thermodynamic driver</w:t>
      </w:r>
      <w:r>
        <w:rPr>
          <w:sz w:val="20"/>
          <w:szCs w:val="20"/>
          <w:lang w:val="en-GB"/>
        </w:rPr>
        <w:t xml:space="preserve"> for capture efficiency – it is below that partial pressure, where typically chemical absorption is preferred, while above physical absorption gets of more interest. From this can be concluded that upon a pressure of ~50 bar (and hence for both processes) a chemical solvent system is used. For pressures above that </w:t>
      </w:r>
      <w:r w:rsidRPr="00565E56">
        <w:rPr>
          <w:sz w:val="20"/>
          <w:szCs w:val="20"/>
          <w:lang w:val="en-GB"/>
        </w:rPr>
        <w:t>consider</w:t>
      </w:r>
      <w:r>
        <w:rPr>
          <w:sz w:val="20"/>
          <w:szCs w:val="20"/>
          <w:lang w:val="en-GB"/>
        </w:rPr>
        <w:t>ation of</w:t>
      </w:r>
      <w:r w:rsidRPr="00565E56">
        <w:rPr>
          <w:sz w:val="20"/>
          <w:szCs w:val="20"/>
          <w:lang w:val="en-GB"/>
        </w:rPr>
        <w:t xml:space="preserve"> different methods becomes relevant in a </w:t>
      </w:r>
      <w:r>
        <w:rPr>
          <w:sz w:val="20"/>
          <w:szCs w:val="20"/>
          <w:lang w:val="en-GB"/>
        </w:rPr>
        <w:t xml:space="preserve">detailed </w:t>
      </w:r>
      <w:r w:rsidRPr="00565E56">
        <w:rPr>
          <w:sz w:val="20"/>
          <w:szCs w:val="20"/>
          <w:lang w:val="en-GB"/>
        </w:rPr>
        <w:t>techno-economic comparison</w:t>
      </w:r>
      <w:r>
        <w:rPr>
          <w:sz w:val="20"/>
          <w:szCs w:val="20"/>
          <w:lang w:val="en-GB"/>
        </w:rPr>
        <w:t>.</w:t>
      </w:r>
    </w:p>
    <w:p w14:paraId="69908542" w14:textId="77777777" w:rsidR="00AF7FF7" w:rsidRDefault="00AF7FF7" w:rsidP="00800A7E">
      <w:pPr>
        <w:rPr>
          <w:sz w:val="20"/>
          <w:szCs w:val="20"/>
          <w:lang w:val="en-GB"/>
        </w:rPr>
      </w:pPr>
    </w:p>
    <w:p w14:paraId="26D4BFE6" w14:textId="77777777" w:rsidR="00C80016" w:rsidRDefault="00C80016" w:rsidP="00800A7E">
      <w:pPr>
        <w:rPr>
          <w:sz w:val="20"/>
          <w:szCs w:val="20"/>
          <w:lang w:val="en-GB"/>
        </w:rPr>
      </w:pPr>
    </w:p>
    <w:p w14:paraId="0FB2E020" w14:textId="77777777" w:rsidR="00C80016" w:rsidRDefault="00C80016" w:rsidP="00800A7E">
      <w:pPr>
        <w:rPr>
          <w:sz w:val="20"/>
          <w:szCs w:val="20"/>
          <w:lang w:val="en-GB"/>
        </w:rPr>
      </w:pPr>
    </w:p>
    <w:p w14:paraId="265BBE04" w14:textId="77777777" w:rsidR="00C80016" w:rsidRPr="00C02BDE" w:rsidRDefault="00C80016" w:rsidP="00C80016">
      <w:pPr>
        <w:rPr>
          <w:color w:val="EE0000"/>
          <w:sz w:val="20"/>
          <w:szCs w:val="20"/>
        </w:rPr>
      </w:pPr>
      <w:r w:rsidRPr="00C02BDE">
        <w:rPr>
          <w:color w:val="EE0000"/>
          <w:sz w:val="20"/>
          <w:szCs w:val="20"/>
        </w:rPr>
        <w:t xml:space="preserve">Damit kommt die untersuchung zu dem Ergebnis, dass der konventinelle SMR-Prozess inlikely to replace ist, insbeondere aufgrund der höheren Elektrizitätskosten, welche bei einem verhältnismäßig geringen carbon price nicht durch den Vorteil einer besseren environmental bilanz refinanziert werden können. Der fairere Vergleich ist entsprechend mit einem konventinellen SMR Prozess inklusive post-combustion CCS. Hierbei stellt sich insbesondere die Frage ob die unterschiedlichen CO2-Partialdrücke und die damit verbundenen unterschiedlichen capture technologien den electricity economics nachteil wett machen. </w:t>
      </w:r>
      <w:r>
        <w:rPr>
          <w:color w:val="EE0000"/>
          <w:sz w:val="20"/>
          <w:szCs w:val="20"/>
        </w:rPr>
        <w:t>Es zeigt scih ganz klar, dass pre-combustion capturing eine bessere efficienz zeigt als der post-combustion process, dieser effekt verstärkt sich nochmal weiter, wenn man es mit einem post-combustion process vergleicht, welcher nicht die process CO2 emissionen enthält sondern ein reines CH4 combustion flue gas capturen muss (wie es bspw. Im ammoniasyngas prozess der fall ist)</w:t>
      </w:r>
      <w:r w:rsidRPr="00C02BDE">
        <w:rPr>
          <w:color w:val="EE0000"/>
          <w:sz w:val="20"/>
          <w:szCs w:val="20"/>
        </w:rPr>
        <w:t xml:space="preserve">. Darüber hinaus muss erwähnt werden, dass das konventinelle Reactorkonzept aufgrund von Materiallimitierugnen bei </w:t>
      </w:r>
      <w:r>
        <w:rPr>
          <w:color w:val="EE0000"/>
          <w:sz w:val="20"/>
          <w:szCs w:val="20"/>
        </w:rPr>
        <w:t>40</w:t>
      </w:r>
      <w:r w:rsidRPr="00C02BDE">
        <w:rPr>
          <w:color w:val="EE0000"/>
          <w:sz w:val="20"/>
          <w:szCs w:val="20"/>
        </w:rPr>
        <w:t xml:space="preserve">bar begrenzt ist. Dieser Vorteil stellt einen nicht von der hand zu weisendes Potential dar, da NG typischerweise mit </w:t>
      </w:r>
      <w:r>
        <w:rPr>
          <w:color w:val="EE0000"/>
          <w:sz w:val="20"/>
          <w:szCs w:val="20"/>
        </w:rPr>
        <w:t>70</w:t>
      </w:r>
      <w:r w:rsidRPr="00C02BDE">
        <w:rPr>
          <w:color w:val="EE0000"/>
          <w:sz w:val="20"/>
          <w:szCs w:val="20"/>
        </w:rPr>
        <w:t xml:space="preserve"> bar aus der pipeline kommt und synthesegas mit </w:t>
      </w:r>
      <w:r>
        <w:rPr>
          <w:color w:val="EE0000"/>
          <w:sz w:val="20"/>
          <w:szCs w:val="20"/>
        </w:rPr>
        <w:t>increased</w:t>
      </w:r>
      <w:r w:rsidRPr="00C02BDE">
        <w:rPr>
          <w:color w:val="EE0000"/>
          <w:sz w:val="20"/>
          <w:szCs w:val="20"/>
        </w:rPr>
        <w:t xml:space="preserve"> </w:t>
      </w:r>
      <w:r>
        <w:rPr>
          <w:color w:val="EE0000"/>
          <w:sz w:val="20"/>
          <w:szCs w:val="20"/>
        </w:rPr>
        <w:t>pressure</w:t>
      </w:r>
      <w:r w:rsidRPr="00C02BDE">
        <w:rPr>
          <w:color w:val="EE0000"/>
          <w:sz w:val="20"/>
          <w:szCs w:val="20"/>
        </w:rPr>
        <w:t xml:space="preserve"> in downstreamprozessen benötogt wird, eine Verdichtung nach der Refomierung jedoch aufgunrd der molzahlincreasing reaktion energieaufwendiger ist als davor.</w:t>
      </w:r>
      <w:r>
        <w:rPr>
          <w:color w:val="EE0000"/>
          <w:sz w:val="20"/>
          <w:szCs w:val="20"/>
        </w:rPr>
        <w:t xml:space="preserve"> Der effekt ist jedoch geringer als die anderen analysierten effekte</w:t>
      </w:r>
      <w:r w:rsidRPr="00C02BDE">
        <w:rPr>
          <w:color w:val="EE0000"/>
          <w:sz w:val="20"/>
          <w:szCs w:val="20"/>
        </w:rPr>
        <w:t xml:space="preserve">. Es wird als sinnig gesehen einen Prozess zu untersuchen, welcher genau diese Vorteil noch stärker nutzt. Naheliegend dafür ist der Ammoniasynthesegas prozess, da das reformierte synthesegasprodukt  für die Ammoniasynthese auf mindestens 150bar verdichtet werden muss. Zusätzlich kann in diesem Prozess der Vorteil des neuen Reaktorsystems von hohen Reaktionstemperaturen (&gt;1000°C) bei der gleichzeitigen möglichkeit eines externen Energieeintrags (konträr zu adiabaten Reaktorkonzepten, welche sonst für solch hohe Reaktionstemperaturen genutzt werden) genutzt werden. Dies ist verbunden mit einer </w:t>
      </w:r>
      <w:r w:rsidRPr="00C02BDE">
        <w:rPr>
          <w:color w:val="EE0000"/>
          <w:sz w:val="20"/>
          <w:szCs w:val="20"/>
        </w:rPr>
        <w:lastRenderedPageBreak/>
        <w:t>potentiellen CAPEX reduktion, bei einem ansonsten nahezu unveränderten Prozessdesign mit bereits kommerzielalisierten Technologien. Der Einsatz des neuen Reaktorkonzepts in diesem Prozess wird als vielversprechender eingestuft als im SMR-Prozess.</w:t>
      </w:r>
    </w:p>
    <w:p w14:paraId="28957420" w14:textId="77777777" w:rsidR="00C80016" w:rsidRPr="00C02BDE" w:rsidRDefault="00C80016" w:rsidP="00C80016">
      <w:pPr>
        <w:rPr>
          <w:color w:val="EE0000"/>
          <w:sz w:val="20"/>
          <w:szCs w:val="20"/>
        </w:rPr>
      </w:pPr>
      <w:r w:rsidRPr="00C02BDE">
        <w:rPr>
          <w:color w:val="EE0000"/>
          <w:sz w:val="20"/>
          <w:szCs w:val="20"/>
        </w:rPr>
        <w:t xml:space="preserve">Mittels einer ausführlcihen TEA können der Einfluss von </w:t>
      </w:r>
    </w:p>
    <w:p w14:paraId="0894ACD8" w14:textId="77777777" w:rsidR="00C80016" w:rsidRPr="004148E5" w:rsidRDefault="00C80016" w:rsidP="00C80016">
      <w:pPr>
        <w:pStyle w:val="ListParagraph"/>
        <w:numPr>
          <w:ilvl w:val="0"/>
          <w:numId w:val="3"/>
        </w:numPr>
        <w:rPr>
          <w:color w:val="EE0000"/>
          <w:sz w:val="20"/>
          <w:szCs w:val="20"/>
        </w:rPr>
      </w:pPr>
      <w:r>
        <w:rPr>
          <w:color w:val="EE0000"/>
          <w:sz w:val="20"/>
          <w:szCs w:val="20"/>
        </w:rPr>
        <w:t xml:space="preserve">günstigerem capturing </w:t>
      </w:r>
    </w:p>
    <w:p w14:paraId="4AB79D4E" w14:textId="77777777" w:rsidR="00C80016" w:rsidRPr="00C02BDE" w:rsidRDefault="00C80016" w:rsidP="00C80016">
      <w:pPr>
        <w:pStyle w:val="ListParagraph"/>
        <w:numPr>
          <w:ilvl w:val="0"/>
          <w:numId w:val="3"/>
        </w:numPr>
        <w:rPr>
          <w:color w:val="EE0000"/>
          <w:sz w:val="20"/>
          <w:szCs w:val="20"/>
        </w:rPr>
      </w:pPr>
      <w:r w:rsidRPr="00C02BDE">
        <w:rPr>
          <w:color w:val="EE0000"/>
          <w:sz w:val="20"/>
          <w:szCs w:val="20"/>
        </w:rPr>
        <w:t>geringeren Verdichtungskosten</w:t>
      </w:r>
    </w:p>
    <w:p w14:paraId="011A9414" w14:textId="77777777" w:rsidR="00C80016" w:rsidRDefault="00C80016" w:rsidP="00C80016">
      <w:pPr>
        <w:pStyle w:val="ListParagraph"/>
        <w:numPr>
          <w:ilvl w:val="0"/>
          <w:numId w:val="3"/>
        </w:numPr>
        <w:rPr>
          <w:color w:val="EE0000"/>
          <w:sz w:val="20"/>
          <w:szCs w:val="20"/>
        </w:rPr>
      </w:pPr>
      <w:r w:rsidRPr="00C02BDE">
        <w:rPr>
          <w:color w:val="EE0000"/>
          <w:sz w:val="20"/>
          <w:szCs w:val="20"/>
        </w:rPr>
        <w:t>und geringeren CAPEX-Kosten</w:t>
      </w:r>
    </w:p>
    <w:p w14:paraId="73AF7577" w14:textId="77777777" w:rsidR="00C80016" w:rsidRDefault="00C80016" w:rsidP="00C80016">
      <w:pPr>
        <w:rPr>
          <w:color w:val="EE0000"/>
          <w:sz w:val="20"/>
          <w:szCs w:val="20"/>
        </w:rPr>
      </w:pPr>
      <w:r w:rsidRPr="00C02BDE">
        <w:rPr>
          <w:color w:val="EE0000"/>
          <w:sz w:val="20"/>
          <w:szCs w:val="20"/>
        </w:rPr>
        <w:t xml:space="preserve">gegenüebr der höheren Energiekosten von Elektrizität vs. NG-fuel bewertet werden. </w:t>
      </w:r>
    </w:p>
    <w:p w14:paraId="2D3A4AE5" w14:textId="77777777" w:rsidR="00C80016" w:rsidRDefault="00C80016" w:rsidP="00C80016">
      <w:pPr>
        <w:rPr>
          <w:color w:val="EE0000"/>
          <w:sz w:val="20"/>
          <w:szCs w:val="20"/>
        </w:rPr>
      </w:pPr>
    </w:p>
    <w:p w14:paraId="30581161" w14:textId="77777777" w:rsidR="00C80016" w:rsidRPr="00C02BDE" w:rsidRDefault="00C80016" w:rsidP="00C80016">
      <w:pPr>
        <w:rPr>
          <w:color w:val="EE0000"/>
          <w:sz w:val="20"/>
          <w:szCs w:val="20"/>
        </w:rPr>
      </w:pPr>
      <w:r>
        <w:rPr>
          <w:color w:val="EE0000"/>
          <w:sz w:val="20"/>
          <w:szCs w:val="20"/>
        </w:rPr>
        <w:t>Außerdem gibt es bereits zahlreiche Quellen, welche den eSMR prozess in technoökonomischen Analysen untersucht haben und zu einem negativen ergebnis gekommen sind. Dabei ist zwar der Druck ein geringerer, als der, welcher mit dem OCMC system gefahren werden könnte, aber dieser aspekt ist not likely to change the fundamental dynamics. Gleichzeitig gibt es wenige untersuchungen zu Ammoniaksynthesegasproduktion, außerdem inkjludiert diese auch den Aspekt des höheren Druckes, weshalb zumindest qualitative Rückschlüsse auf den einfluss eines höheren druckes im hydrogen prozess getroffen werden können und eine abschätzung getroffen werden kann ob eine detailanalyse evtl. Doch interessant wäre.</w:t>
      </w:r>
    </w:p>
    <w:p w14:paraId="0E95DD69" w14:textId="77777777" w:rsidR="00C80016" w:rsidRPr="00AF7FF7" w:rsidRDefault="00C80016" w:rsidP="00800A7E">
      <w:pPr>
        <w:rPr>
          <w:sz w:val="20"/>
          <w:szCs w:val="20"/>
          <w:lang w:val="en-GB"/>
        </w:rPr>
      </w:pPr>
    </w:p>
    <w:sectPr w:rsidR="00C80016" w:rsidRPr="00AF7F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831B1" w14:textId="77777777" w:rsidR="00E67C68" w:rsidRDefault="00E67C68" w:rsidP="00AF6E1A">
      <w:r>
        <w:separator/>
      </w:r>
    </w:p>
  </w:endnote>
  <w:endnote w:type="continuationSeparator" w:id="0">
    <w:p w14:paraId="46AC22D6" w14:textId="77777777" w:rsidR="00E67C68" w:rsidRDefault="00E67C68" w:rsidP="00AF6E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68361" w14:textId="77777777" w:rsidR="00E67C68" w:rsidRDefault="00E67C68" w:rsidP="00AF6E1A">
      <w:r>
        <w:separator/>
      </w:r>
    </w:p>
  </w:footnote>
  <w:footnote w:type="continuationSeparator" w:id="0">
    <w:p w14:paraId="481EF3F0" w14:textId="77777777" w:rsidR="00E67C68" w:rsidRDefault="00E67C68" w:rsidP="00AF6E1A">
      <w:r>
        <w:continuationSeparator/>
      </w:r>
    </w:p>
  </w:footnote>
  <w:footnote w:id="1">
    <w:p w14:paraId="751DC433" w14:textId="588249A3" w:rsidR="00AF6E1A" w:rsidRPr="00AF6E1A" w:rsidRDefault="00AF6E1A">
      <w:pPr>
        <w:pStyle w:val="FootnoteText"/>
        <w:rPr>
          <w:lang w:val="en-US"/>
        </w:rPr>
      </w:pPr>
      <w:r>
        <w:rPr>
          <w:rStyle w:val="FootnoteReference"/>
        </w:rPr>
        <w:footnoteRef/>
      </w:r>
      <w:r>
        <w:t xml:space="preserve"> </w:t>
      </w:r>
      <w:r w:rsidRPr="00AF6E1A">
        <w:t xml:space="preserve">IEA electricity price estimates for the United States and China are based on industrial prices in Texas and Inner Mongolia, respectively </w:t>
      </w:r>
      <w:r>
        <w:t>–</w:t>
      </w:r>
      <w:r w:rsidRPr="00AF6E1A">
        <w:t xml:space="preserve"> both among the lowest-cost regions within their respective countries. Reported values should therefore be interpreted as indicative lower bounds rather than national averages.</w:t>
      </w:r>
    </w:p>
  </w:footnote>
  <w:footnote w:id="2">
    <w:p w14:paraId="13984EDA" w14:textId="41735A69" w:rsidR="00E95313" w:rsidRPr="00E95313" w:rsidRDefault="00E95313">
      <w:pPr>
        <w:pStyle w:val="FootnoteText"/>
        <w:rPr>
          <w:lang w:val="en-US"/>
        </w:rPr>
      </w:pPr>
      <w:r>
        <w:rPr>
          <w:rStyle w:val="FootnoteReference"/>
        </w:rPr>
        <w:footnoteRef/>
      </w:r>
      <w:r>
        <w:t xml:space="preserve"> </w:t>
      </w:r>
      <w:r>
        <w:rPr>
          <w:lang w:val="en-US"/>
        </w:rPr>
        <w:t>100% renewable electricity, i</w:t>
      </w:r>
      <w:r w:rsidRPr="00E95313">
        <w:rPr>
          <w:lang w:val="en-US"/>
        </w:rPr>
        <w:t xml:space="preserve">deal heat integration and no losses in </w:t>
      </w:r>
      <w:proofErr w:type="spellStart"/>
      <w:r>
        <w:rPr>
          <w:lang w:val="en-US"/>
        </w:rPr>
        <w:t>eSMR</w:t>
      </w:r>
      <w:proofErr w:type="spellEnd"/>
      <w:r>
        <w:rPr>
          <w:lang w:val="en-US"/>
        </w:rPr>
        <w:t>; losses of 15% in conventional SMR</w:t>
      </w:r>
      <w:r w:rsidR="00354EBF">
        <w:rPr>
          <w:lang w:val="en-US"/>
        </w:rPr>
        <w:t xml:space="preserve">, </w:t>
      </w:r>
      <w:r w:rsidR="00DD3DE2">
        <w:rPr>
          <w:lang w:val="en-US"/>
        </w:rPr>
        <w:t xml:space="preserve">feed: </w:t>
      </w:r>
      <w:r w:rsidR="00354EBF">
        <w:rPr>
          <w:lang w:val="en-US"/>
        </w:rPr>
        <w:t>pure methane</w:t>
      </w:r>
      <w:r w:rsidR="007A6323">
        <w:rPr>
          <w:lang w:val="en-US"/>
        </w:rPr>
        <w:t>,</w:t>
      </w:r>
      <w:r w:rsidR="00354EBF">
        <w:rPr>
          <w:lang w:val="en-US"/>
        </w:rPr>
        <w:t xml:space="preserve"> steam (S/C = 2,5), </w:t>
      </w:r>
      <w:r w:rsidR="00DD3DE2">
        <w:rPr>
          <w:lang w:val="en-US"/>
        </w:rPr>
        <w:t>conventional</w:t>
      </w:r>
      <w:r w:rsidR="00DD3DE2">
        <w:rPr>
          <w:lang w:val="en-US"/>
        </w:rPr>
        <w:t xml:space="preserve"> process</w:t>
      </w:r>
      <w:r w:rsidR="00DD3DE2">
        <w:rPr>
          <w:lang w:val="en-US"/>
        </w:rPr>
        <w:t xml:space="preserve"> parameters</w:t>
      </w:r>
      <w:r w:rsidR="00DD3DE2">
        <w:rPr>
          <w:lang w:val="en-US"/>
        </w:rPr>
        <w:t xml:space="preserve">: </w:t>
      </w:r>
      <w:r w:rsidR="007A6323">
        <w:rPr>
          <w:lang w:val="en-US"/>
        </w:rPr>
        <w:t>85</w:t>
      </w:r>
      <w:r w:rsidR="00354EBF">
        <w:rPr>
          <w:lang w:val="en-US"/>
        </w:rPr>
        <w:t xml:space="preserve">0°C, </w:t>
      </w:r>
      <w:r w:rsidR="007A6323">
        <w:rPr>
          <w:lang w:val="en-US"/>
        </w:rPr>
        <w:t>17</w:t>
      </w:r>
      <w:r w:rsidR="00354EBF">
        <w:rPr>
          <w:lang w:val="en-US"/>
        </w:rPr>
        <w:t xml:space="preserve"> bar</w:t>
      </w:r>
      <w:r w:rsidR="00DD3DE2">
        <w:rPr>
          <w:lang w:val="en-US"/>
        </w:rPr>
        <w:t xml:space="preserve">, OCMC process parameters: 1100°C, 51 </w:t>
      </w:r>
      <w:proofErr w:type="gramStart"/>
      <w:r w:rsidR="00DD3DE2">
        <w:rPr>
          <w:lang w:val="en-US"/>
        </w:rPr>
        <w:t>bar</w:t>
      </w:r>
      <w:proofErr w:type="gramEnd"/>
      <w:r w:rsidR="00026348">
        <w:rPr>
          <w:lang w:val="en-US"/>
        </w:rPr>
        <w:t>, neglected: compression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9251B"/>
    <w:multiLevelType w:val="hybridMultilevel"/>
    <w:tmpl w:val="7FD8E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1114D0"/>
    <w:multiLevelType w:val="hybridMultilevel"/>
    <w:tmpl w:val="51BE78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E13439D"/>
    <w:multiLevelType w:val="hybridMultilevel"/>
    <w:tmpl w:val="2F50A0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D7702F7"/>
    <w:multiLevelType w:val="hybridMultilevel"/>
    <w:tmpl w:val="EDF20C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FC545B5"/>
    <w:multiLevelType w:val="hybridMultilevel"/>
    <w:tmpl w:val="052E2F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06586719">
    <w:abstractNumId w:val="0"/>
  </w:num>
  <w:num w:numId="2" w16cid:durableId="385223811">
    <w:abstractNumId w:val="2"/>
  </w:num>
  <w:num w:numId="3" w16cid:durableId="1268348684">
    <w:abstractNumId w:val="3"/>
  </w:num>
  <w:num w:numId="4" w16cid:durableId="1159539984">
    <w:abstractNumId w:val="1"/>
  </w:num>
  <w:num w:numId="5" w16cid:durableId="3369248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DAB"/>
    <w:rsid w:val="00000212"/>
    <w:rsid w:val="000053AA"/>
    <w:rsid w:val="00013EC6"/>
    <w:rsid w:val="00026348"/>
    <w:rsid w:val="00083F5E"/>
    <w:rsid w:val="00085598"/>
    <w:rsid w:val="00090069"/>
    <w:rsid w:val="000B6C3B"/>
    <w:rsid w:val="000D0511"/>
    <w:rsid w:val="000D68DB"/>
    <w:rsid w:val="001046D7"/>
    <w:rsid w:val="00107239"/>
    <w:rsid w:val="00112AC3"/>
    <w:rsid w:val="001152A8"/>
    <w:rsid w:val="0012535A"/>
    <w:rsid w:val="00143941"/>
    <w:rsid w:val="00167D95"/>
    <w:rsid w:val="0018524F"/>
    <w:rsid w:val="001936CB"/>
    <w:rsid w:val="001A56BA"/>
    <w:rsid w:val="001A6888"/>
    <w:rsid w:val="001C17C3"/>
    <w:rsid w:val="001E3D70"/>
    <w:rsid w:val="00203CE5"/>
    <w:rsid w:val="00222285"/>
    <w:rsid w:val="00261821"/>
    <w:rsid w:val="00265587"/>
    <w:rsid w:val="0027389B"/>
    <w:rsid w:val="002751F1"/>
    <w:rsid w:val="00284869"/>
    <w:rsid w:val="00286CB6"/>
    <w:rsid w:val="0029376A"/>
    <w:rsid w:val="002962F1"/>
    <w:rsid w:val="002A1605"/>
    <w:rsid w:val="002A59A1"/>
    <w:rsid w:val="002C1EBF"/>
    <w:rsid w:val="00352759"/>
    <w:rsid w:val="00354EBF"/>
    <w:rsid w:val="003732C2"/>
    <w:rsid w:val="00374DAB"/>
    <w:rsid w:val="003B2A86"/>
    <w:rsid w:val="003B6AAA"/>
    <w:rsid w:val="003F0FCF"/>
    <w:rsid w:val="003F785B"/>
    <w:rsid w:val="004148E5"/>
    <w:rsid w:val="004222A4"/>
    <w:rsid w:val="00434C4D"/>
    <w:rsid w:val="00444F1C"/>
    <w:rsid w:val="00471356"/>
    <w:rsid w:val="004A3FD9"/>
    <w:rsid w:val="004B0D83"/>
    <w:rsid w:val="004D7172"/>
    <w:rsid w:val="00501A50"/>
    <w:rsid w:val="005170F2"/>
    <w:rsid w:val="00525586"/>
    <w:rsid w:val="005446A0"/>
    <w:rsid w:val="00554DF7"/>
    <w:rsid w:val="0056073F"/>
    <w:rsid w:val="00565E56"/>
    <w:rsid w:val="0058623B"/>
    <w:rsid w:val="005968C9"/>
    <w:rsid w:val="005A268B"/>
    <w:rsid w:val="005A3E12"/>
    <w:rsid w:val="005D5E58"/>
    <w:rsid w:val="005E0358"/>
    <w:rsid w:val="005F21DE"/>
    <w:rsid w:val="005F4C28"/>
    <w:rsid w:val="00620547"/>
    <w:rsid w:val="00643E1C"/>
    <w:rsid w:val="006948FE"/>
    <w:rsid w:val="006B63ED"/>
    <w:rsid w:val="006D6E21"/>
    <w:rsid w:val="006D797F"/>
    <w:rsid w:val="006D7CA5"/>
    <w:rsid w:val="006E3370"/>
    <w:rsid w:val="00701B02"/>
    <w:rsid w:val="00702DDA"/>
    <w:rsid w:val="00721649"/>
    <w:rsid w:val="007646C9"/>
    <w:rsid w:val="00764BCF"/>
    <w:rsid w:val="00776E20"/>
    <w:rsid w:val="00786B43"/>
    <w:rsid w:val="00790D87"/>
    <w:rsid w:val="00793D3F"/>
    <w:rsid w:val="00794D2A"/>
    <w:rsid w:val="007A0E20"/>
    <w:rsid w:val="007A6323"/>
    <w:rsid w:val="007F7249"/>
    <w:rsid w:val="00800A7E"/>
    <w:rsid w:val="00807E3A"/>
    <w:rsid w:val="00810481"/>
    <w:rsid w:val="00834D55"/>
    <w:rsid w:val="00845AAC"/>
    <w:rsid w:val="008559F9"/>
    <w:rsid w:val="00857E2A"/>
    <w:rsid w:val="008955F0"/>
    <w:rsid w:val="008B72D1"/>
    <w:rsid w:val="008D199F"/>
    <w:rsid w:val="008E3439"/>
    <w:rsid w:val="008F30BA"/>
    <w:rsid w:val="00913245"/>
    <w:rsid w:val="00945ED6"/>
    <w:rsid w:val="00964CCC"/>
    <w:rsid w:val="0097555B"/>
    <w:rsid w:val="00987E1C"/>
    <w:rsid w:val="009D0974"/>
    <w:rsid w:val="009E5CA7"/>
    <w:rsid w:val="00A01C16"/>
    <w:rsid w:val="00A222E2"/>
    <w:rsid w:val="00A26D0E"/>
    <w:rsid w:val="00A31F4C"/>
    <w:rsid w:val="00A43055"/>
    <w:rsid w:val="00A501D1"/>
    <w:rsid w:val="00A60B9D"/>
    <w:rsid w:val="00A61F65"/>
    <w:rsid w:val="00A81026"/>
    <w:rsid w:val="00A84BD4"/>
    <w:rsid w:val="00A944D9"/>
    <w:rsid w:val="00A9612D"/>
    <w:rsid w:val="00AD319E"/>
    <w:rsid w:val="00AE5DE9"/>
    <w:rsid w:val="00AF6E1A"/>
    <w:rsid w:val="00AF7FF7"/>
    <w:rsid w:val="00B16DBC"/>
    <w:rsid w:val="00B42071"/>
    <w:rsid w:val="00B44E2A"/>
    <w:rsid w:val="00B46249"/>
    <w:rsid w:val="00B5363C"/>
    <w:rsid w:val="00B72C91"/>
    <w:rsid w:val="00B91A17"/>
    <w:rsid w:val="00BA2C30"/>
    <w:rsid w:val="00BB36D0"/>
    <w:rsid w:val="00BC443D"/>
    <w:rsid w:val="00BD0B36"/>
    <w:rsid w:val="00BD27B7"/>
    <w:rsid w:val="00BF3CD6"/>
    <w:rsid w:val="00BF61AE"/>
    <w:rsid w:val="00C01544"/>
    <w:rsid w:val="00C02BDE"/>
    <w:rsid w:val="00C10A4E"/>
    <w:rsid w:val="00C3381C"/>
    <w:rsid w:val="00C77CA1"/>
    <w:rsid w:val="00C80016"/>
    <w:rsid w:val="00C87D1B"/>
    <w:rsid w:val="00CB6752"/>
    <w:rsid w:val="00CC1E8B"/>
    <w:rsid w:val="00CE0C58"/>
    <w:rsid w:val="00D04ACB"/>
    <w:rsid w:val="00D12643"/>
    <w:rsid w:val="00D34F3B"/>
    <w:rsid w:val="00D84592"/>
    <w:rsid w:val="00D856FE"/>
    <w:rsid w:val="00D94B93"/>
    <w:rsid w:val="00D964A0"/>
    <w:rsid w:val="00DD2441"/>
    <w:rsid w:val="00DD3DE2"/>
    <w:rsid w:val="00DD7131"/>
    <w:rsid w:val="00E211E9"/>
    <w:rsid w:val="00E221B3"/>
    <w:rsid w:val="00E32719"/>
    <w:rsid w:val="00E4290E"/>
    <w:rsid w:val="00E4440D"/>
    <w:rsid w:val="00E46FD7"/>
    <w:rsid w:val="00E5501C"/>
    <w:rsid w:val="00E67C68"/>
    <w:rsid w:val="00E73259"/>
    <w:rsid w:val="00E93183"/>
    <w:rsid w:val="00E94823"/>
    <w:rsid w:val="00E95313"/>
    <w:rsid w:val="00EA0F76"/>
    <w:rsid w:val="00EC008A"/>
    <w:rsid w:val="00ED5564"/>
    <w:rsid w:val="00EE4A0F"/>
    <w:rsid w:val="00EE6A48"/>
    <w:rsid w:val="00EF1289"/>
    <w:rsid w:val="00EF7378"/>
    <w:rsid w:val="00F039D6"/>
    <w:rsid w:val="00F07D57"/>
    <w:rsid w:val="00F14B5E"/>
    <w:rsid w:val="00F532E0"/>
    <w:rsid w:val="00F87519"/>
    <w:rsid w:val="00FA6C7E"/>
    <w:rsid w:val="00FB46F2"/>
    <w:rsid w:val="00FC74D9"/>
    <w:rsid w:val="00FD6E78"/>
    <w:rsid w:val="00FE681D"/>
    <w:rsid w:val="00FF5D7C"/>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3E65D497"/>
  <w15:chartTrackingRefBased/>
  <w15:docId w15:val="{BF128E62-8027-1046-830C-AD43B40092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48FE"/>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374D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4D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4D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4D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4D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4DA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4DA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4DA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4DA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4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4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4D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4D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4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4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4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4DAB"/>
    <w:rPr>
      <w:rFonts w:eastAsiaTheme="majorEastAsia" w:cstheme="majorBidi"/>
      <w:color w:val="272727" w:themeColor="text1" w:themeTint="D8"/>
    </w:rPr>
  </w:style>
  <w:style w:type="paragraph" w:styleId="Title">
    <w:name w:val="Title"/>
    <w:basedOn w:val="Normal"/>
    <w:next w:val="Normal"/>
    <w:link w:val="TitleChar"/>
    <w:uiPriority w:val="10"/>
    <w:qFormat/>
    <w:rsid w:val="00374DA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4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4DA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4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4DA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74DAB"/>
    <w:rPr>
      <w:i/>
      <w:iCs/>
      <w:color w:val="404040" w:themeColor="text1" w:themeTint="BF"/>
    </w:rPr>
  </w:style>
  <w:style w:type="paragraph" w:styleId="ListParagraph">
    <w:name w:val="List Paragraph"/>
    <w:basedOn w:val="Normal"/>
    <w:uiPriority w:val="34"/>
    <w:qFormat/>
    <w:rsid w:val="00374DAB"/>
    <w:pPr>
      <w:ind w:left="720"/>
      <w:contextualSpacing/>
    </w:pPr>
  </w:style>
  <w:style w:type="character" w:styleId="IntenseEmphasis">
    <w:name w:val="Intense Emphasis"/>
    <w:basedOn w:val="DefaultParagraphFont"/>
    <w:uiPriority w:val="21"/>
    <w:qFormat/>
    <w:rsid w:val="00374DAB"/>
    <w:rPr>
      <w:i/>
      <w:iCs/>
      <w:color w:val="2F5496" w:themeColor="accent1" w:themeShade="BF"/>
    </w:rPr>
  </w:style>
  <w:style w:type="paragraph" w:styleId="IntenseQuote">
    <w:name w:val="Intense Quote"/>
    <w:basedOn w:val="Normal"/>
    <w:next w:val="Normal"/>
    <w:link w:val="IntenseQuoteChar"/>
    <w:uiPriority w:val="30"/>
    <w:qFormat/>
    <w:rsid w:val="00374D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4DAB"/>
    <w:rPr>
      <w:i/>
      <w:iCs/>
      <w:color w:val="2F5496" w:themeColor="accent1" w:themeShade="BF"/>
    </w:rPr>
  </w:style>
  <w:style w:type="character" w:styleId="IntenseReference">
    <w:name w:val="Intense Reference"/>
    <w:basedOn w:val="DefaultParagraphFont"/>
    <w:uiPriority w:val="32"/>
    <w:qFormat/>
    <w:rsid w:val="00374DAB"/>
    <w:rPr>
      <w:b/>
      <w:bCs/>
      <w:smallCaps/>
      <w:color w:val="2F5496" w:themeColor="accent1" w:themeShade="BF"/>
      <w:spacing w:val="5"/>
    </w:rPr>
  </w:style>
  <w:style w:type="character" w:styleId="PlaceholderText">
    <w:name w:val="Placeholder Text"/>
    <w:basedOn w:val="DefaultParagraphFont"/>
    <w:uiPriority w:val="99"/>
    <w:semiHidden/>
    <w:rsid w:val="00374DAB"/>
    <w:rPr>
      <w:color w:val="666666"/>
    </w:rPr>
  </w:style>
  <w:style w:type="character" w:styleId="Hyperlink">
    <w:name w:val="Hyperlink"/>
    <w:basedOn w:val="DefaultParagraphFont"/>
    <w:uiPriority w:val="99"/>
    <w:unhideWhenUsed/>
    <w:rsid w:val="004A3FD9"/>
    <w:rPr>
      <w:color w:val="0563C1" w:themeColor="hyperlink"/>
      <w:u w:val="single"/>
    </w:rPr>
  </w:style>
  <w:style w:type="character" w:styleId="UnresolvedMention">
    <w:name w:val="Unresolved Mention"/>
    <w:basedOn w:val="DefaultParagraphFont"/>
    <w:uiPriority w:val="99"/>
    <w:semiHidden/>
    <w:unhideWhenUsed/>
    <w:rsid w:val="004A3FD9"/>
    <w:rPr>
      <w:color w:val="605E5C"/>
      <w:shd w:val="clear" w:color="auto" w:fill="E1DFDD"/>
    </w:rPr>
  </w:style>
  <w:style w:type="table" w:styleId="TableGrid">
    <w:name w:val="Table Grid"/>
    <w:basedOn w:val="TableNormal"/>
    <w:uiPriority w:val="39"/>
    <w:rsid w:val="00B16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AF6E1A"/>
    <w:rPr>
      <w:sz w:val="20"/>
      <w:szCs w:val="20"/>
    </w:rPr>
  </w:style>
  <w:style w:type="character" w:customStyle="1" w:styleId="FootnoteTextChar">
    <w:name w:val="Footnote Text Char"/>
    <w:basedOn w:val="DefaultParagraphFont"/>
    <w:link w:val="FootnoteText"/>
    <w:uiPriority w:val="99"/>
    <w:semiHidden/>
    <w:rsid w:val="00AF6E1A"/>
    <w:rPr>
      <w:sz w:val="20"/>
      <w:szCs w:val="20"/>
    </w:rPr>
  </w:style>
  <w:style w:type="character" w:styleId="FootnoteReference">
    <w:name w:val="footnote reference"/>
    <w:basedOn w:val="DefaultParagraphFont"/>
    <w:uiPriority w:val="99"/>
    <w:semiHidden/>
    <w:unhideWhenUsed/>
    <w:rsid w:val="00AF6E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a.blob.core.windows.net/assets/9e3a3493-b9a6-4b7d-b499-7ca48e357561/The_Future_of_Hydrogen.pdf" TargetMode="External"/><Relationship Id="rId13" Type="http://schemas.openxmlformats.org/officeDocument/2006/relationships/hyperlink" Target="https://www.iea.org/data-and-statistics/charts/industry-end-user-prices-for-natural-gas-in-selected-countries-2019-march-2023" TargetMode="External"/><Relationship Id="rId18" Type="http://schemas.openxmlformats.org/officeDocument/2006/relationships/hyperlink" Target="https://ieaghg.org/publications/techno-economic-evaluation-of-smr-based-standalone-merchant-hydrogen-plant-with-cc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iea.org/data-and-statistics/charts/estimated-final-electricity-price-for-large-industrial-customers-in-energy-intensive-industries-2019-2024" TargetMode="External"/><Relationship Id="rId17" Type="http://schemas.openxmlformats.org/officeDocument/2006/relationships/hyperlink" Target="https://www.iea.org/reports/electricity-2025/emissions" TargetMode="External"/><Relationship Id="rId2" Type="http://schemas.openxmlformats.org/officeDocument/2006/relationships/numbering" Target="numbering.xml"/><Relationship Id="rId16" Type="http://schemas.openxmlformats.org/officeDocument/2006/relationships/hyperlink" Target="https://www.sciencedirect.com/science/article/pii/S0301421521002500"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eefa.org/resources/europes-electricity-prices-are-still-tied-gas-making-geopolitics-structural-vulnerability" TargetMode="External"/><Relationship Id="rId5" Type="http://schemas.openxmlformats.org/officeDocument/2006/relationships/webSettings" Target="webSettings.xml"/><Relationship Id="rId15" Type="http://schemas.openxmlformats.org/officeDocument/2006/relationships/hyperlink" Target="https://ieefa.org/resources/understanding-competitive-landscape-chinas-lng-market" TargetMode="External"/><Relationship Id="rId10" Type="http://schemas.openxmlformats.org/officeDocument/2006/relationships/hyperlink" Target="https://onlinelibrary.wiley.com/doi/epdf/10.1002/cite.202100164" TargetMode="External"/><Relationship Id="rId19" Type="http://schemas.openxmlformats.org/officeDocument/2006/relationships/hyperlink" Target="https://doi.org/10.1177/02670836241262199" TargetMode="External"/><Relationship Id="rId4" Type="http://schemas.openxmlformats.org/officeDocument/2006/relationships/settings" Target="settings.xml"/><Relationship Id="rId9" Type="http://schemas.openxmlformats.org/officeDocument/2006/relationships/hyperlink" Target="https://www.sintef.no/globalassets/project/elegancy/deliverables/elegancy_d5.2.2_rotterdam_h2-production_integration.pdf" TargetMode="External"/><Relationship Id="rId14" Type="http://schemas.openxmlformats.org/officeDocument/2006/relationships/hyperlink" Target="https://www.iea.org/countries/china/energy-mix"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82AC85-E49E-1A43-9EFB-3700B168BA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3897</TotalTime>
  <Pages>11</Pages>
  <Words>6024</Words>
  <Characters>34340</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Nils Schüler | CKS</dc:creator>
  <cp:keywords/>
  <dc:description/>
  <cp:lastModifiedBy>Nils Schüler | CKS</cp:lastModifiedBy>
  <cp:revision>22</cp:revision>
  <cp:lastPrinted>2026-05-22T16:45:00Z</cp:lastPrinted>
  <dcterms:created xsi:type="dcterms:W3CDTF">2026-04-29T18:28:00Z</dcterms:created>
  <dcterms:modified xsi:type="dcterms:W3CDTF">2026-05-22T21:05:00Z</dcterms:modified>
</cp:coreProperties>
</file>