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üsteemi-arhitektuuri-ülevaade"/>
    <w:p>
      <w:pPr>
        <w:pStyle w:val="Heading1"/>
      </w:pPr>
      <w:r>
        <w:t xml:space="preserve">Süsteemi arhitektuuri ülevaade</w:t>
      </w:r>
    </w:p>
    <w:p>
      <w:pPr>
        <w:pStyle w:val="BodyText"/>
      </w:pPr>
      <w:r>
        <w:t xml:space="preserve">Käesolevas peatükis kirjeldatakse reaalajas krüptovaluutade turuandmete töötlemise ja ennustamise süsteemi arhitektuurilist disaini. Süsteem on realiseeritud polüglotse monorepona (TypeScript, Python, Rust) teenusepõhise arhitektuuriga, kus vastutused on eraldatud andmete sissevõtu, transformatsiooni, talletuse ja ennustuse kihtide vahel.</w:t>
      </w:r>
    </w:p>
    <w:bookmarkStart w:id="24" w:name="repositooriumi-struktuur"/>
    <w:p>
      <w:pPr>
        <w:pStyle w:val="Heading2"/>
      </w:pPr>
      <w:r>
        <w:t xml:space="preserve">Repositooriumi struktuur</w:t>
      </w:r>
    </w:p>
    <w:p>
      <w:pPr>
        <w:pStyle w:val="BodyText"/>
      </w:pPr>
      <w:r>
        <w:t xml:space="preserve">Monorepo järgib domeenipõhist kaustastruktuuri kolme põhidirektori ümber. Kataloog</w:t>
      </w:r>
      <w:r>
        <w:t xml:space="preserve"> </w:t>
      </w:r>
      <w:r>
        <w:rPr>
          <w:rStyle w:val="VerbatimChar"/>
        </w:rPr>
        <w:t xml:space="preserve">apps/</w:t>
      </w:r>
      <w:r>
        <w:t xml:space="preserve"> </w:t>
      </w:r>
      <w:r>
        <w:t xml:space="preserve">sisaldab iseseisvalt juurutatavaid teenuseid:</w:t>
      </w:r>
      <w:r>
        <w:t xml:space="preserve"> </w:t>
      </w:r>
      <w:r>
        <w:rPr>
          <w:b/>
          <w:bCs/>
        </w:rPr>
        <w:t xml:space="preserve">external-bridge</w:t>
      </w:r>
      <w:r>
        <w:t xml:space="preserve"> </w:t>
      </w:r>
      <w:r>
        <w:t xml:space="preserve">(andmete sissevõtt börsidelt),</w:t>
      </w:r>
      <w:r>
        <w:t xml:space="preserve"> </w:t>
      </w:r>
      <w:r>
        <w:rPr>
          <w:b/>
          <w:bCs/>
        </w:rPr>
        <w:t xml:space="preserve">internal-bridge</w:t>
      </w:r>
      <w:r>
        <w:t xml:space="preserve"> </w:t>
      </w:r>
      <w:r>
        <w:t xml:space="preserve">(andmete transformatsioon) ja</w:t>
      </w:r>
      <w:r>
        <w:t xml:space="preserve"> </w:t>
      </w:r>
      <w:r>
        <w:rPr>
          <w:b/>
          <w:bCs/>
        </w:rPr>
        <w:t xml:space="preserve">py-predictor</w:t>
      </w:r>
      <w:r>
        <w:t xml:space="preserve"> </w:t>
      </w:r>
      <w:r>
        <w:t xml:space="preserve">(masinõppemudelite treenimine ja inferents). Iga rakendus toimib autonoomse teenusena minimaalsete sõltuvustega.</w:t>
      </w:r>
    </w:p>
    <w:p>
      <w:pPr>
        <w:pStyle w:val="BodyText"/>
      </w:pPr>
      <w:r>
        <w:t xml:space="preserve">Kataloog</w:t>
      </w:r>
      <w:r>
        <w:t xml:space="preserve"> </w:t>
      </w:r>
      <w:r>
        <w:rPr>
          <w:rStyle w:val="VerbatimChar"/>
        </w:rPr>
        <w:t xml:space="preserve">packages/</w:t>
      </w:r>
      <w:r>
        <w:t xml:space="preserve"> </w:t>
      </w:r>
      <w:r>
        <w:t xml:space="preserve">sisaldab jagatud teeke: teenuseraamistikud, API kliendid, talletusabstraktsioonid, sõnumside teegid ja utiliidid. Implementatsioonid on</w:t>
      </w:r>
      <w:r>
        <w:t xml:space="preserve"> </w:t>
      </w:r>
      <w:r>
        <w:rPr>
          <w:b/>
          <w:bCs/>
        </w:rPr>
        <w:t xml:space="preserve">rakenduseagnostilised</w:t>
      </w:r>
      <w:r>
        <w:t xml:space="preserve">, tagades korduskasutatavuse eri teenuste kontekstis.</w:t>
      </w:r>
    </w:p>
    <w:p>
      <w:pPr>
        <w:pStyle w:val="BodyText"/>
      </w:pPr>
      <w:r>
        <w:t xml:space="preserve">Kataloog</w:t>
      </w:r>
      <w:r>
        <w:t xml:space="preserve"> </w:t>
      </w:r>
      <w:r>
        <w:rPr>
          <w:rStyle w:val="VerbatimChar"/>
        </w:rPr>
        <w:t xml:space="preserve">runtime/</w:t>
      </w:r>
      <w:r>
        <w:t xml:space="preserve"> </w:t>
      </w:r>
      <w:r>
        <w:t xml:space="preserve">sisaldab juurutusinfrastruktuuri ja monitooringu stack’i (VictoriaMetrics, Perses) konfiguratsioone.</w:t>
      </w:r>
    </w:p>
    <w:bookmarkStart w:id="23" w:name="zero-knowledge-setup"/>
    <w:p>
      <w:pPr>
        <w:pStyle w:val="Heading3"/>
      </w:pPr>
      <w:r>
        <w:t xml:space="preserve">Zero-Knowledge Setup</w:t>
      </w:r>
    </w:p>
    <w:p>
      <w:pPr>
        <w:pStyle w:val="BodyText"/>
      </w:pPr>
      <w:r>
        <w:t xml:space="preserve">Repositoorium järgib</w:t>
      </w:r>
      <w:r>
        <w:t xml:space="preserve"> </w:t>
      </w:r>
      <w:r>
        <w:t xml:space="preserve">“zero-knowledge setup”</w:t>
      </w:r>
      <w:r>
        <w:t xml:space="preserve"> </w:t>
      </w:r>
      <w:r>
        <w:t xml:space="preserve">filosoofiat: arenduskeskkonna täielikuks käivitamiseks piisab kolmest käsust:</w:t>
      </w:r>
      <w:r>
        <w:t xml:space="preserve"> </w:t>
      </w:r>
      <w:r>
        <w:rPr>
          <w:rStyle w:val="VerbatimChar"/>
        </w:rPr>
        <w:t xml:space="preserve">pnpm install</w:t>
      </w:r>
      <w:r>
        <w:t xml:space="preserve"> </w:t>
      </w:r>
      <w:r>
        <w:t xml:space="preserve">(sõltuvused + platvormispetsiifilised binaarid),</w:t>
      </w:r>
      <w:r>
        <w:t xml:space="preserve"> </w:t>
      </w:r>
      <w:r>
        <w:rPr>
          <w:rStyle w:val="VerbatimChar"/>
        </w:rPr>
        <w:t xml:space="preserve">pnpm build</w:t>
      </w:r>
      <w:r>
        <w:t xml:space="preserve"> </w:t>
      </w:r>
      <w:r>
        <w:t xml:space="preserve">(sõltuvuste järjekorras kompileerimine) ja</w:t>
      </w:r>
      <w:r>
        <w:t xml:space="preserve"> </w:t>
      </w:r>
      <w:r>
        <w:rPr>
          <w:rStyle w:val="VerbatimChar"/>
        </w:rPr>
        <w:t xml:space="preserve">pnpm --filter '&lt;workspace&gt;' start</w:t>
      </w:r>
      <w:r>
        <w:t xml:space="preserve"> </w:t>
      </w:r>
      <w:r>
        <w:t xml:space="preserve">(teenuse käivitamine). See abstraheerib erinevate runtime’ide keerukuse ja võimaldab uutel arendajatel käivitada kogu süsteemi minutitega.</w:t>
      </w:r>
    </w:p>
    <w:bookmarkEnd w:id="23"/>
    <w:bookmarkEnd w:id="24"/>
    <w:bookmarkStart w:id="25" w:name="keeleagnostiline-töövoog-pnpm-iga"/>
    <w:p>
      <w:pPr>
        <w:pStyle w:val="Heading2"/>
      </w:pPr>
      <w:r>
        <w:t xml:space="preserve">Keeleagnostiline töövoog pnpm-iga</w:t>
      </w:r>
    </w:p>
    <w:p>
      <w:pPr>
        <w:pStyle w:val="BodyText"/>
      </w:pPr>
      <w:r>
        <w:t xml:space="preserve">Kuigi pnpm on JavaScripti paketihaldur, kasutatakse seda</w:t>
      </w:r>
      <w:r>
        <w:t xml:space="preserve"> </w:t>
      </w:r>
      <w:r>
        <w:rPr>
          <w:b/>
          <w:bCs/>
        </w:rPr>
        <w:t xml:space="preserve">keeleagnostilise task runner’ina</w:t>
      </w:r>
      <w:r>
        <w:t xml:space="preserve"> </w:t>
      </w:r>
      <w:r>
        <w:t xml:space="preserve">kogu monorepo ulatuses. Iga workspace defineerib standardiseeritud npm-script’id (</w:t>
      </w:r>
      <w:r>
        <w:rPr>
          <w:rStyle w:val="VerbatimChar"/>
        </w:rPr>
        <w:t xml:space="preserve">build</w:t>
      </w:r>
      <w:r>
        <w:t xml:space="preserve">,</w:t>
      </w:r>
      <w:r>
        <w:t xml:space="preserve"> </w:t>
      </w:r>
      <w:r>
        <w:rPr>
          <w:rStyle w:val="VerbatimChar"/>
        </w:rPr>
        <w:t xml:space="preserve">test</w:t>
      </w:r>
      <w:r>
        <w:t xml:space="preserve">,</w:t>
      </w:r>
      <w:r>
        <w:t xml:space="preserve"> </w:t>
      </w:r>
      <w:r>
        <w:rPr>
          <w:rStyle w:val="VerbatimChar"/>
        </w:rPr>
        <w:t xml:space="preserve">lint</w:t>
      </w:r>
      <w:r>
        <w:t xml:space="preserve">), mis delegeerivad käsu sobivale keelespetsiifilisele tööriistale: Python paketid kasutavad</w:t>
      </w:r>
      <w:r>
        <w:t xml:space="preserve"> </w:t>
      </w:r>
      <w:r>
        <w:rPr>
          <w:rStyle w:val="VerbatimChar"/>
        </w:rPr>
        <w:t xml:space="preserve">uv run pytest</w:t>
      </w:r>
      <w:r>
        <w:t xml:space="preserve">, Rust kasutab</w:t>
      </w:r>
      <w:r>
        <w:t xml:space="preserve"> </w:t>
      </w:r>
      <w:r>
        <w:rPr>
          <w:rStyle w:val="VerbatimChar"/>
        </w:rPr>
        <w:t xml:space="preserve">cargo build</w:t>
      </w:r>
      <w:r>
        <w:t xml:space="preserve">, TypeScript kasutab</w:t>
      </w:r>
      <w:r>
        <w:t xml:space="preserve"> </w:t>
      </w:r>
      <w:r>
        <w:rPr>
          <w:rStyle w:val="VerbatimChar"/>
        </w:rPr>
        <w:t xml:space="preserve">tsc</w:t>
      </w:r>
      <w:r>
        <w:t xml:space="preserve"> </w:t>
      </w:r>
      <w:r>
        <w:t xml:space="preserve">ja</w:t>
      </w:r>
      <w:r>
        <w:t xml:space="preserve"> </w:t>
      </w:r>
      <w:r>
        <w:rPr>
          <w:rStyle w:val="VerbatimChar"/>
        </w:rPr>
        <w:t xml:space="preserve">vitest</w:t>
      </w:r>
      <w:r>
        <w:t xml:space="preserve">. Käsk</w:t>
      </w:r>
      <w:r>
        <w:t xml:space="preserve"> </w:t>
      </w:r>
      <w:r>
        <w:rPr>
          <w:rStyle w:val="VerbatimChar"/>
        </w:rPr>
        <w:t xml:space="preserve">pnpm --filter '&lt;package-name&gt;' &lt;command&gt;</w:t>
      </w:r>
      <w:r>
        <w:t xml:space="preserve"> </w:t>
      </w:r>
      <w:r>
        <w:t xml:space="preserve">käivitab vastava käsu konkreetses paketis.</w:t>
      </w:r>
    </w:p>
    <w:bookmarkEnd w:id="25"/>
    <w:bookmarkStart w:id="26" w:name="granulaarne-arendusvoog-pm2-abil"/>
    <w:p>
      <w:pPr>
        <w:pStyle w:val="Heading2"/>
      </w:pPr>
      <w:r>
        <w:t xml:space="preserve">Granulaarne arendusvoog PM2 abil</w:t>
      </w:r>
    </w:p>
    <w:p>
      <w:pPr>
        <w:pStyle w:val="BodyText"/>
      </w:pPr>
      <w:r>
        <w:t xml:space="preserve">PM2 protsessihaldur võimaldab peenhäälestatud kontrolli arenduskeskkonna üle hierarhiliste ecosystem-failide abil. Arendaja saab käivitada ainult aktuaalsed teenuste kombinatsioonid, vähendades ressursikulu. PM2</w:t>
      </w:r>
      <w:r>
        <w:t xml:space="preserve"> </w:t>
      </w:r>
      <w:r>
        <w:rPr>
          <w:b/>
          <w:bCs/>
        </w:rPr>
        <w:t xml:space="preserve">watch mode</w:t>
      </w:r>
      <w:r>
        <w:t xml:space="preserve"> </w:t>
      </w:r>
      <w:r>
        <w:t xml:space="preserve">taaskäivitab protsesse automaatselt failimuudatustel. Docker konteinerid on alternatiiv produktsioonikeskkonnas, kuid arenduse ajal on otsekäivitamine kiirem ja debuggimine lihtsam.</w:t>
      </w:r>
    </w:p>
    <w:bookmarkEnd w:id="26"/>
    <w:bookmarkStart w:id="33" w:name="teenusepõhine-arhitektuur"/>
    <w:p>
      <w:pPr>
        <w:pStyle w:val="Heading2"/>
      </w:pPr>
      <w:r>
        <w:t xml:space="preserve">Teenusepõhine arhitektuur</w:t>
      </w:r>
    </w:p>
    <w:bookmarkStart w:id="27" w:name="teenuseraamistik"/>
    <w:p>
      <w:pPr>
        <w:pStyle w:val="Heading3"/>
      </w:pPr>
      <w:r>
        <w:t xml:space="preserve">Teenuseraamistik</w:t>
      </w:r>
    </w:p>
    <w:p>
      <w:pPr>
        <w:pStyle w:val="BodyText"/>
      </w:pPr>
      <w:r>
        <w:t xml:space="preserve">Pakk</w:t>
      </w:r>
      <w:r>
        <w:t xml:space="preserve"> </w:t>
      </w:r>
      <w:r>
        <w:rPr>
          <w:rStyle w:val="VerbatimChar"/>
        </w:rPr>
        <w:t xml:space="preserve">service-framework-node</w:t>
      </w:r>
      <w:r>
        <w:t xml:space="preserve"> </w:t>
      </w:r>
      <w:r>
        <w:t xml:space="preserve">pakub Node.js teenustele: struktureeritud logimine korrelatsiooni-ID-dega, mõõdikute eksponeerimine Prometheus-formaadis, tüübiturvaline keskkonnakonfiguratsiooni valideerimine TypeBox skeemidega, protsessi elutsükli haldus (signaalid, graceful shutdown) ja HTTP/WebSocket serveri haldus Fastify baasil.</w:t>
      </w:r>
    </w:p>
    <w:p>
      <w:pPr>
        <w:pStyle w:val="BodyText"/>
      </w:pPr>
      <w:r>
        <w:t xml:space="preserve">Pakk</w:t>
      </w:r>
      <w:r>
        <w:t xml:space="preserve"> </w:t>
      </w:r>
      <w:r>
        <w:rPr>
          <w:rStyle w:val="VerbatimChar"/>
        </w:rPr>
        <w:t xml:space="preserve">py-service-framework</w:t>
      </w:r>
      <w:r>
        <w:t xml:space="preserve"> </w:t>
      </w:r>
      <w:r>
        <w:t xml:space="preserve">pakub Pythoni teenustele samaväärseid võimekusi keskkonna Pydantic valideerimisega, tagades ühtlustatud operatsioonilise käitumise keelteüleselt.</w:t>
      </w:r>
    </w:p>
    <w:bookmarkEnd w:id="27"/>
    <w:bookmarkStart w:id="28" w:name="api-kliendi-arhitektuur"/>
    <w:p>
      <w:pPr>
        <w:pStyle w:val="Heading3"/>
      </w:pPr>
      <w:r>
        <w:t xml:space="preserve">API kliendi arhitektuur</w:t>
      </w:r>
    </w:p>
    <w:p>
      <w:pPr>
        <w:pStyle w:val="BodyText"/>
      </w:pPr>
      <w:r>
        <w:rPr>
          <w:b/>
          <w:bCs/>
        </w:rPr>
        <w:t xml:space="preserve">HTTP REST klient</w:t>
      </w:r>
      <w:r>
        <w:t xml:space="preserve"> </w:t>
      </w:r>
      <w:r>
        <w:t xml:space="preserve">(</w:t>
      </w:r>
      <w:r>
        <w:rPr>
          <w:rStyle w:val="VerbatimChar"/>
        </w:rPr>
        <w:t xml:space="preserve">api-client-node</w:t>
      </w:r>
      <w:r>
        <w:t xml:space="preserve">) kasutab Undici’t kõrge jõudlusega HTTP päringuteks: path-parameetrite interpolatsioon, query string’i ehitus, päringu/vastuse valideerimine TypeBox skeemidega ja struktureeritud veakäsitlus.</w:t>
      </w:r>
    </w:p>
    <w:p>
      <w:pPr>
        <w:pStyle w:val="BodyText"/>
      </w:pPr>
      <w:r>
        <w:rPr>
          <w:b/>
          <w:bCs/>
        </w:rPr>
        <w:t xml:space="preserve">WebSocket klient</w:t>
      </w:r>
      <w:r>
        <w:t xml:space="preserve"> </w:t>
      </w:r>
      <w:r>
        <w:t xml:space="preserve">(</w:t>
      </w:r>
      <w:r>
        <w:rPr>
          <w:rStyle w:val="VerbatimChar"/>
        </w:rPr>
        <w:t xml:space="preserve">api-client-ws-node</w:t>
      </w:r>
      <w:r>
        <w:t xml:space="preserve">) haldab WebSocket ühendusi, valideerib runtime’is sõnumeid ja pakub tüübiturvalist voohaldust. Klient implementeerib automaatse taasühenduse ja ping/pong heartbeat mehhanismi.</w:t>
      </w:r>
    </w:p>
    <w:p>
      <w:pPr>
        <w:pStyle w:val="BodyText"/>
      </w:pPr>
      <w:r>
        <w:rPr>
          <w:b/>
          <w:bCs/>
        </w:rPr>
        <w:t xml:space="preserve">Skeemide definitsioonid</w:t>
      </w:r>
      <w:r>
        <w:t xml:space="preserve"> </w:t>
      </w:r>
      <w:r>
        <w:t xml:space="preserve">(</w:t>
      </w:r>
      <w:r>
        <w:rPr>
          <w:rStyle w:val="VerbatimChar"/>
        </w:rPr>
        <w:t xml:space="preserve">api-interface</w:t>
      </w:r>
      <w:r>
        <w:t xml:space="preserve">) sisaldab ühtseid TypeBox skeeme Binance’i ja Kraken’i API-de jaoks, pakkudes nii compile-time tüübituletust kui runtime-valideerimist.</w:t>
      </w:r>
    </w:p>
    <w:bookmarkEnd w:id="28"/>
    <w:bookmarkStart w:id="29" w:name="talletusinfrastruktuur"/>
    <w:p>
      <w:pPr>
        <w:pStyle w:val="Heading3"/>
      </w:pPr>
      <w:r>
        <w:t xml:space="preserve">Talletusinfrastruktuur</w:t>
      </w:r>
    </w:p>
    <w:p>
      <w:pPr>
        <w:pStyle w:val="BodyText"/>
      </w:pPr>
      <w:r>
        <w:t xml:space="preserve">Pakk</w:t>
      </w:r>
      <w:r>
        <w:t xml:space="preserve"> </w:t>
      </w:r>
      <w:r>
        <w:rPr>
          <w:rStyle w:val="VerbatimChar"/>
        </w:rPr>
        <w:t xml:space="preserve">rust-rocksdb-napi</w:t>
      </w:r>
      <w:r>
        <w:t xml:space="preserve"> </w:t>
      </w:r>
      <w:r>
        <w:t xml:space="preserve">pakub RocksDB bindinguid Rustis, kasutades NAPI-RS-i Node.js jaoks ja PyO3 Pythoni jaoks. Custom-implementatsioon oli vajalik, kuna olemasolevad teegid on hooldamata või ei toeta vajalikke funktsioone (nt secondary instantsid).</w:t>
      </w:r>
    </w:p>
    <w:p>
      <w:pPr>
        <w:pStyle w:val="BodyText"/>
      </w:pPr>
      <w:r>
        <w:t xml:space="preserve">Pakk</w:t>
      </w:r>
      <w:r>
        <w:t xml:space="preserve"> </w:t>
      </w:r>
      <w:r>
        <w:rPr>
          <w:rStyle w:val="VerbatimChar"/>
        </w:rPr>
        <w:t xml:space="preserve">persistent-storage-node</w:t>
      </w:r>
      <w:r>
        <w:t xml:space="preserve"> </w:t>
      </w:r>
      <w:r>
        <w:t xml:space="preserve">on kõrgema taseme TypeScripti talletuskiht entiteedipõhiste abstraktsioonidega. Entiteedid rakendavad automaatset alamindeksite haldust ja andmetransformaatorid teisendavad platvormispetsiifilised formaadid ühtseteks skeemideks.</w:t>
      </w:r>
    </w:p>
    <w:p>
      <w:pPr>
        <w:pStyle w:val="BodyText"/>
      </w:pPr>
      <w:r>
        <w:rPr>
          <w:b/>
          <w:bCs/>
        </w:rPr>
        <w:t xml:space="preserve">Primary/secondary muster</w:t>
      </w:r>
      <w:r>
        <w:t xml:space="preserve"> </w:t>
      </w:r>
      <w:r>
        <w:t xml:space="preserve">on RocksDB puhul oluline: primary instants võimaldab kirjutamisoperatsioone, samal ajal kui mitmed read-only secondary instantsid saavad samu andmeid paralleelselt lugeda. See tagab, et ajalooliste andmete taasesitus ei sega reaalajas sissevõttu.</w:t>
      </w:r>
    </w:p>
    <w:p>
      <w:pPr>
        <w:pStyle w:val="BodyText"/>
      </w:pPr>
      <w:r>
        <w:rPr>
          <w:b/>
          <w:bCs/>
        </w:rPr>
        <w:t xml:space="preserve">Talletusbackend’i evolutsioon</w:t>
      </w:r>
      <w:r>
        <w:t xml:space="preserve">: JSONL → SQLite → RocksDB. JSONL’il puudus kompressioon ja efektiivne juhuslik lugemine. SQLite’il tekkis truncation probleeme (kümneid minuteid miljonite ridade kustutamiseks). RocksDB LSM-tree pakub sisseehitatud kompressiooni (LZ4, Zstd), efektiivset vahemiku kustutamist ja write-optimiseeritud append’i.</w:t>
      </w:r>
    </w:p>
    <w:p>
      <w:pPr>
        <w:pStyle w:val="BodyText"/>
      </w:pPr>
      <w:r>
        <w:rPr>
          <w:b/>
          <w:bCs/>
        </w:rPr>
        <w:t xml:space="preserve">Jõudluskarakteristikud</w:t>
      </w:r>
      <w:r>
        <w:t xml:space="preserve">: Iga sümbol talletatakse eraldi RocksDB instantsis, tagades isoleeritud kirjutamislatentsused, paralleelse compaction’i ja selektiivse lugemise. RocksDB kompressioon vähendab andmemahtu 5-10× võrreldes toore JSON’iga. Mahuvõrdlus on reprodutseeritav repositooriumis olevate tööriistadega: RocksDB dump’imine JSONL formaati (</w:t>
      </w:r>
      <w:r>
        <w:rPr>
          <w:rStyle w:val="VerbatimChar"/>
        </w:rPr>
        <w:t xml:space="preserve">scripts/rocksdb.js</w:t>
      </w:r>
      <w:r>
        <w:t xml:space="preserve">) ja SQLite konversioon mahuvõrdluseks (</w:t>
      </w:r>
      <w:r>
        <w:rPr>
          <w:rStyle w:val="VerbatimChar"/>
        </w:rPr>
        <w:t xml:space="preserve">scripts/jsonl-to-sqlite.py</w:t>
      </w:r>
      <w:r>
        <w:t xml:space="preserve">) [1].</w:t>
      </w:r>
    </w:p>
    <w:bookmarkEnd w:id="29"/>
    <w:bookmarkStart w:id="30" w:name="protsessidevaheline-sõnumside"/>
    <w:p>
      <w:pPr>
        <w:pStyle w:val="Heading3"/>
      </w:pPr>
      <w:r>
        <w:t xml:space="preserve">Protsessidevaheline sõnumside</w:t>
      </w:r>
    </w:p>
    <w:p>
      <w:pPr>
        <w:pStyle w:val="BodyText"/>
      </w:pPr>
      <w:r>
        <w:t xml:space="preserve">ZeroMQ pakub suure jõudlusega asünkroonset sõnumivahetust Node.js teenuste vahel. IPC latentsus on ~30-50 μs roundtrip. Determinismi tagamiseks kontrollivad consumerid järjestikuste ID-de järjestust; lünga korral täidetakse puuduvad sõnumid RocksDB secondary instance’ist.</w:t>
      </w:r>
    </w:p>
    <w:p>
      <w:pPr>
        <w:pStyle w:val="BodyText"/>
      </w:pPr>
      <w:r>
        <w:t xml:space="preserve">Pakk</w:t>
      </w:r>
      <w:r>
        <w:t xml:space="preserve"> </w:t>
      </w:r>
      <w:r>
        <w:rPr>
          <w:rStyle w:val="VerbatimChar"/>
        </w:rPr>
        <w:t xml:space="preserve">messaging-node</w:t>
      </w:r>
      <w:r>
        <w:t xml:space="preserve"> </w:t>
      </w:r>
      <w:r>
        <w:t xml:space="preserve">teostab ZeroMQ pub/sub mustri registripõhise lähenemisega mitme stream’i haldamiseks.</w:t>
      </w:r>
    </w:p>
    <w:bookmarkEnd w:id="30"/>
    <w:bookmarkStart w:id="31" w:name="võrdlus-rocksdbzeromq-vs-apache-kafka"/>
    <w:p>
      <w:pPr>
        <w:pStyle w:val="Heading3"/>
      </w:pPr>
      <w:r>
        <w:t xml:space="preserve">Võrdlus: RocksDB+ZeroMQ vs Apache Kafka</w:t>
      </w:r>
    </w:p>
    <w:p>
      <w:pPr>
        <w:pStyle w:val="BodyText"/>
        <w:keepNext w:val="1"/>
      </w:pPr>
      <w:r>
        <w:t xml:space="preserve">Võrdluse läbiviimiseks loodi benchmark skript, mis mõõdab 1 miljoni sõnumi edastamise jõudlust erinevate tehnoloogiate puhul. Latentsuse mõõtmiseks manustatakse iga sajanda sõnumi sisse saatmise ajatempel (nanosekundites), mis võimaldab konsumeril arvutada täpse edastusaja. Kafka käivitatakse KRaft režiimis Docker konteineris, ZeroMQ IPC kasutab Unix domain sokleid, ZeroMQ TCP kasutab localhost loopback’i. Binaarne test elimineerib JSON serialiseerimise, näidates IPC aluskulu. Kõik testid kordavad sama Binance TradeStream formaati.</w:t>
      </w:r>
    </w:p>
    <w:p>
      <w:pPr>
        <w:pStyle w:val="Caption"/>
        <w:keepNext w:val="1"/>
      </w:pPr>
      <w:r>
        <w:t xml:space="preserve">Tabel 1.1 Sõnumivahenduse tehnoloogiate võrdlus (mõõdetud 1M sõnumiga) [2]</w:t>
      </w:r>
    </w:p>
    <w:tbl>
      <w:tblPr>
        <w:tblStyle w:val="Table"/>
        <w:tblW w:type="pct" w:w="5000"/>
        <w:tblLayout w:type="fixed"/>
        <w:tblLook w:firstRow="1" w:lastRow="0" w:firstColumn="0" w:lastColumn="0" w:noHBand="0" w:noVBand="0" w:val="0020"/>
        <w:tblCaption w:val="Tabel 1.1 Sõnumivahenduse tehnoloogiate võrdlus (mõõdetud 1M sõnumiga) [2]"/>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941"/>
        <w:gridCol w:w="1397"/>
        <w:gridCol w:w="1552"/>
        <w:gridCol w:w="1397"/>
        <w:gridCol w:w="1630"/>
      </w:tblGrid>
      <w:tr>
        <w:trPr>
          <w:tblHeader w:val="on"/>
          <w:cantSplit w:val="1"/>
        </w:trPr>
        <w:tc>
          <w:tcPr/>
          <w:p>
            <w:pPr>
              <w:pStyle w:val="Tabelhead"/>
              <w:keepLines w:val="1"/>
              <w:keepNext w:val="1"/>
            </w:pPr>
            <w:r>
              <w:t xml:space="preserve">Mõõdik</w:t>
            </w:r>
          </w:p>
        </w:tc>
        <w:tc>
          <w:tcPr/>
          <w:p>
            <w:pPr>
              <w:pStyle w:val="Tabelhead"/>
              <w:keepLines w:val="1"/>
              <w:keepNext w:val="1"/>
            </w:pPr>
            <w:r>
              <w:t xml:space="preserve">Kafka (KRaft)</w:t>
            </w:r>
          </w:p>
        </w:tc>
        <w:tc>
          <w:tcPr/>
          <w:p>
            <w:pPr>
              <w:pStyle w:val="Tabelhead"/>
              <w:keepLines w:val="1"/>
              <w:keepNext w:val="1"/>
            </w:pPr>
            <w:r>
              <w:t xml:space="preserve">ZeroMQ IPC + RocksDB</w:t>
            </w:r>
          </w:p>
        </w:tc>
        <w:tc>
          <w:tcPr/>
          <w:p>
            <w:pPr>
              <w:pStyle w:val="Tabelhead"/>
              <w:keepLines w:val="1"/>
              <w:keepNext w:val="1"/>
            </w:pPr>
            <w:r>
              <w:t xml:space="preserve">ZeroMQ IPC (puhas)</w:t>
            </w:r>
          </w:p>
        </w:tc>
        <w:tc>
          <w:tcPr/>
          <w:p>
            <w:pPr>
              <w:pStyle w:val="Tabelhead"/>
              <w:keepLines w:val="1"/>
              <w:keepNext w:val="1"/>
            </w:pPr>
            <w:r>
              <w:t xml:space="preserve">ZeroMQ IPC (binaarne)</w:t>
            </w:r>
          </w:p>
        </w:tc>
      </w:tr>
      <w:tr>
        <w:trPr>
          <w:cantSplit w:val="1"/>
        </w:trPr>
        <w:tc>
          <w:tcPr/>
          <w:p>
            <w:pPr>
              <w:pStyle w:val="Tabletext"/>
              <w:keepLines w:val="1"/>
              <w:keepNext w:val="1"/>
            </w:pPr>
            <w:r>
              <w:t xml:space="preserve">Mediaanlatentsus</w:t>
            </w:r>
          </w:p>
        </w:tc>
        <w:tc>
          <w:tcPr/>
          <w:p>
            <w:pPr>
              <w:pStyle w:val="Tabletext"/>
              <w:keepLines w:val="1"/>
              <w:keepNext w:val="1"/>
            </w:pPr>
            <w:r>
              <w:t xml:space="preserve">~26,4 ms</w:t>
            </w:r>
          </w:p>
        </w:tc>
        <w:tc>
          <w:tcPr/>
          <w:p>
            <w:pPr>
              <w:pStyle w:val="Tabletext"/>
              <w:keepLines w:val="1"/>
              <w:keepNext w:val="1"/>
            </w:pPr>
            <w:r>
              <w:t xml:space="preserve">~8,4 ms</w:t>
            </w:r>
          </w:p>
        </w:tc>
        <w:tc>
          <w:tcPr/>
          <w:p>
            <w:pPr>
              <w:pStyle w:val="Tabletext"/>
              <w:keepLines w:val="1"/>
              <w:keepNext w:val="1"/>
            </w:pPr>
            <w:r>
              <w:t xml:space="preserve">~6,6 ms</w:t>
            </w:r>
          </w:p>
        </w:tc>
        <w:tc>
          <w:tcPr/>
          <w:p>
            <w:pPr>
              <w:pStyle w:val="Tabletext"/>
              <w:keepLines w:val="1"/>
              <w:keepNext w:val="1"/>
            </w:pPr>
            <w:r>
              <w:t xml:space="preserve">~6,3 ms</w:t>
            </w:r>
          </w:p>
        </w:tc>
      </w:tr>
      <w:tr>
        <w:trPr>
          <w:cantSplit w:val="1"/>
        </w:trPr>
        <w:tc>
          <w:tcPr/>
          <w:p>
            <w:pPr>
              <w:pStyle w:val="Tabletext"/>
              <w:keepLines w:val="1"/>
              <w:keepNext w:val="1"/>
            </w:pPr>
            <w:r>
              <w:t xml:space="preserve">Läbilaskevõime</w:t>
            </w:r>
          </w:p>
        </w:tc>
        <w:tc>
          <w:tcPr/>
          <w:p>
            <w:pPr>
              <w:pStyle w:val="Tabletext"/>
              <w:keepLines w:val="1"/>
              <w:keepNext w:val="1"/>
            </w:pPr>
            <w:r>
              <w:t xml:space="preserve">~144 500 sõnumit/s</w:t>
            </w:r>
          </w:p>
        </w:tc>
        <w:tc>
          <w:tcPr/>
          <w:p>
            <w:pPr>
              <w:pStyle w:val="Tabletext"/>
              <w:keepLines w:val="1"/>
              <w:keepNext w:val="1"/>
            </w:pPr>
            <w:r>
              <w:t xml:space="preserve">~29 900 sõnumit/s</w:t>
            </w:r>
          </w:p>
        </w:tc>
        <w:tc>
          <w:tcPr/>
          <w:p>
            <w:pPr>
              <w:pStyle w:val="Tabletext"/>
              <w:keepLines w:val="1"/>
              <w:keepNext w:val="1"/>
            </w:pPr>
            <w:r>
              <w:t xml:space="preserve">~38 800 sõnumit/s</w:t>
            </w:r>
          </w:p>
        </w:tc>
        <w:tc>
          <w:tcPr/>
          <w:p>
            <w:pPr>
              <w:pStyle w:val="Tabletext"/>
              <w:keepLines w:val="1"/>
              <w:keepNext w:val="1"/>
            </w:pPr>
            <w:r>
              <w:t xml:space="preserve">~41 200 sõnumit/s</w:t>
            </w:r>
          </w:p>
        </w:tc>
      </w:tr>
      <w:tr>
        <w:trPr>
          <w:cantSplit w:val="1"/>
        </w:trPr>
        <w:tc>
          <w:tcPr/>
          <w:p>
            <w:pPr>
              <w:pStyle w:val="Tabletext"/>
              <w:keepLines w:val="1"/>
              <w:keepNext w:val="1"/>
            </w:pPr>
            <w:r>
              <w:t xml:space="preserve">Latentsuse kiirenemine</w:t>
            </w:r>
          </w:p>
        </w:tc>
        <w:tc>
          <w:tcPr/>
          <w:p>
            <w:pPr>
              <w:pStyle w:val="Tabletext"/>
              <w:keepLines w:val="1"/>
              <w:keepNext w:val="1"/>
            </w:pPr>
            <w:r>
              <w:t xml:space="preserve">1× (baas)</w:t>
            </w:r>
          </w:p>
        </w:tc>
        <w:tc>
          <w:tcPr/>
          <w:p>
            <w:pPr>
              <w:pStyle w:val="Tabletext"/>
              <w:keepLines w:val="1"/>
              <w:keepNext w:val="1"/>
            </w:pPr>
            <w:r>
              <w:t xml:space="preserve">3,1×</w:t>
            </w:r>
          </w:p>
        </w:tc>
        <w:tc>
          <w:tcPr/>
          <w:p>
            <w:pPr>
              <w:pStyle w:val="Tabletext"/>
              <w:keepLines w:val="1"/>
              <w:keepNext w:val="1"/>
            </w:pPr>
            <w:r>
              <w:t xml:space="preserve">4,0×</w:t>
            </w:r>
          </w:p>
        </w:tc>
        <w:tc>
          <w:tcPr/>
          <w:p>
            <w:pPr>
              <w:pStyle w:val="Tabletext"/>
              <w:keepLines w:val="1"/>
              <w:keepNext w:val="1"/>
            </w:pPr>
            <w:r>
              <w:t xml:space="preserve">4,2×</w:t>
            </w:r>
          </w:p>
        </w:tc>
      </w:tr>
      <w:tr>
        <w:trPr>
          <w:cantSplit w:val="1"/>
        </w:trPr>
        <w:tc>
          <w:tcPr/>
          <w:p>
            <w:pPr>
              <w:pStyle w:val="Tabletext"/>
              <w:keepLines w:val="1"/>
              <w:keepNext w:val="1"/>
            </w:pPr>
            <w:r>
              <w:t xml:space="preserve">Arenduse keerukus</w:t>
            </w:r>
          </w:p>
        </w:tc>
        <w:tc>
          <w:tcPr/>
          <w:p>
            <w:pPr>
              <w:pStyle w:val="Tabletext"/>
              <w:keepLines w:val="1"/>
              <w:keepNext w:val="1"/>
            </w:pPr>
            <w:r>
              <w:t xml:space="preserve">Keskmine</w:t>
            </w:r>
          </w:p>
        </w:tc>
        <w:tc>
          <w:tcPr/>
          <w:p>
            <w:pPr>
              <w:pStyle w:val="Tabletext"/>
              <w:keepLines w:val="1"/>
              <w:keepNext w:val="1"/>
            </w:pPr>
            <w:r>
              <w:t xml:space="preserve">Madal</w:t>
            </w:r>
          </w:p>
        </w:tc>
        <w:tc>
          <w:tcPr/>
          <w:p>
            <w:pPr>
              <w:pStyle w:val="Tabletext"/>
              <w:keepLines w:val="1"/>
              <w:keepNext w:val="1"/>
            </w:pPr>
            <w:r>
              <w:t xml:space="preserve">Madal</w:t>
            </w:r>
          </w:p>
        </w:tc>
        <w:tc>
          <w:tcPr/>
          <w:p>
            <w:pPr>
              <w:pStyle w:val="Tabletext"/>
              <w:keepLines w:val="1"/>
              <w:keepNext w:val="1"/>
            </w:pPr>
            <w:r>
              <w:t xml:space="preserve">Madal</w:t>
            </w:r>
          </w:p>
        </w:tc>
      </w:tr>
      <w:tr>
        <w:trPr>
          <w:cantSplit w:val="1"/>
        </w:trPr>
        <w:tc>
          <w:tcPr/>
          <w:p>
            <w:pPr>
              <w:pStyle w:val="Tabletext"/>
              <w:keepLines w:val="1"/>
              <w:keepNext w:val="1"/>
            </w:pPr>
            <w:r>
              <w:t xml:space="preserve">Operatsiooniline overhead</w:t>
            </w:r>
          </w:p>
        </w:tc>
        <w:tc>
          <w:tcPr/>
          <w:p>
            <w:pPr>
              <w:pStyle w:val="Tabletext"/>
              <w:keepLines w:val="1"/>
              <w:keepNext w:val="1"/>
            </w:pPr>
            <w:r>
              <w:t xml:space="preserve">Kõrge (klaster)</w:t>
            </w:r>
          </w:p>
        </w:tc>
        <w:tc>
          <w:tcPr/>
          <w:p>
            <w:pPr>
              <w:pStyle w:val="Tabletext"/>
              <w:keepLines w:val="1"/>
              <w:keepNext w:val="1"/>
            </w:pPr>
            <w:r>
              <w:t xml:space="preserve">Madal</w:t>
            </w:r>
          </w:p>
        </w:tc>
        <w:tc>
          <w:tcPr/>
          <w:p>
            <w:pPr>
              <w:pStyle w:val="Tabletext"/>
              <w:keepLines w:val="1"/>
              <w:keepNext w:val="1"/>
            </w:pPr>
            <w:r>
              <w:t xml:space="preserve">Minimaalne</w:t>
            </w:r>
          </w:p>
        </w:tc>
        <w:tc>
          <w:tcPr/>
          <w:p>
            <w:pPr>
              <w:pStyle w:val="Tabletext"/>
              <w:keepLines w:val="1"/>
              <w:keepNext w:val="1"/>
            </w:pPr>
            <w:r>
              <w:t xml:space="preserve">Minimaalne</w:t>
            </w:r>
          </w:p>
        </w:tc>
      </w:tr>
    </w:tbl>
    <w:p>
      <w:pPr>
        <w:pStyle w:val="BodyText"/>
      </w:pPr>
      <w:r>
        <w:t xml:space="preserve"> </w:t>
      </w:r>
    </w:p>
    <w:p>
      <w:pPr>
        <w:pStyle w:val="BodyText"/>
      </w:pPr>
      <w:r>
        <w:rPr>
          <w:b/>
          <w:bCs/>
        </w:rPr>
        <w:t xml:space="preserve">Latentsuse koostis</w:t>
      </w:r>
      <w:r>
        <w:t xml:space="preserve">: Binaarne ZeroMQ IPC (~6,3 ms) esindab võrgu- ja sünkroniseerimise aluskulu. JSON serialiseerimine lisab ~300 μs. RocksDB püsisalvestus lisab ~1,8 ms täiendavat latentsust.</w:t>
      </w:r>
    </w:p>
    <w:p>
      <w:pPr>
        <w:pStyle w:val="BodyText"/>
      </w:pPr>
      <w:r>
        <w:rPr>
          <w:b/>
          <w:bCs/>
        </w:rPr>
        <w:t xml:space="preserve">Miks mitte Kafka</w:t>
      </w:r>
      <w:r>
        <w:t xml:space="preserve">: Ühe masina protsessor suudab käsitleda 100+ sümboli voogusid; deterministlik arendus nõuab kohalikku talletust; Kafka 26 ms latentsus on 3× aeglasem kui ZeroMQ IPC koos RocksDB-ga. Autor antud töö raames üritas uurida alternatiive ning leida väiksema latentsusega lähenemise.</w:t>
      </w:r>
    </w:p>
    <w:p>
      <w:pPr>
        <w:pStyle w:val="BodyText"/>
      </w:pPr>
      <w:r>
        <w:rPr>
          <w:b/>
          <w:bCs/>
        </w:rPr>
        <w:t xml:space="preserve">Märkus läbilaskevõime kohta</w:t>
      </w:r>
      <w:r>
        <w:t xml:space="preserve">: RocksDB madalam läbilaskevõime (võrreldes Kafka’ga) on seotud konservatiivse mälu konfiguratsiooni (8 MB write buffer, 1 background job) ja üksiku compaction thread’iga. See konfiguratsioon võimaldab käivitada kümneid paralleelseid väikeseid RocksDB instantse minimaalsete ressurssidega, mis on oluline mitme sümboli samaaegsel töötlemisel.</w:t>
      </w:r>
    </w:p>
    <w:bookmarkEnd w:id="31"/>
    <w:bookmarkStart w:id="32" w:name="jagatud-infrastruktuur"/>
    <w:p>
      <w:pPr>
        <w:pStyle w:val="Heading3"/>
      </w:pPr>
      <w:r>
        <w:t xml:space="preserve">Jagatud infrastruktuur</w:t>
      </w:r>
    </w:p>
    <w:p>
      <w:pPr>
        <w:pStyle w:val="BodyText"/>
      </w:pPr>
      <w:r>
        <w:t xml:space="preserve">Pakk</w:t>
      </w:r>
      <w:r>
        <w:t xml:space="preserve"> </w:t>
      </w:r>
      <w:r>
        <w:rPr>
          <w:rStyle w:val="VerbatimChar"/>
        </w:rPr>
        <w:t xml:space="preserve">utils</w:t>
      </w:r>
      <w:r>
        <w:t xml:space="preserve"> </w:t>
      </w:r>
      <w:r>
        <w:t xml:space="preserve">sisaldab: eksponentsiaalne backoff retry (</w:t>
      </w:r>
      <w:r>
        <w:rPr>
          <w:rStyle w:val="VerbatimChar"/>
        </w:rPr>
        <w:t xml:space="preserve">tryHard</w:t>
      </w:r>
      <w:r>
        <w:t xml:space="preserve">), asünkroonsed koordineerimisprimitiivid (promise-lock’id, event loop yield), kollektsioonide abifunktsioonid ja tüübi-kaitsjad.</w:t>
      </w:r>
    </w:p>
    <w:p>
      <w:pPr>
        <w:pStyle w:val="BodyText"/>
      </w:pPr>
      <w:r>
        <w:t xml:space="preserve">Pakk</w:t>
      </w:r>
      <w:r>
        <w:t xml:space="preserve"> </w:t>
      </w:r>
      <w:r>
        <w:rPr>
          <w:rStyle w:val="VerbatimChar"/>
        </w:rPr>
        <w:t xml:space="preserve">config</w:t>
      </w:r>
      <w:r>
        <w:t xml:space="preserve"> </w:t>
      </w:r>
      <w:r>
        <w:t xml:space="preserve">koondab monorepo-ülesed konfiguratsioonifailid (ESLint, Prettier, TypeScript, Vitest).</w:t>
      </w:r>
    </w:p>
    <w:p>
      <w:pPr>
        <w:pStyle w:val="BodyText"/>
      </w:pPr>
      <w:r>
        <w:t xml:space="preserve">Jälgitavus on realiseeritud</w:t>
      </w:r>
      <w:r>
        <w:t xml:space="preserve"> </w:t>
      </w:r>
      <w:r>
        <w:rPr>
          <w:b/>
          <w:bCs/>
        </w:rPr>
        <w:t xml:space="preserve">Dashboard-as-Code</w:t>
      </w:r>
      <w:r>
        <w:t xml:space="preserve"> </w:t>
      </w:r>
      <w:r>
        <w:t xml:space="preserve">põhimõttel Perses + VictoriaMetrics kombinatsiooniga, kus armatuurlaudade definitsioonid hoitakse versioonihalduses.</w:t>
      </w:r>
    </w:p>
    <w:bookmarkEnd w:id="32"/>
    <w:bookmarkEnd w:id="33"/>
    <w:bookmarkStart w:id="34" w:name="arhitektuursed-mustrid"/>
    <w:p>
      <w:pPr>
        <w:pStyle w:val="Heading2"/>
      </w:pPr>
      <w:r>
        <w:t xml:space="preserve">Arhitektuursed mustrid</w:t>
      </w:r>
    </w:p>
    <w:p>
      <w:pPr>
        <w:pStyle w:val="BodyText"/>
      </w:pPr>
      <w:r>
        <w:rPr>
          <w:b/>
          <w:bCs/>
        </w:rPr>
        <w:t xml:space="preserve">Skeemipõhine tüübikindlus</w:t>
      </w:r>
      <w:r>
        <w:t xml:space="preserve">: TypeBox skeemid pakuvad compile-time tüübikindlust ja runtime-valideerimist, elimineerides vajaduse eraldi tüübifailide ja validaatorite järele.</w:t>
      </w:r>
    </w:p>
    <w:p>
      <w:pPr>
        <w:pStyle w:val="BodyText"/>
      </w:pPr>
      <w:r>
        <w:rPr>
          <w:b/>
          <w:bCs/>
        </w:rPr>
        <w:t xml:space="preserve">Entiteedipõhine talletusabstraktsioon</w:t>
      </w:r>
      <w:r>
        <w:t xml:space="preserve">: Talletus-entiteedid kapseldavad platvormispetsiifiliste API vastuste talletusloogika normaliseeritud liidese taha.</w:t>
      </w:r>
    </w:p>
    <w:p>
      <w:pPr>
        <w:pStyle w:val="BodyText"/>
      </w:pPr>
      <w:r>
        <w:rPr>
          <w:b/>
          <w:bCs/>
        </w:rPr>
        <w:t xml:space="preserve">Registrimuster IPC jaoks</w:t>
      </w:r>
      <w:r>
        <w:t xml:space="preserve">: Publisher’i ja subscriber’i registrid haldavad ZeroMQ soklite kogumeid, võimaldades dünaamilist stream’i valikut runtime’is.</w:t>
      </w:r>
    </w:p>
    <w:p>
      <w:pPr>
        <w:pStyle w:val="BodyText"/>
      </w:pPr>
      <w:r>
        <w:rPr>
          <w:b/>
          <w:bCs/>
        </w:rPr>
        <w:t xml:space="preserve">Platvormi laiendatavus</w:t>
      </w:r>
      <w:r>
        <w:t xml:space="preserve">: Uue börsi integratsioon nõuab ainult skeemide deklareerimist ja geneeriliste factory-funktsioonide kasutamist.</w:t>
      </w:r>
    </w:p>
    <w:bookmarkEnd w:id="34"/>
    <w:bookmarkStart w:id="35" w:name="deterministlik-offline-arendus"/>
    <w:p>
      <w:pPr>
        <w:pStyle w:val="Heading2"/>
      </w:pPr>
      <w:r>
        <w:t xml:space="preserve">Deterministlik offline-arendus</w:t>
      </w:r>
    </w:p>
    <w:p>
      <w:pPr>
        <w:pStyle w:val="BodyText"/>
      </w:pPr>
      <w:r>
        <w:t xml:space="preserve">RocksDB-põhine talletus koos</w:t>
      </w:r>
      <w:r>
        <w:t xml:space="preserve"> </w:t>
      </w:r>
      <w:r>
        <w:rPr>
          <w:b/>
          <w:bCs/>
        </w:rPr>
        <w:t xml:space="preserve">SegmentedLog</w:t>
      </w:r>
      <w:r>
        <w:t xml:space="preserve"> </w:t>
      </w:r>
      <w:r>
        <w:t xml:space="preserve">abstraktsiooniga võimaldab süsteemil töötada täielikult offline režiimis. Ajaloolised turuandmed talletatakse järjestikuliste append-operatsioonidega. Primary/secondary muster võimaldab deterministlikku taasesitust, kus internal-bridge ja ennustus-worker’id töötlevad igas iteratsioonis täpselt sama sündmuste jada.</w:t>
      </w:r>
    </w:p>
    <w:p>
      <w:pPr>
        <w:pStyle w:val="BodyText"/>
      </w:pPr>
      <w:r>
        <w:rPr>
          <w:b/>
          <w:bCs/>
        </w:rPr>
        <w:t xml:space="preserve">Olulisus masinõppe arenduses</w:t>
      </w:r>
      <w:r>
        <w:t xml:space="preserve">: Feature’ite arvutamine ja mudeli hindamine peavad põhinema täpselt samadel andmejadadel, et mudelite võrdlus oleks aus. Kontrollitud testkeskkond võimaldab valideerida andmetransformatsiooni loogikat ilma sõltuvuseta välisest infrastruktuurist.</w:t>
      </w:r>
    </w:p>
    <w:bookmarkEnd w:id="35"/>
    <w:bookmarkStart w:id="36" w:name="andmevood-ja-süsteemi-integreeritus"/>
    <w:p>
      <w:pPr>
        <w:pStyle w:val="Heading2"/>
      </w:pPr>
      <w:r>
        <w:t xml:space="preserve">Andmevood ja süsteemi integreeritus</w:t>
      </w:r>
    </w:p>
    <w:p>
      <w:pPr>
        <w:pStyle w:val="BodyText"/>
      </w:pPr>
      <w:r>
        <w:t xml:space="preserve">Täielik andmevoog: andmed saabuvad</w:t>
      </w:r>
      <w:r>
        <w:t xml:space="preserve"> </w:t>
      </w:r>
      <w:r>
        <w:rPr>
          <w:b/>
          <w:bCs/>
        </w:rPr>
        <w:t xml:space="preserve">external-bridge</w:t>
      </w:r>
      <w:r>
        <w:t xml:space="preserve"> </w:t>
      </w:r>
      <w:r>
        <w:t xml:space="preserve">kaudu → normaliseeritakse</w:t>
      </w:r>
      <w:r>
        <w:t xml:space="preserve"> </w:t>
      </w:r>
      <w:r>
        <w:rPr>
          <w:b/>
          <w:bCs/>
        </w:rPr>
        <w:t xml:space="preserve">internal-bridge</w:t>
      </w:r>
      <w:r>
        <w:t xml:space="preserve"> </w:t>
      </w:r>
      <w:r>
        <w:t xml:space="preserve">teenuses → talletatakse RocksDB-sse → ZeroMQ pub/sub jagab andmeid →</w:t>
      </w:r>
      <w:r>
        <w:t xml:space="preserve"> </w:t>
      </w:r>
      <w:r>
        <w:rPr>
          <w:b/>
          <w:bCs/>
        </w:rPr>
        <w:t xml:space="preserve">py-predictor</w:t>
      </w:r>
      <w:r>
        <w:t xml:space="preserve"> </w:t>
      </w:r>
      <w:r>
        <w:t xml:space="preserve">kasutab andmeid treenimiseks ja ennustamiseks.</w:t>
      </w:r>
    </w:p>
    <w:p>
      <w:pPr>
        <w:pStyle w:val="BodyText"/>
      </w:pPr>
      <w:r>
        <w:t xml:space="preserve">Arhitektuur rakendab selget vastutuse eraldamist: teenuseraamistik käsitleb operatsioonilisi teemasid, API kliendi kiht abstraheerib börsiga suhtluse, talletusinfrastruktuur pakub keeleteülest püsitalletust, sõnumside kiht kasutab ZeroMQ pub/sub mustrit ja jagatud infrastruktuur tagab ühtse stiili kogu koodibaasis.</w:t>
      </w:r>
    </w:p>
    <w:p>
      <w:pPr>
        <w:pStyle w:val="BodyText"/>
      </w:pPr>
      <w:r>
        <w:t xml:space="preserve">Kokkuvõttes realiseerib arhitektuur streaming-semantika RocksDB ja ZeroMQ kombinatsiooniga, vältides hajusbrokerite operatsioonilist keerukust. Kompromissiks on mitme andmebaasi instantsi haldamine, taasesitusloogika implementeerimine ning reaalajas sõnumilünkade tuvastamise ja täitmise mehhanismide rakendamine teenuste tasemel.</w:t>
      </w:r>
    </w:p>
    <w:bookmarkEnd w:id="36"/>
    <w:bookmarkEnd w:id="37"/>
    <w:bookmarkStart w:id="48" w:name="external-bridge-andmekogumise-kiht"/>
    <w:p>
      <w:pPr>
        <w:pStyle w:val="Heading1"/>
      </w:pPr>
      <w:r>
        <w:t xml:space="preserve">External Bridge: andmekogumise kiht</w:t>
      </w:r>
    </w:p>
    <w:p>
      <w:pPr>
        <w:pStyle w:val="BodyText"/>
      </w:pPr>
      <w:r>
        <w:t xml:space="preserve">External Bridge on süsteemi liides väliste krüptobörsidega. Selle ülesanne on koguda reaalajas turuandmeid mitme protokolli kaudu ning tagada andmete püsiv salvestamine kõrge töökindlusega. Komponent realiseerib mitmeprotsessilise arhitektuuri, mis on optimeeritud suure läbilaskevõime ja tõrkeisolatsiooni jaoks.</w:t>
      </w:r>
    </w:p>
    <w:bookmarkStart w:id="38" w:name="arhitektuuri-ülevaade"/>
    <w:p>
      <w:pPr>
        <w:pStyle w:val="Heading2"/>
      </w:pPr>
      <w:r>
        <w:t xml:space="preserve">Arhitektuuri ülevaade</w:t>
      </w:r>
    </w:p>
    <w:p>
      <w:pPr>
        <w:pStyle w:val="BodyText"/>
      </w:pPr>
      <w:r>
        <w:t xml:space="preserve">External Bridge kasutab protsessipõhist eraldusstrateegiat kolme protsessitüübiga:</w:t>
      </w:r>
    </w:p>
    <w:p>
      <w:pPr>
        <w:pStyle w:val="BodyText"/>
      </w:pPr>
      <w:r>
        <w:rPr>
          <w:b/>
          <w:bCs/>
        </w:rPr>
        <w:t xml:space="preserve">REST API pärija protsessid</w:t>
      </w:r>
      <w:r>
        <w:t xml:space="preserve"> </w:t>
      </w:r>
      <w:r>
        <w:t xml:space="preserve">töötavad tõmbepõhisel mudelil, pärides perioodiliselt ajaloolisi tehinguandmeid ja tehinguraamatu hetktõmmiseid. Iga sümbol-platvorm kombinatsioon võib olla omaette protsessis.</w:t>
      </w:r>
    </w:p>
    <w:p>
      <w:pPr>
        <w:pStyle w:val="BodyText"/>
      </w:pPr>
      <w:r>
        <w:rPr>
          <w:b/>
          <w:bCs/>
        </w:rPr>
        <w:t xml:space="preserve">WebSocket voogude protsessid</w:t>
      </w:r>
      <w:r>
        <w:t xml:space="preserve"> </w:t>
      </w:r>
      <w:r>
        <w:t xml:space="preserve">hoiavad püsivaid ühendusi börside WebSocket lõpp-punktidega ning tarbivad reaalajas tehinguid ja tehinguraamatu diferentsiaaluuendusi.</w:t>
      </w:r>
    </w:p>
    <w:p>
      <w:pPr>
        <w:pStyle w:val="BodyText"/>
      </w:pPr>
      <w:r>
        <w:rPr>
          <w:b/>
          <w:bCs/>
        </w:rPr>
        <w:t xml:space="preserve">Salvestuse haldusprotsessid</w:t>
      </w:r>
      <w:r>
        <w:t xml:space="preserve"> </w:t>
      </w:r>
      <w:r>
        <w:t xml:space="preserve">tegelevad perioodilise statistika kogumise, varunduse orkestreerimise ja ajaloolise andmestiku säilituspoliitikatega.</w:t>
      </w:r>
    </w:p>
    <w:p>
      <w:pPr>
        <w:pStyle w:val="BodyText"/>
      </w:pPr>
      <w:r>
        <w:t xml:space="preserve">Selline dekompositsioon võimaldab sõltumatut juurutamist (</w:t>
      </w:r>
      <w:r>
        <w:rPr>
          <w:rStyle w:val="VerbatimChar"/>
        </w:rPr>
        <w:t xml:space="preserve">deployment</w:t>
      </w:r>
      <w:r>
        <w:t xml:space="preserve">) ja taaskäivitamist iga protsessitüübi jaoks ilma teisi mõjutamata.</w:t>
      </w:r>
    </w:p>
    <w:bookmarkEnd w:id="38"/>
    <w:bookmarkStart w:id="39" w:name="service-context-muster"/>
    <w:p>
      <w:pPr>
        <w:pStyle w:val="Heading2"/>
      </w:pPr>
      <w:r>
        <w:t xml:space="preserve">Service Context muster</w:t>
      </w:r>
    </w:p>
    <w:p>
      <w:pPr>
        <w:pStyle w:val="BodyText"/>
      </w:pPr>
      <w:r>
        <w:t xml:space="preserve">Iga protsess saab kontekstiobjekti, mis kapseldab kõik välised sõltuvused:</w:t>
      </w:r>
      <w:r>
        <w:t xml:space="preserve"> </w:t>
      </w:r>
      <w:r>
        <w:rPr>
          <w:b/>
          <w:bCs/>
        </w:rPr>
        <w:t xml:space="preserve">salvestuskäepidemed</w:t>
      </w:r>
      <w:r>
        <w:t xml:space="preserve"> </w:t>
      </w:r>
      <w:r>
        <w:t xml:space="preserve">(tüübiturvaline ligipääs RocksDB-põhistele püsikihtidele),</w:t>
      </w:r>
      <w:r>
        <w:t xml:space="preserve"> </w:t>
      </w:r>
      <w:r>
        <w:rPr>
          <w:b/>
          <w:bCs/>
        </w:rPr>
        <w:t xml:space="preserve">ZeroMQ Publisher’id</w:t>
      </w:r>
      <w:r>
        <w:t xml:space="preserve"> </w:t>
      </w:r>
      <w:r>
        <w:t xml:space="preserve">(IPC kanalid allavoolu tarbijatele),</w:t>
      </w:r>
      <w:r>
        <w:t xml:space="preserve"> </w:t>
      </w:r>
      <w:r>
        <w:rPr>
          <w:b/>
          <w:bCs/>
        </w:rPr>
        <w:t xml:space="preserve">kiiruspiirajad</w:t>
      </w:r>
      <w:r>
        <w:t xml:space="preserve"> </w:t>
      </w:r>
      <w:r>
        <w:t xml:space="preserve">(platvormispetsiifiline päringute drosseerimine) ja</w:t>
      </w:r>
      <w:r>
        <w:t xml:space="preserve"> </w:t>
      </w:r>
      <w:r>
        <w:rPr>
          <w:b/>
          <w:bCs/>
        </w:rPr>
        <w:t xml:space="preserve">tüübistatud API kliendid</w:t>
      </w:r>
      <w:r>
        <w:t xml:space="preserve"> </w:t>
      </w:r>
      <w:r>
        <w:t xml:space="preserve">(skeemivalideeritud liidesed).</w:t>
      </w:r>
    </w:p>
    <w:p>
      <w:pPr>
        <w:pStyle w:val="BodyText"/>
      </w:pPr>
      <w:r>
        <w:t xml:space="preserve">Konteksti loomine järgib funktsionaalse kompositsiooni põhimõtet, tehes sõltuvuste järjestuse eksplitsiitseks.</w:t>
      </w:r>
    </w:p>
    <w:bookmarkEnd w:id="39"/>
    <w:bookmarkStart w:id="40" w:name="rest-api-pärija-teostus"/>
    <w:p>
      <w:pPr>
        <w:pStyle w:val="Heading2"/>
      </w:pPr>
      <w:r>
        <w:t xml:space="preserve">REST API pärija teostus</w:t>
      </w:r>
    </w:p>
    <w:p>
      <w:pPr>
        <w:pStyle w:val="BodyText"/>
      </w:pPr>
      <w:r>
        <w:t xml:space="preserve">Iga iteratsioon täidab mitmefaasilise töövoo:</w:t>
      </w:r>
    </w:p>
    <w:p>
      <w:pPr>
        <w:pStyle w:val="ListNumbered"/>
      </w:pPr>
      <w:r>
        <w:rPr>
          <w:b/>
          <w:bCs/>
        </w:rPr>
        <w:t xml:space="preserve">Parameetrite konstrueerimine</w:t>
      </w:r>
      <w:r>
        <w:t xml:space="preserve">: järgmise Trade’i identifikaatori leidmine viimase salvestatud tehingu põhjal</w:t>
      </w:r>
    </w:p>
    <w:p>
      <w:pPr>
        <w:pStyle w:val="ListNumbered"/>
      </w:pPr>
      <w:r>
        <w:rPr>
          <w:b/>
          <w:bCs/>
        </w:rPr>
        <w:t xml:space="preserve">Kiiruspiiramine</w:t>
      </w:r>
      <w:r>
        <w:t xml:space="preserve">: libiseva akna algoritm seadistatavate kvootidega</w:t>
      </w:r>
    </w:p>
    <w:p>
      <w:pPr>
        <w:pStyle w:val="ListNumbered"/>
      </w:pPr>
      <w:r>
        <w:rPr>
          <w:b/>
          <w:bCs/>
        </w:rPr>
        <w:t xml:space="preserve">Päringu teostus</w:t>
      </w:r>
      <w:r>
        <w:t xml:space="preserve">: HTTP-päring eksponentsiaalse tagasilöögiga rikete korral</w:t>
      </w:r>
    </w:p>
    <w:p>
      <w:pPr>
        <w:pStyle w:val="ListNumbered"/>
      </w:pPr>
      <w:r>
        <w:rPr>
          <w:b/>
          <w:bCs/>
        </w:rPr>
        <w:t xml:space="preserve">Vastuse püsisalvestus</w:t>
      </w:r>
      <w:r>
        <w:t xml:space="preserve">: salvestamine RocksDB-sse</w:t>
      </w:r>
    </w:p>
    <w:p>
      <w:pPr>
        <w:pStyle w:val="ListNumbered"/>
      </w:pPr>
      <w:r>
        <w:rPr>
          <w:b/>
          <w:bCs/>
        </w:rPr>
        <w:t xml:space="preserve">Sõnumite levitamine</w:t>
      </w:r>
      <w:r>
        <w:t xml:space="preserve">: avaldamine ZeroMQ publisher’ite kaudu</w:t>
      </w:r>
    </w:p>
    <w:p>
      <w:pPr>
        <w:pStyle w:val="ListNumbered"/>
      </w:pPr>
      <w:r>
        <w:rPr>
          <w:b/>
          <w:bCs/>
        </w:rPr>
        <w:t xml:space="preserve">Intervalli haldus</w:t>
      </w:r>
      <w:r>
        <w:t xml:space="preserve">: järgmise iteratsiooni ajastamine</w:t>
      </w:r>
    </w:p>
    <w:p>
      <w:pPr>
        <w:pStyle w:val="BodyText"/>
      </w:pPr>
      <w:r>
        <w:rPr>
          <w:b/>
          <w:bCs/>
        </w:rPr>
        <w:t xml:space="preserve">Kiiruspiiramise strateegia</w:t>
      </w:r>
      <w:r>
        <w:t xml:space="preserve">: Libiseva akna algoritm, mis jaotab päringud ühtlaselt kogu ajavahemiku peale (</w:t>
      </w:r>
      <w:r>
        <w:rPr>
          <w:rStyle w:val="VerbatimChar"/>
        </w:rPr>
        <w:t xml:space="preserve">windowMs / maxRequests</w:t>
      </w:r>
      <w:r>
        <w:t xml:space="preserve">). Vigade korral rakendatakse eksponentsiaalset backoff’i kuni maksimumini (60 s).</w:t>
      </w:r>
    </w:p>
    <w:bookmarkEnd w:id="40"/>
    <w:bookmarkStart w:id="41" w:name="websocket-voogude-haldus"/>
    <w:p>
      <w:pPr>
        <w:pStyle w:val="Heading2"/>
      </w:pPr>
      <w:r>
        <w:t xml:space="preserve">WebSocket voogude haldus</w:t>
      </w:r>
    </w:p>
    <w:p>
      <w:pPr>
        <w:pStyle w:val="BodyText"/>
      </w:pPr>
      <w:r>
        <w:t xml:space="preserve">WebSocket-haldurid järgivad olekumasina mustrit: lahti ühendatud, ühendumas, ühendatud, taasühendumas. Haldur hoiab ootel tellimuspäringute registrit ja tuvastab kinnitusi, mis ei saabu määratud aja jooksul.</w:t>
      </w:r>
    </w:p>
    <w:p>
      <w:pPr>
        <w:pStyle w:val="BodyText"/>
      </w:pPr>
      <w:r>
        <w:rPr>
          <w:b/>
          <w:bCs/>
        </w:rPr>
        <w:t xml:space="preserve">Binance’i 24-tunnine piirang</w:t>
      </w:r>
      <w:r>
        <w:t xml:space="preserve">: Ennetav taasühenduse ajastamine 23 tunni pärast.</w:t>
      </w:r>
    </w:p>
    <w:p>
      <w:pPr>
        <w:pStyle w:val="BodyText"/>
      </w:pPr>
      <w:r>
        <w:rPr>
          <w:b/>
          <w:bCs/>
        </w:rPr>
        <w:t xml:space="preserve">Päringu/vastuse korrelatsioon</w:t>
      </w:r>
      <w:r>
        <w:t xml:space="preserve">: Binance kasutab numbrilisi päringu ID-sid; Kraken seostab vastused kanali ja sümbolite kombinatsioonidega.</w:t>
      </w:r>
    </w:p>
    <w:bookmarkEnd w:id="41"/>
    <w:bookmarkStart w:id="42" w:name="tehinguraamatu-järjepidevuse-haldus"/>
    <w:p>
      <w:pPr>
        <w:pStyle w:val="Heading2"/>
      </w:pPr>
      <w:r>
        <w:t xml:space="preserve">Tehinguraamatu järjepidevuse haldus</w:t>
      </w:r>
    </w:p>
    <w:p>
      <w:pPr>
        <w:pStyle w:val="BodyText"/>
      </w:pPr>
      <w:r>
        <w:t xml:space="preserve">Binance’i diferentsiaaluuendused sisaldavad järjestusidentifikaatoreid (</w:t>
      </w:r>
      <w:r>
        <w:rPr>
          <w:rStyle w:val="VerbatimChar"/>
        </w:rPr>
        <w:t xml:space="preserve">U</w:t>
      </w:r>
      <w:r>
        <w:t xml:space="preserve">,</w:t>
      </w:r>
      <w:r>
        <w:t xml:space="preserve"> </w:t>
      </w:r>
      <w:r>
        <w:rPr>
          <w:rStyle w:val="VerbatimChar"/>
        </w:rPr>
        <w:t xml:space="preserve">u</w:t>
      </w:r>
      <w:r>
        <w:t xml:space="preserve">). Pidev voog rahuldab invariandi:</w:t>
      </w:r>
      <w:r>
        <w:t xml:space="preserve"> </w:t>
      </w:r>
      <w:r>
        <w:rPr>
          <w:rStyle w:val="VerbatimChar"/>
        </w:rPr>
        <w:t xml:space="preserve">M₂.U = M₁.u + 1</w:t>
      </w:r>
      <w:r>
        <w:t xml:space="preserve">. Invariandi rikkumine käivitab snapshot’i päringu REST API kaudu.</w:t>
      </w:r>
    </w:p>
    <w:bookmarkEnd w:id="42"/>
    <w:bookmarkStart w:id="43" w:name="ajalooliste-tehingulünkade-täitmine"/>
    <w:p>
      <w:pPr>
        <w:pStyle w:val="Heading2"/>
      </w:pPr>
      <w:r>
        <w:t xml:space="preserve">Ajalooliste tehingulünkade täitmine</w:t>
      </w:r>
    </w:p>
    <w:p>
      <w:pPr>
        <w:pStyle w:val="BodyText"/>
      </w:pPr>
      <w:r>
        <w:t xml:space="preserve">Lüngatuvastuse algoritm kasutab tehinguidentifikaatorite järjestikulisust. Protsess: loetakse viimane API-tehingu ID → skaneeritakse WebSocket tehingud → jälgitakse järjestuse kulgu → lünga korral konstrueeritakse REST päring API-tehingu ID parameetriga.</w:t>
      </w:r>
    </w:p>
    <w:p>
      <w:pPr>
        <w:pStyle w:val="BodyText"/>
      </w:pPr>
      <w:r>
        <w:t xml:space="preserve">Algoritm käsitleb suvalise suurusega lünki, tükeldades need API limiidi järgi (100 tehingut päringu kohta).</w:t>
      </w:r>
    </w:p>
    <w:bookmarkEnd w:id="43"/>
    <w:bookmarkStart w:id="44" w:name="sümbolite-normaliseerimine"/>
    <w:p>
      <w:pPr>
        <w:pStyle w:val="Heading2"/>
      </w:pPr>
      <w:r>
        <w:t xml:space="preserve">Sümbolite normaliseerimine</w:t>
      </w:r>
    </w:p>
    <w:p>
      <w:pPr>
        <w:pStyle w:val="BodyText"/>
      </w:pPr>
      <w:r>
        <w:t xml:space="preserve">Normaliseeritud formaat on väiketäheline ja alakriipsuga eraldatud:</w:t>
      </w:r>
      <w:r>
        <w:t xml:space="preserve"> </w:t>
      </w:r>
      <w:r>
        <w:rPr>
          <w:rStyle w:val="VerbatimChar"/>
        </w:rPr>
        <w:t xml:space="preserve">{base}_{quote}</w:t>
      </w:r>
      <w:r>
        <w:t xml:space="preserve"> </w:t>
      </w:r>
      <w:r>
        <w:t xml:space="preserve">(nt</w:t>
      </w:r>
      <w:r>
        <w:t xml:space="preserve"> </w:t>
      </w:r>
      <w:r>
        <w:rPr>
          <w:rStyle w:val="VerbatimChar"/>
        </w:rPr>
        <w:t xml:space="preserve">btc_usdt</w:t>
      </w:r>
      <w:r>
        <w:t xml:space="preserve">). Börsid pakuvad metaandmete endpoint’e sümbolite kaardistamiseks.</w:t>
      </w:r>
    </w:p>
    <w:p>
      <w:pPr>
        <w:pStyle w:val="BodyText"/>
      </w:pPr>
      <w:r>
        <w:rPr>
          <w:b/>
          <w:bCs/>
        </w:rPr>
        <w:t xml:space="preserve">Binance</w:t>
      </w:r>
      <w:r>
        <w:t xml:space="preserve">:</w:t>
      </w:r>
      <w:r>
        <w:t xml:space="preserve"> </w:t>
      </w:r>
      <w:r>
        <w:rPr>
          <w:rStyle w:val="VerbatimChar"/>
        </w:rPr>
        <w:t xml:space="preserve">/api/v3/exchangeInfo</w:t>
      </w:r>
      <w:r>
        <w:t xml:space="preserve"> </w:t>
      </w:r>
      <w:r>
        <w:t xml:space="preserve">tagastab</w:t>
      </w:r>
      <w:r>
        <w:t xml:space="preserve"> </w:t>
      </w:r>
      <w:r>
        <w:rPr>
          <w:rStyle w:val="VerbatimChar"/>
        </w:rPr>
        <w:t xml:space="preserve">baseAsset</w:t>
      </w:r>
      <w:r>
        <w:t xml:space="preserve"> </w:t>
      </w:r>
      <w:r>
        <w:t xml:space="preserve">ja</w:t>
      </w:r>
      <w:r>
        <w:t xml:space="preserve"> </w:t>
      </w:r>
      <w:r>
        <w:rPr>
          <w:rStyle w:val="VerbatimChar"/>
        </w:rPr>
        <w:t xml:space="preserve">quoteAsset</w:t>
      </w:r>
      <w:r>
        <w:t xml:space="preserve"> </w:t>
      </w:r>
      <w:r>
        <w:t xml:space="preserve">väljad.</w:t>
      </w:r>
    </w:p>
    <w:p>
      <w:pPr>
        <w:pStyle w:val="BodyText"/>
      </w:pPr>
      <w:r>
        <w:rPr>
          <w:b/>
          <w:bCs/>
        </w:rPr>
        <w:t xml:space="preserve">Kraken</w:t>
      </w:r>
      <w:r>
        <w:t xml:space="preserve">: Keerukam struktuur kahe endpoint’iga (</w:t>
      </w:r>
      <w:r>
        <w:rPr>
          <w:rStyle w:val="VerbatimChar"/>
        </w:rPr>
        <w:t xml:space="preserve">/0/public/Assets</w:t>
      </w:r>
      <w:r>
        <w:t xml:space="preserve">,</w:t>
      </w:r>
      <w:r>
        <w:t xml:space="preserve"> </w:t>
      </w:r>
      <w:r>
        <w:rPr>
          <w:rStyle w:val="VerbatimChar"/>
        </w:rPr>
        <w:t xml:space="preserve">/0/public/AssetPairs</w:t>
      </w:r>
      <w:r>
        <w:t xml:space="preserve">) ja oma varanimetustega (XBT, XBTC ja BTC erinevates liidestes Bitcoin’i kohta).</w:t>
      </w:r>
    </w:p>
    <w:p>
      <w:pPr>
        <w:pStyle w:val="BodyText"/>
      </w:pPr>
      <w:r>
        <w:t xml:space="preserve">Süsteem vajab kahesuunalist normaliseerimist: sissetulevate andmete töötluseks ja API päringute koostamiseks.</w:t>
      </w:r>
    </w:p>
    <w:bookmarkEnd w:id="44"/>
    <w:bookmarkStart w:id="45" w:name="salvestuse-varundus-ja-statistika"/>
    <w:p>
      <w:pPr>
        <w:pStyle w:val="Heading2"/>
      </w:pPr>
      <w:r>
        <w:t xml:space="preserve">Salvestuse varundus ja statistika</w:t>
      </w:r>
    </w:p>
    <w:p>
      <w:pPr>
        <w:pStyle w:val="BodyText"/>
      </w:pPr>
      <w:r>
        <w:rPr>
          <w:b/>
          <w:bCs/>
        </w:rPr>
        <w:t xml:space="preserve">Varunduse orkestreerimine</w:t>
      </w:r>
      <w:r>
        <w:t xml:space="preserve">: Faasid hõlmavad pakkimist (gzip), kontrollsumma (SHA-256) genereerimist, pilvesünkroniseerimist (rclone) ja säilituspoliitika jõustamist (max 7 varukoopiat).</w:t>
      </w:r>
    </w:p>
    <w:p>
      <w:pPr>
        <w:pStyle w:val="BodyText"/>
      </w:pPr>
      <w:r>
        <w:rPr>
          <w:b/>
          <w:bCs/>
        </w:rPr>
        <w:t xml:space="preserve">Statistika kogumine</w:t>
      </w:r>
      <w:r>
        <w:t xml:space="preserve">: Perioodiline kataloogipuude skaneerimine, tulemuste eksponeerimine Prometheus meetrikatena (</w:t>
      </w:r>
      <w:r>
        <w:rPr>
          <w:rStyle w:val="VerbatimChar"/>
        </w:rPr>
        <w:t xml:space="preserve">storage_directory_size_bytes</w:t>
      </w:r>
      <w:r>
        <w:t xml:space="preserve">,</w:t>
      </w:r>
      <w:r>
        <w:t xml:space="preserve"> </w:t>
      </w:r>
      <w:r>
        <w:rPr>
          <w:rStyle w:val="VerbatimChar"/>
        </w:rPr>
        <w:t xml:space="preserve">storage_directory_file_count</w:t>
      </w:r>
      <w:r>
        <w:t xml:space="preserve">).</w:t>
      </w:r>
    </w:p>
    <w:bookmarkEnd w:id="45"/>
    <w:bookmarkStart w:id="46" w:name="keskkonnapõhine-konfiguratsioon"/>
    <w:p>
      <w:pPr>
        <w:pStyle w:val="Heading2"/>
      </w:pPr>
      <w:r>
        <w:t xml:space="preserve">Keskkonnapõhine konfiguratsioon</w:t>
      </w:r>
    </w:p>
    <w:p>
      <w:pPr>
        <w:pStyle w:val="BodyText"/>
      </w:pPr>
      <w:r>
        <w:t xml:space="preserve">Konfiguratsioon põhineb TypeBox skeemidel ja keskkonnamuutujatel:</w:t>
      </w:r>
      <w:r>
        <w:t xml:space="preserve"> </w:t>
      </w:r>
      <w:r>
        <w:rPr>
          <w:rStyle w:val="VerbatimChar"/>
        </w:rPr>
        <w:t xml:space="preserve">SYMBOLS</w:t>
      </w:r>
      <w:r>
        <w:t xml:space="preserve"> </w:t>
      </w:r>
      <w:r>
        <w:t xml:space="preserve">(komadega eraldatud normaliseeritud paarid),</w:t>
      </w:r>
      <w:r>
        <w:t xml:space="preserve"> </w:t>
      </w:r>
      <w:r>
        <w:rPr>
          <w:rStyle w:val="VerbatimChar"/>
        </w:rPr>
        <w:t xml:space="preserve">RATE_LIMIT_MAX_REQUESTS</w:t>
      </w:r>
      <w:r>
        <w:t xml:space="preserve">,</w:t>
      </w:r>
      <w:r>
        <w:t xml:space="preserve"> </w:t>
      </w:r>
      <w:r>
        <w:rPr>
          <w:rStyle w:val="VerbatimChar"/>
        </w:rPr>
        <w:t xml:space="preserve">RATE_LIMIT_WINDOW_MS</w:t>
      </w:r>
      <w:r>
        <w:t xml:space="preserve">,</w:t>
      </w:r>
      <w:r>
        <w:t xml:space="preserve"> </w:t>
      </w:r>
      <w:r>
        <w:rPr>
          <w:rStyle w:val="VerbatimChar"/>
        </w:rPr>
        <w:t xml:space="preserve">API_BASE_URL</w:t>
      </w:r>
      <w:r>
        <w:t xml:space="preserve">,</w:t>
      </w:r>
      <w:r>
        <w:t xml:space="preserve"> </w:t>
      </w:r>
      <w:r>
        <w:rPr>
          <w:rStyle w:val="VerbatimChar"/>
        </w:rPr>
        <w:t xml:space="preserve">API_KEY</w:t>
      </w:r>
      <w:r>
        <w:t xml:space="preserve">,</w:t>
      </w:r>
      <w:r>
        <w:t xml:space="preserve"> </w:t>
      </w:r>
      <w:r>
        <w:rPr>
          <w:rStyle w:val="VerbatimChar"/>
        </w:rPr>
        <w:t xml:space="preserve">STORAGE_BASE_DIR</w:t>
      </w:r>
      <w:r>
        <w:t xml:space="preserve">.</w:t>
      </w:r>
    </w:p>
    <w:bookmarkEnd w:id="46"/>
    <w:bookmarkStart w:id="47" w:name="kokkuvõte"/>
    <w:p>
      <w:pPr>
        <w:pStyle w:val="Heading2"/>
      </w:pPr>
      <w:r>
        <w:t xml:space="preserve">Kokkuvõte</w:t>
      </w:r>
    </w:p>
    <w:p>
      <w:pPr>
        <w:pStyle w:val="BodyText"/>
      </w:pPr>
      <w:r>
        <w:t xml:space="preserve">External Bridge realiseerib robustse andmekogumise kihi protsessipõhise isoleerimisega, lünkade tuvastuse ja täitmisega ning sümbolite normaliseerimisega. Arhitektuur loob aluse deterministlikule offline taasesitusele, mis on masinõppe treeningandmete reprodutseeritavuse seisukohalt kriitiline.</w:t>
      </w:r>
    </w:p>
    <w:bookmarkEnd w:id="47"/>
    <w:bookmarkEnd w:id="48"/>
    <w:bookmarkStart w:id="79" w:name="X5d38942789749b66146d95d5afc55d7a98a7489"/>
    <w:p>
      <w:pPr>
        <w:pStyle w:val="Heading1"/>
      </w:pPr>
      <w:r>
        <w:t xml:space="preserve">Internal Bridge: Andmete teisendamise kiht</w:t>
      </w:r>
    </w:p>
    <w:p>
      <w:pPr>
        <w:pStyle w:val="BodyText"/>
      </w:pPr>
      <w:r>
        <w:rPr>
          <w:b/>
          <w:bCs/>
        </w:rPr>
        <w:t xml:space="preserve">internal-bridge</w:t>
      </w:r>
      <w:r>
        <w:t xml:space="preserve"> </w:t>
      </w:r>
      <w:r>
        <w:t xml:space="preserve">teenus realiseerib andmete teisendamise kihi toore börsipõhise turuinfo ja ühtlustatud formaadi vahel. Komponent lahendab probleemi, kuidas ühendada REST API snapshot’id ja WebSocketi diferentsiaalvood mitmelt börsilt, säilitades järjestusgarantii ja tagades veataluvuse kontrollpunktidel põhinevate taastemehhanismidega.</w:t>
      </w:r>
    </w:p>
    <w:bookmarkStart w:id="49" w:name="arhitektuuriline-ülevaade"/>
    <w:p>
      <w:pPr>
        <w:pStyle w:val="Heading2"/>
      </w:pPr>
      <w:r>
        <w:t xml:space="preserve">Arhitektuuriline ülevaade</w:t>
      </w:r>
    </w:p>
    <w:p>
      <w:pPr>
        <w:pStyle w:val="BodyText"/>
      </w:pPr>
      <w:r>
        <w:t xml:space="preserve">internal-bridge töötab olekuga teisendustoruna, mis tarbib toorandmeid external-bridge’ist ja ZeroMQ avaldajatelt, teisendab platvormispetsiifilised vormingud ühtseteks skeemideks ning avaldab normaliseeritud andmed downstream teenustele.</w:t>
      </w:r>
    </w:p>
    <w:p>
      <w:pPr>
        <w:pStyle w:val="BodyText"/>
      </w:pPr>
      <w:r>
        <w:t xml:space="preserve">Teenus eristab nelja teisendajatüüpi:</w:t>
      </w:r>
    </w:p>
    <w:p>
      <w:pPr>
        <w:pStyle w:val="ListBullet"/>
      </w:pPr>
      <w:r>
        <w:rPr>
          <w:b/>
          <w:bCs/>
        </w:rPr>
        <w:t xml:space="preserve">Binance’i order book’i teisendaja</w:t>
      </w:r>
      <w:r>
        <w:t xml:space="preserve">: rekonstrueerib järjestuse REST snapshot’idest ja WS diferentsiaaluuendustest</w:t>
      </w:r>
    </w:p>
    <w:p>
      <w:pPr>
        <w:pStyle w:val="ListBullet"/>
      </w:pPr>
      <w:r>
        <w:rPr>
          <w:b/>
          <w:bCs/>
        </w:rPr>
        <w:t xml:space="preserve">Binance’i tehingute teisendaja</w:t>
      </w:r>
      <w:r>
        <w:t xml:space="preserve">: ühendab REST ajaloolised tehingud ja WS tehinguvoo</w:t>
      </w:r>
    </w:p>
    <w:p>
      <w:pPr>
        <w:pStyle w:val="ListBullet"/>
      </w:pPr>
      <w:r>
        <w:rPr>
          <w:b/>
          <w:bCs/>
        </w:rPr>
        <w:t xml:space="preserve">Kraken’i order book’i teisendaja</w:t>
      </w:r>
      <w:r>
        <w:t xml:space="preserve">: töötleb ainult WebSocketi snapshot+diff protokolli</w:t>
      </w:r>
    </w:p>
    <w:p>
      <w:pPr>
        <w:pStyle w:val="ListBullet"/>
      </w:pPr>
      <w:r>
        <w:rPr>
          <w:b/>
          <w:bCs/>
        </w:rPr>
        <w:t xml:space="preserve">Kraken’i tehingute teisendaja</w:t>
      </w:r>
      <w:r>
        <w:t xml:space="preserve">: Binance’iga sarnane deduplitseerimisloogika</w:t>
      </w:r>
    </w:p>
    <w:p>
      <w:pPr>
        <w:pStyle w:val="BodyText"/>
      </w:pPr>
      <w:r>
        <w:t xml:space="preserve">Iga teisendaja töötab</w:t>
      </w:r>
      <w:r>
        <w:t xml:space="preserve"> </w:t>
      </w:r>
      <w:r>
        <w:rPr>
          <w:b/>
          <w:bCs/>
        </w:rPr>
        <w:t xml:space="preserve">iseseisva protsessina</w:t>
      </w:r>
      <w:r>
        <w:t xml:space="preserve">, luues veapiirid ühe börsiintegratsiooni piires.</w:t>
      </w:r>
    </w:p>
    <w:bookmarkEnd w:id="49"/>
    <w:bookmarkStart w:id="62" w:name="kahe-režiimiline-tarbimisstrateegia"/>
    <w:p>
      <w:pPr>
        <w:pStyle w:val="Heading2"/>
      </w:pPr>
      <w:r>
        <w:t xml:space="preserve">Kahe-režiimiline tarbimisstrateegia</w:t>
      </w:r>
    </w:p>
    <w:p>
      <w:pPr>
        <w:pStyle w:val="FirstParagraph"/>
        <w:jc w:val="center"/>
      </w:pPr>
      <w:r>
        <w:drawing>
          <wp:inline>
            <wp:extent cx="5575300" cy="583130"/>
            <wp:effectExtent b="0" l="0" r="0" t="0"/>
            <wp:docPr descr="" title="" id="51" name="Picture"/>
            <a:graphic>
              <a:graphicData uri="http://schemas.openxmlformats.org/drawingml/2006/picture">
                <pic:pic>
                  <pic:nvPicPr>
                    <pic:cNvPr descr="docs/thesis_ee_condensed/images/mermaid_d2edceffa196.png" id="52" name="Picture"/>
                    <pic:cNvPicPr>
                      <a:picLocks noChangeArrowheads="1" noChangeAspect="1"/>
                    </pic:cNvPicPr>
                  </pic:nvPicPr>
                  <pic:blipFill>
                    <a:blip r:embed="rId50"/>
                    <a:stretch>
                      <a:fillRect/>
                    </a:stretch>
                  </pic:blipFill>
                  <pic:spPr bwMode="auto">
                    <a:xfrm>
                      <a:off x="0" y="0"/>
                      <a:ext cx="5575300" cy="583130"/>
                    </a:xfrm>
                    <a:prstGeom prst="rect">
                      <a:avLst/>
                    </a:prstGeom>
                    <a:noFill/>
                    <a:ln w="9525">
                      <a:noFill/>
                      <a:headEnd/>
                      <a:tailEnd/>
                    </a:ln>
                  </pic:spPr>
                </pic:pic>
              </a:graphicData>
            </a:graphic>
          </wp:inline>
        </w:drawing>
      </w:r>
    </w:p>
    <w:p>
      <w:pPr>
        <w:pStyle w:val="BodyText"/>
        <w:jc w:val="center"/>
      </w:pPr>
      <w:r>
        <w:drawing>
          <wp:inline>
            <wp:extent cx="5575300" cy="1408047"/>
            <wp:effectExtent b="0" l="0" r="0" t="0"/>
            <wp:docPr descr="" title="" id="54" name="Picture"/>
            <a:graphic>
              <a:graphicData uri="http://schemas.openxmlformats.org/drawingml/2006/picture">
                <pic:pic>
                  <pic:nvPicPr>
                    <pic:cNvPr descr="docs/thesis_ee_condensed/images/mermaid_7d897307da22.png" id="55" name="Picture"/>
                    <pic:cNvPicPr>
                      <a:picLocks noChangeArrowheads="1" noChangeAspect="1"/>
                    </pic:cNvPicPr>
                  </pic:nvPicPr>
                  <pic:blipFill>
                    <a:blip r:embed="rId53"/>
                    <a:stretch>
                      <a:fillRect/>
                    </a:stretch>
                  </pic:blipFill>
                  <pic:spPr bwMode="auto">
                    <a:xfrm>
                      <a:off x="0" y="0"/>
                      <a:ext cx="5575300" cy="1408047"/>
                    </a:xfrm>
                    <a:prstGeom prst="rect">
                      <a:avLst/>
                    </a:prstGeom>
                    <a:noFill/>
                    <a:ln w="9525">
                      <a:noFill/>
                      <a:headEnd/>
                      <a:tailEnd/>
                    </a:ln>
                  </pic:spPr>
                </pic:pic>
              </a:graphicData>
            </a:graphic>
          </wp:inline>
        </w:drawing>
      </w:r>
    </w:p>
    <w:p>
      <w:pPr>
        <w:pStyle w:val="Caption"/>
      </w:pPr>
      <w:r>
        <w:t xml:space="preserve">Joonis 3.1 Kahe-režiimiline tarbimisstrateegia olekudiagramm</w:t>
      </w:r>
    </w:p>
    <w:p>
      <w:pPr>
        <w:pStyle w:val="BodyText"/>
      </w:pPr>
      <w:r>
        <w:rPr>
          <w:b/>
          <w:bCs/>
        </w:rPr>
        <w:t xml:space="preserve">Salvestusest järelejõudmise faas</w:t>
      </w:r>
      <w:r>
        <w:t xml:space="preserve">: Käivitumisel laeb teisendaja kontrollpunktist viimase töödeldud sõnumi ID. Salvestuslugeja moodustab konfigureeritava suurusega pakke (10–100 kirjet) RocksDB LSM-puu arhitektuurile sobivaks järjestikuseks skaneerimiseks. Catch-up kestab kuni salvestuse kirjutuspunktile järele jõudmiseni.</w:t>
      </w:r>
    </w:p>
    <w:p>
      <w:pPr>
        <w:pStyle w:val="BodyText"/>
      </w:pPr>
      <w:r>
        <w:rPr>
          <w:b/>
          <w:bCs/>
        </w:rPr>
        <w:t xml:space="preserve">Reaalaja ZMQ töötlus</w:t>
      </w:r>
      <w:r>
        <w:t xml:space="preserve">: Pärast järelejõudmist tarbib teisendaja ZeroMQ avaldajatelt minimaalse latentsusega. Lüngatuvastus võrdleb oodatud ja saadud ID-sid:</w:t>
      </w:r>
    </w:p>
    <w:p>
      <w:pPr>
        <w:pStyle w:val="ListBullet"/>
      </w:pPr>
      <w:r>
        <w:t xml:space="preserve">Järjepidev jada: töötle sõnum</w:t>
      </w:r>
    </w:p>
    <w:p>
      <w:pPr>
        <w:pStyle w:val="ListBullet"/>
      </w:pPr>
      <w:r>
        <w:t xml:space="preserve">Juba töödeldud: jäta duplikaat vahele</w:t>
      </w:r>
    </w:p>
    <w:p>
      <w:pPr>
        <w:pStyle w:val="ListBullet"/>
      </w:pPr>
      <w:r>
        <w:t xml:space="preserve">Lünk: pöördu salvestusse, loe puuduvad sõnumid</w:t>
      </w:r>
    </w:p>
    <w:p>
      <w:pPr>
        <w:pStyle w:val="BodyText"/>
        <w:jc w:val="center"/>
      </w:pPr>
      <w:r>
        <w:drawing>
          <wp:inline>
            <wp:extent cx="5575300" cy="2055180"/>
            <wp:effectExtent b="0" l="0" r="0" t="0"/>
            <wp:docPr descr="" title="" id="57" name="Picture"/>
            <a:graphic>
              <a:graphicData uri="http://schemas.openxmlformats.org/drawingml/2006/picture">
                <pic:pic>
                  <pic:nvPicPr>
                    <pic:cNvPr descr="docs/thesis_ee_condensed/images/mermaid_e6cefeb4ced9.png" id="58" name="Picture"/>
                    <pic:cNvPicPr>
                      <a:picLocks noChangeArrowheads="1" noChangeAspect="1"/>
                    </pic:cNvPicPr>
                  </pic:nvPicPr>
                  <pic:blipFill>
                    <a:blip r:embed="rId56"/>
                    <a:stretch>
                      <a:fillRect/>
                    </a:stretch>
                  </pic:blipFill>
                  <pic:spPr bwMode="auto">
                    <a:xfrm>
                      <a:off x="0" y="0"/>
                      <a:ext cx="5575300" cy="2055180"/>
                    </a:xfrm>
                    <a:prstGeom prst="rect">
                      <a:avLst/>
                    </a:prstGeom>
                    <a:noFill/>
                    <a:ln w="9525">
                      <a:noFill/>
                      <a:headEnd/>
                      <a:tailEnd/>
                    </a:ln>
                  </pic:spPr>
                </pic:pic>
              </a:graphicData>
            </a:graphic>
          </wp:inline>
        </w:drawing>
      </w:r>
    </w:p>
    <w:p>
      <w:pPr>
        <w:pStyle w:val="BodyText"/>
        <w:jc w:val="center"/>
      </w:pPr>
      <w:r>
        <w:drawing>
          <wp:inline>
            <wp:extent cx="5575300" cy="1187332"/>
            <wp:effectExtent b="0" l="0" r="0" t="0"/>
            <wp:docPr descr="" title="" id="60" name="Picture"/>
            <a:graphic>
              <a:graphicData uri="http://schemas.openxmlformats.org/drawingml/2006/picture">
                <pic:pic>
                  <pic:nvPicPr>
                    <pic:cNvPr descr="docs/thesis_ee_condensed/images/mermaid_12e0631f4f0a.png" id="61" name="Picture"/>
                    <pic:cNvPicPr>
                      <a:picLocks noChangeArrowheads="1" noChangeAspect="1"/>
                    </pic:cNvPicPr>
                  </pic:nvPicPr>
                  <pic:blipFill>
                    <a:blip r:embed="rId59"/>
                    <a:stretch>
                      <a:fillRect/>
                    </a:stretch>
                  </pic:blipFill>
                  <pic:spPr bwMode="auto">
                    <a:xfrm>
                      <a:off x="0" y="0"/>
                      <a:ext cx="5575300" cy="1187332"/>
                    </a:xfrm>
                    <a:prstGeom prst="rect">
                      <a:avLst/>
                    </a:prstGeom>
                    <a:noFill/>
                    <a:ln w="9525">
                      <a:noFill/>
                      <a:headEnd/>
                      <a:tailEnd/>
                    </a:ln>
                  </pic:spPr>
                </pic:pic>
              </a:graphicData>
            </a:graphic>
          </wp:inline>
        </w:drawing>
      </w:r>
    </w:p>
    <w:p>
      <w:pPr>
        <w:pStyle w:val="Caption"/>
      </w:pPr>
      <w:r>
        <w:t xml:space="preserve">Joonis 3.2 Lüngatuvastuse ja täitmise vooskeem</w:t>
      </w:r>
    </w:p>
    <w:p>
      <w:pPr>
        <w:pStyle w:val="BodyText"/>
      </w:pPr>
      <w:r>
        <w:rPr>
          <w:b/>
          <w:bCs/>
        </w:rPr>
        <w:t xml:space="preserve">Mahajäämuse monitooring</w:t>
      </w:r>
      <w:r>
        <w:t xml:space="preserve">: Reaalaja režiimis jälgitakse perioodiliselt (iga 10 sekundit), kas ZeroMQ-põhine tarbimine hoiab sammu salvestusse kirjutatud andmetega. Võrdlus toimub teisendaja viimati töödeldud sõnumi ID ja salvestuse viimase kirje ID vahel. Kui salvestus on ees (st. external-bridge kirjutab kiiremini kui internal-bridge jõuab töödelda), jääb teenus maha reaalaja voost. Sellisel juhul oodatakse 1 sekund ja kontrollitakse uuesti. Kui mahajäämus püsib, käivitub automaatne restart. Taaskäivitumisel läheb teenus salvestuspõhisesse catch-up režiimi, mis töötleb andmeid pakettidena kiiremini kui sõnum-sõnumilt ZeroMQ-st. Pärast järelejõudmist lülitub teenus automaatselt tagasi reaalaja ZMQ režiimi.</w:t>
      </w:r>
    </w:p>
    <w:p>
      <w:pPr>
        <w:pStyle w:val="BodyText"/>
      </w:pPr>
      <w:r>
        <w:rPr>
          <w:b/>
          <w:bCs/>
        </w:rPr>
        <w:t xml:space="preserve">Märkus</w:t>
      </w:r>
      <w:r>
        <w:t xml:space="preserve">: Kafka puhul ei oleks selline kahe-režiimiline loogika vajalik, kuna Kafka haldab offsette ja salvestust tsentraalselt, võimaldades consumeril jätkata alati õigest positsioonist ilma eraldi catch-up mehhanismideta.</w:t>
      </w:r>
    </w:p>
    <w:bookmarkEnd w:id="62"/>
    <w:bookmarkStart w:id="66" w:name="voogude-liitmine"/>
    <w:p>
      <w:pPr>
        <w:pStyle w:val="Heading2"/>
      </w:pPr>
      <w:r>
        <w:t xml:space="preserve">Voogude liitmine</w:t>
      </w:r>
    </w:p>
    <w:p>
      <w:pPr>
        <w:pStyle w:val="BodyText"/>
      </w:pPr>
      <w:r>
        <w:t xml:space="preserve">Liitja kasutab asünkroonset generaatorit mitme sisenditeraatori tarbimiseks ja liidetud väljundpakkide yield’imiseks. Tagasiside-objekt määrab, millistest voogudest on vaja juurde sõnumeid.</w:t>
      </w:r>
    </w:p>
    <w:p>
      <w:pPr>
        <w:pStyle w:val="BodyText"/>
        <w:jc w:val="center"/>
      </w:pPr>
      <w:r>
        <w:drawing>
          <wp:inline>
            <wp:extent cx="5575300" cy="3233371"/>
            <wp:effectExtent b="0" l="0" r="0" t="0"/>
            <wp:docPr descr="" title="" id="64" name="Picture"/>
            <a:graphic>
              <a:graphicData uri="http://schemas.openxmlformats.org/drawingml/2006/picture">
                <pic:pic>
                  <pic:nvPicPr>
                    <pic:cNvPr descr="docs/thesis_ee_condensed/images/mermaid_859cc2555d72.png" id="65" name="Picture"/>
                    <pic:cNvPicPr>
                      <a:picLocks noChangeArrowheads="1" noChangeAspect="1"/>
                    </pic:cNvPicPr>
                  </pic:nvPicPr>
                  <pic:blipFill>
                    <a:blip r:embed="rId63"/>
                    <a:stretch>
                      <a:fillRect/>
                    </a:stretch>
                  </pic:blipFill>
                  <pic:spPr bwMode="auto">
                    <a:xfrm>
                      <a:off x="0" y="0"/>
                      <a:ext cx="5575300" cy="3233371"/>
                    </a:xfrm>
                    <a:prstGeom prst="rect">
                      <a:avLst/>
                    </a:prstGeom>
                    <a:noFill/>
                    <a:ln w="9525">
                      <a:noFill/>
                      <a:headEnd/>
                      <a:tailEnd/>
                    </a:ln>
                  </pic:spPr>
                </pic:pic>
              </a:graphicData>
            </a:graphic>
          </wp:inline>
        </w:drawing>
      </w:r>
    </w:p>
    <w:p>
      <w:pPr>
        <w:pStyle w:val="Caption"/>
      </w:pPr>
      <w:r>
        <w:t xml:space="preserve">Joonis 3.3 Voogude liitmise arhitektuur</w:t>
      </w:r>
    </w:p>
    <w:p>
      <w:pPr>
        <w:pStyle w:val="BodyText"/>
      </w:pPr>
      <w:r>
        <w:rPr>
          <w:b/>
          <w:bCs/>
        </w:rPr>
        <w:t xml:space="preserve">Sorteerimisstrateegia</w:t>
      </w:r>
      <w:r>
        <w:t xml:space="preserve">: Order book’id sorteeritakse uuendus-ID järgi (snapshot’id eelistatakse); tehinguvood sorteeritakse börsi tehingu-ID järgi.</w:t>
      </w:r>
    </w:p>
    <w:bookmarkEnd w:id="66"/>
    <w:bookmarkStart w:id="67" w:name="mitme-allika-deduplitseerimine"/>
    <w:p>
      <w:pPr>
        <w:pStyle w:val="Heading2"/>
      </w:pPr>
      <w:r>
        <w:t xml:space="preserve">Mitme allika deduplitseerimine</w:t>
      </w:r>
    </w:p>
    <w:p>
      <w:pPr>
        <w:pStyle w:val="BodyText"/>
      </w:pPr>
      <w:r>
        <w:t xml:space="preserve">Tehingute deduplitseerimine kasutab monotoonselt kasvavaid tehingu-ID-sid. Teisendaja hoiab loendurit</w:t>
      </w:r>
      <w:r>
        <w:t xml:space="preserve"> </w:t>
      </w:r>
      <w:r>
        <w:rPr>
          <w:rStyle w:val="VerbatimChar"/>
        </w:rPr>
        <w:t xml:space="preserve">lastEmittedTradeId</w:t>
      </w:r>
      <w:r>
        <w:t xml:space="preserve">. Ajaloolised sõnumid (ID ≤ lastEmitted) jäetakse vahele; kandidaattehingud läbivad teisenduse.</w:t>
      </w:r>
    </w:p>
    <w:p>
      <w:pPr>
        <w:pStyle w:val="BodyText"/>
      </w:pPr>
      <w:r>
        <w:t xml:space="preserve">Deduplitseerimisloogika kontrollib iga kandidaatehingu ID-d: kui ID võrdub viimase väljastatud ID pluss üks, väljastatakse tehing kohe; vastasel juhul tuvastatakse lünk ja kontrollitakse, kas tehing esineb mõlemas voos – kui jah, väljastatakse tehing, kui ei, jäädakse ootama lisandmeid.</w:t>
      </w:r>
    </w:p>
    <w:p>
      <w:pPr>
        <w:pStyle w:val="BodyText"/>
      </w:pPr>
      <w:r>
        <w:t xml:space="preserve">Püsiva lünga korral (100 tsüklit ilma eduta) käivitub automaatne restart.</w:t>
      </w:r>
    </w:p>
    <w:bookmarkEnd w:id="67"/>
    <w:bookmarkStart w:id="68" w:name="X2dc5730b5ef2363ce971c282e749a4562f4afd7"/>
    <w:p>
      <w:pPr>
        <w:pStyle w:val="Heading2"/>
      </w:pPr>
      <w:r>
        <w:t xml:space="preserve">Kontrollpunktidel põhinevad taastemehhanismid</w:t>
      </w:r>
    </w:p>
    <w:p>
      <w:pPr>
        <w:pStyle w:val="BodyText"/>
      </w:pPr>
      <w:r>
        <w:t xml:space="preserve">Iga teisendaja hoiab kontrollpunkti olekut iga tarbitava voo kohta (viimane töödeldud ID ja ajatempel). Checkpoint’id salvestatakse eraldi RocksDB instantsides.</w:t>
      </w:r>
    </w:p>
    <w:p>
      <w:pPr>
        <w:pStyle w:val="BodyText"/>
      </w:pPr>
      <w:r>
        <w:rPr>
          <w:b/>
          <w:bCs/>
        </w:rPr>
        <w:t xml:space="preserve">Checkpoint’i käivitid</w:t>
      </w:r>
      <w:r>
        <w:t xml:space="preserve">: Ajapõhine (iga 5 s), mahupõhine (iga 1000 sõnumit), seiskamise checkpoint (graceful shutdown).</w:t>
      </w:r>
    </w:p>
    <w:p>
      <w:pPr>
        <w:pStyle w:val="BodyText"/>
      </w:pPr>
      <w:r>
        <w:t xml:space="preserve">Kontrollpunkti salvestamine toimub järgmises järjestuses: teisendatud andmed avaldatakse kohe ZeroMQ kaudu predictorile (asünkroonne fire-and-forget operatsioon minimaalsete latentsusega) ja kogutakse paralleelselt mälupuhvrisse. Perioodiliselt kutsutakse välja</w:t>
      </w:r>
      <w:r>
        <w:t xml:space="preserve"> </w:t>
      </w:r>
      <w:r>
        <w:rPr>
          <w:rStyle w:val="VerbatimChar"/>
        </w:rPr>
        <w:t xml:space="preserve">checkpoint()</w:t>
      </w:r>
      <w:r>
        <w:t xml:space="preserve"> </w:t>
      </w:r>
      <w:r>
        <w:t xml:space="preserve">meetod, mis kirjutab kõigepealt kõik puhverdatud andmepaketid RocksDB-sse ning seejärel uuendab olekufaili viimaseks töödeldud ID-ks. Kui mõlemad operatsioonid on edukalt lõpetatud, naaseb kontroll töötlussilmusele. See arhitektuur tagab, et downstream teenused (predictor) saavad andmed minimaalse latentsusega, samas kui salvestamine toimub optimeeritud pakkidena ilma reaalajavoo blokeerimiseta.</w:t>
      </w:r>
    </w:p>
    <w:p>
      <w:pPr>
        <w:pStyle w:val="BodyText"/>
      </w:pPr>
      <w:r>
        <w:rPr>
          <w:b/>
          <w:bCs/>
        </w:rPr>
        <w:t xml:space="preserve">Kompromiss</w:t>
      </w:r>
      <w:r>
        <w:t xml:space="preserve">: Selline lahendus võimaldab minimaalset latentsust, kuid toob kaasa oleku mittevastavuse riski teisendaja krahhimise korral. Kui teenus kukub enne kontrollpunkti salvestamist, on predictor juba töödelnud ZeroMQ kaudu edastatud sõnumid, kuid need pole salvestuses ega kontrollpunktis. Taaskäivitumisel laeb teisendaja vana kontrollpunkti ja proovib samad sõnumid uuesti saata, põhjustades kas duplikaate või andmekadu, kui sõnumeid ei ole enam ZMQ puhvris. See on pragmaatiline valik latentsuse ja järjepidevuse vahel – reaalajas ennustussüsteemis on mõningate duplikaatide risk aktsepteeritav võrreldes checkpoint’ide sünkroonse salvestamisega kaasnevate latentsuskuludega.</w:t>
      </w:r>
    </w:p>
    <w:p>
      <w:pPr>
        <w:pStyle w:val="BodyText"/>
      </w:pPr>
      <w:r>
        <w:t xml:space="preserve">Checkpoint’i rike käivitab teenuse restart’i</w:t>
      </w:r>
      <w:r>
        <w:t xml:space="preserve"> </w:t>
      </w:r>
      <w:r>
        <w:t xml:space="preserve">“fail-fast”</w:t>
      </w:r>
      <w:r>
        <w:t xml:space="preserve"> </w:t>
      </w:r>
      <w:r>
        <w:t xml:space="preserve">käitumisena.</w:t>
      </w:r>
    </w:p>
    <w:bookmarkEnd w:id="68"/>
    <w:bookmarkStart w:id="69" w:name="järjestuse-valideerimine"/>
    <w:p>
      <w:pPr>
        <w:pStyle w:val="Heading2"/>
      </w:pPr>
      <w:r>
        <w:t xml:space="preserve">Järjestuse valideerimine</w:t>
      </w:r>
    </w:p>
    <w:p>
      <w:pPr>
        <w:pStyle w:val="BodyText"/>
      </w:pPr>
      <w:r>
        <w:rPr>
          <w:b/>
          <w:bCs/>
        </w:rPr>
        <w:t xml:space="preserve">Binance’i order book</w:t>
      </w:r>
      <w:r>
        <w:t xml:space="preserve">: Kontrollitakse invarianti</w:t>
      </w:r>
      <w:r>
        <w:t xml:space="preserve"> </w:t>
      </w:r>
      <w:r>
        <w:rPr>
          <w:rStyle w:val="VerbatimChar"/>
        </w:rPr>
        <w:t xml:space="preserve">message.U &lt;= lastOrderBookId + 1 &amp;&amp; message.u &gt;= lastOrderBookId</w:t>
      </w:r>
      <w:r>
        <w:t xml:space="preserve">. Lünga korral oodatakse uut snapshot’i.</w:t>
      </w:r>
    </w:p>
    <w:p>
      <w:pPr>
        <w:pStyle w:val="BodyText"/>
      </w:pPr>
      <w:r>
        <w:t xml:space="preserve">Binance’i order book järjestuse valideerimine toimub järgmiselt: iga diff-sõnumi puhul kontrollitakse kõigepealt, kas sõnumi ülemine järjekorranumber</w:t>
      </w:r>
      <w:r>
        <w:t xml:space="preserve"> </w:t>
      </w:r>
      <w:r>
        <w:rPr>
          <w:rStyle w:val="VerbatimChar"/>
        </w:rPr>
        <w:t xml:space="preserve">U</w:t>
      </w:r>
      <w:r>
        <w:t xml:space="preserve"> </w:t>
      </w:r>
      <w:r>
        <w:t xml:space="preserve">on väiksem või võrdne kui viimane töödeldud number pluss üks (</w:t>
      </w:r>
      <w:r>
        <w:rPr>
          <w:rStyle w:val="VerbatimChar"/>
        </w:rPr>
        <w:t xml:space="preserve">Last + 1</w:t>
      </w:r>
      <w:r>
        <w:t xml:space="preserve">). Kui see tingimus on täidetud, kontrollitakse teiseks, kas alumine järjekorranumber</w:t>
      </w:r>
      <w:r>
        <w:t xml:space="preserve"> </w:t>
      </w:r>
      <w:r>
        <w:rPr>
          <w:rStyle w:val="VerbatimChar"/>
        </w:rPr>
        <w:t xml:space="preserve">u</w:t>
      </w:r>
      <w:r>
        <w:t xml:space="preserve"> </w:t>
      </w:r>
      <w:r>
        <w:t xml:space="preserve">on suurem või võrdne kui viimane töödeldud number. Kui mõlemad tingimused kehtivad, on tegemist kehtiva jadaga ja sõnum töödeldakse. Kui teine tingimus ei kehti, on tegemist ajaloolise sõnumiga, mida ei töödelda. Kui esimene tingimus ei kehti (st</w:t>
      </w:r>
      <w:r>
        <w:t xml:space="preserve"> </w:t>
      </w:r>
      <w:r>
        <w:rPr>
          <w:rStyle w:val="VerbatimChar"/>
        </w:rPr>
        <w:t xml:space="preserve">U &gt; Last + 1</w:t>
      </w:r>
      <w:r>
        <w:t xml:space="preserve">), on tuvastatud jada lünk ja süsteem peab ootama järgmist snapshot’i, et taastada order book järjepidevus.</w:t>
      </w:r>
    </w:p>
    <w:p>
      <w:pPr>
        <w:pStyle w:val="BodyText"/>
      </w:pPr>
      <w:r>
        <w:rPr>
          <w:b/>
          <w:bCs/>
        </w:rPr>
        <w:t xml:space="preserve">Tehingu-ID monotoonsus</w:t>
      </w:r>
      <w:r>
        <w:t xml:space="preserve">: ID ei tohi kunagi väheneda; vähenev ID viitab andmekahjustusele.</w:t>
      </w:r>
    </w:p>
    <w:bookmarkEnd w:id="69"/>
    <w:bookmarkStart w:id="73" w:name="worker-thread-põhine-paralleeltöötlus"/>
    <w:p>
      <w:pPr>
        <w:pStyle w:val="Heading2"/>
      </w:pPr>
      <w:r>
        <w:t xml:space="preserve">Worker-thread põhine paralleeltöötlus</w:t>
      </w:r>
    </w:p>
    <w:p>
      <w:pPr>
        <w:pStyle w:val="BodyText"/>
      </w:pPr>
      <w:r>
        <w:t xml:space="preserve">Binance’i tehingute teisendaja kasutab worker-thread paralleelsust mitme sümboli töötlemiseks.</w:t>
      </w:r>
    </w:p>
    <w:p>
      <w:pPr>
        <w:pStyle w:val="BodyText"/>
        <w:jc w:val="center"/>
      </w:pPr>
      <w:r>
        <w:drawing>
          <wp:inline>
            <wp:extent cx="5575300" cy="5525741"/>
            <wp:effectExtent b="0" l="0" r="0" t="0"/>
            <wp:docPr descr="" title="" id="71" name="Picture"/>
            <a:graphic>
              <a:graphicData uri="http://schemas.openxmlformats.org/drawingml/2006/picture">
                <pic:pic>
                  <pic:nvPicPr>
                    <pic:cNvPr descr="docs/thesis_ee_condensed/images/mermaid_7dabbf74131c.png" id="72" name="Picture"/>
                    <pic:cNvPicPr>
                      <a:picLocks noChangeArrowheads="1" noChangeAspect="1"/>
                    </pic:cNvPicPr>
                  </pic:nvPicPr>
                  <pic:blipFill>
                    <a:blip r:embed="rId70"/>
                    <a:stretch>
                      <a:fillRect/>
                    </a:stretch>
                  </pic:blipFill>
                  <pic:spPr bwMode="auto">
                    <a:xfrm>
                      <a:off x="0" y="0"/>
                      <a:ext cx="5575300" cy="5525741"/>
                    </a:xfrm>
                    <a:prstGeom prst="rect">
                      <a:avLst/>
                    </a:prstGeom>
                    <a:noFill/>
                    <a:ln w="9525">
                      <a:noFill/>
                      <a:headEnd/>
                      <a:tailEnd/>
                    </a:ln>
                  </pic:spPr>
                </pic:pic>
              </a:graphicData>
            </a:graphic>
          </wp:inline>
        </w:drawing>
      </w:r>
    </w:p>
    <w:p>
      <w:pPr>
        <w:pStyle w:val="Caption"/>
      </w:pPr>
      <w:r>
        <w:t xml:space="preserve">Joonis 3.7 Worker-thread suhtluse järjestusdiagramm</w:t>
      </w:r>
    </w:p>
    <w:p>
      <w:pPr>
        <w:pStyle w:val="BodyText"/>
      </w:pPr>
      <w:r>
        <w:t xml:space="preserve">Worker’id ei saa kasutada peaprotsessi meetrikainfrastruktuuri. Meetodikutsed pakitakse sõnumiteks ja saadetakse main thread’ile.</w:t>
      </w:r>
    </w:p>
    <w:bookmarkEnd w:id="73"/>
    <w:bookmarkStart w:id="77" w:name="transform-and-forward-muster"/>
    <w:p>
      <w:pPr>
        <w:pStyle w:val="Heading2"/>
      </w:pPr>
      <w:r>
        <w:t xml:space="preserve">Transform-and-forward muster</w:t>
      </w:r>
    </w:p>
    <w:p>
      <w:pPr>
        <w:pStyle w:val="BodyText"/>
      </w:pPr>
      <w:r>
        <w:t xml:space="preserve">internal-bridge salvestab ja avaldab ühtlustatud andmed ZeroMQ kaudu:</w:t>
      </w:r>
    </w:p>
    <w:p>
      <w:pPr>
        <w:pStyle w:val="BodyText"/>
        <w:jc w:val="center"/>
      </w:pPr>
      <w:r>
        <w:drawing>
          <wp:inline>
            <wp:extent cx="5575300" cy="1910636"/>
            <wp:effectExtent b="0" l="0" r="0" t="0"/>
            <wp:docPr descr="" title="" id="75" name="Picture"/>
            <a:graphic>
              <a:graphicData uri="http://schemas.openxmlformats.org/drawingml/2006/picture">
                <pic:pic>
                  <pic:nvPicPr>
                    <pic:cNvPr descr="docs/thesis_ee_condensed/images/mermaid_2d0e76f58d77.png" id="76" name="Picture"/>
                    <pic:cNvPicPr>
                      <a:picLocks noChangeArrowheads="1" noChangeAspect="1"/>
                    </pic:cNvPicPr>
                  </pic:nvPicPr>
                  <pic:blipFill>
                    <a:blip r:embed="rId74"/>
                    <a:stretch>
                      <a:fillRect/>
                    </a:stretch>
                  </pic:blipFill>
                  <pic:spPr bwMode="auto">
                    <a:xfrm>
                      <a:off x="0" y="0"/>
                      <a:ext cx="5575300" cy="1910636"/>
                    </a:xfrm>
                    <a:prstGeom prst="rect">
                      <a:avLst/>
                    </a:prstGeom>
                    <a:noFill/>
                    <a:ln w="9525">
                      <a:noFill/>
                      <a:headEnd/>
                      <a:tailEnd/>
                    </a:ln>
                  </pic:spPr>
                </pic:pic>
              </a:graphicData>
            </a:graphic>
          </wp:inline>
        </w:drawing>
      </w:r>
    </w:p>
    <w:p>
      <w:pPr>
        <w:pStyle w:val="Caption"/>
      </w:pPr>
      <w:r>
        <w:t xml:space="preserve">Joonis 3.8 Transform-and-forward andmevoo arhitektuur</w:t>
      </w:r>
    </w:p>
    <w:bookmarkEnd w:id="77"/>
    <w:bookmarkStart w:id="78" w:name="jõudlus-ja-operatiivsed-omadused"/>
    <w:p>
      <w:pPr>
        <w:pStyle w:val="Heading2"/>
      </w:pPr>
      <w:r>
        <w:t xml:space="preserve">Jõudlus ja operatiivsed omadused</w:t>
      </w:r>
    </w:p>
    <w:p>
      <w:pPr>
        <w:pStyle w:val="BodyText"/>
      </w:pPr>
      <w:r>
        <w:rPr>
          <w:b/>
          <w:bCs/>
        </w:rPr>
        <w:t xml:space="preserve">Jõudlusoptimeeringud</w:t>
      </w:r>
      <w:r>
        <w:t xml:space="preserve">: Pakiorienteeritud töötlus, checkpoint-põhine pakkimine (1000 sõnumit ühe operatsioonina), event loop yield, zero-copy teisendus, LZ4 kompressioon.</w:t>
      </w:r>
    </w:p>
    <w:p>
      <w:pPr>
        <w:pStyle w:val="BodyText"/>
      </w:pPr>
      <w:r>
        <w:t xml:space="preserve">Läbilase: ~33 000 sõnumit sekundis per teisendaja (üksik voog, mõõdetud btc_usdt sümbolil) [3], &lt;10 ms latentsus sisendsõnumist väljundi avaldamiseni.</w:t>
      </w:r>
    </w:p>
    <w:p>
      <w:pPr>
        <w:pStyle w:val="BodyText"/>
      </w:pPr>
      <w:r>
        <w:rPr>
          <w:b/>
          <w:bCs/>
        </w:rPr>
        <w:t xml:space="preserve">Operatiivsed omadused</w:t>
      </w:r>
      <w:r>
        <w:t xml:space="preserve">: Automaatne taastumine (checkpoint + lünkatuvastus + storage fallback), deterministlik replay, jälgitav olek (meetrikad), piiritletud ressursikulu, graceful degradation (ühe teisendaja rike ei halvata teisi).</w:t>
      </w:r>
    </w:p>
    <w:bookmarkEnd w:id="78"/>
    <w:bookmarkEnd w:id="79"/>
    <w:bookmarkStart w:id="107" w:name="X00bfb36bc5642ee503967c67773919b44acbf10"/>
    <w:p>
      <w:pPr>
        <w:pStyle w:val="Heading1"/>
      </w:pPr>
      <w:r>
        <w:t xml:space="preserve">Tunnuste genereerimine turuandmetest: paralleelne aknastatud lähenemine</w:t>
      </w:r>
    </w:p>
    <w:p>
      <w:pPr>
        <w:pStyle w:val="BodyText"/>
      </w:pPr>
      <w:r>
        <w:t xml:space="preserve">Käesolev peatükk esitleb tunnuste genereerimise konveierit kõrgsagedusliku krüptovaluutade turuandmete jaoks. Süsteem rakendab ajaaknapõhist tunnuste eraldamist tehingusündmustest ja orderiraamatu hetkeseisudest, kasutades massiivide-struktuuride (Structure-of-Arrays) andmepaigutusi efektiivseks vektoriseeritud arvutuseks ning kohandatud lukuvabasid rõngaspuhvreid protsessidevaheliseks suhtluseks.</w:t>
      </w:r>
    </w:p>
    <w:bookmarkStart w:id="80" w:name="disaini-eesmärgid"/>
    <w:p>
      <w:pPr>
        <w:pStyle w:val="Heading2"/>
      </w:pPr>
      <w:r>
        <w:t xml:space="preserve">Disaini eesmärgid</w:t>
      </w:r>
    </w:p>
    <w:p>
      <w:pPr>
        <w:pStyle w:val="BodyText"/>
      </w:pPr>
      <w:r>
        <w:t xml:space="preserve">Rakendus seab prioriteediks:</w:t>
      </w:r>
    </w:p>
    <w:p>
      <w:pPr>
        <w:pStyle w:val="ListNumbered"/>
      </w:pPr>
      <w:r>
        <w:rPr>
          <w:b/>
          <w:bCs/>
        </w:rPr>
        <w:t xml:space="preserve">Arvutuslik efektiivsus</w:t>
      </w:r>
      <w:r>
        <w:t xml:space="preserve">: NumPy vektoriseeritud operatsioonid delegeerivad arvutused optimeeritud BLAS rutiinidele</w:t>
      </w:r>
    </w:p>
    <w:p>
      <w:pPr>
        <w:pStyle w:val="ListNumbered"/>
      </w:pPr>
      <w:r>
        <w:rPr>
          <w:b/>
          <w:bCs/>
        </w:rPr>
        <w:t xml:space="preserve">Paralleelne skaleeritavus</w:t>
      </w:r>
      <w:r>
        <w:t xml:space="preserve">: töö jaotamine mitme protsessi vahel GIL konfliktide vältimiseks</w:t>
      </w:r>
    </w:p>
    <w:p>
      <w:pPr>
        <w:pStyle w:val="ListNumbered"/>
      </w:pPr>
      <w:r>
        <w:rPr>
          <w:b/>
          <w:bCs/>
        </w:rPr>
        <w:t xml:space="preserve">Mälu efektiivsus</w:t>
      </w:r>
      <w:r>
        <w:t xml:space="preserve">: massiivide-struktuuride paigutused ja null-koopia andmejuurdepääs</w:t>
      </w:r>
    </w:p>
    <w:p>
      <w:pPr>
        <w:pStyle w:val="ListNumbered"/>
      </w:pPr>
      <w:r>
        <w:rPr>
          <w:b/>
          <w:bCs/>
        </w:rPr>
        <w:t xml:space="preserve">Deterministlik taasesitus</w:t>
      </w:r>
      <w:r>
        <w:t xml:space="preserve">: kontrollpunktipõhine taastamine ja joondatud aknapiirid</w:t>
      </w:r>
    </w:p>
    <w:p>
      <w:pPr>
        <w:pStyle w:val="ListNumbered"/>
      </w:pPr>
      <w:r>
        <w:rPr>
          <w:b/>
          <w:bCs/>
        </w:rPr>
        <w:t xml:space="preserve">Reaalajas töötlemine</w:t>
      </w:r>
      <w:r>
        <w:t xml:space="preserve">: sujuv üleminek ajaloolistest andmetest reaalajas voogedastusele</w:t>
      </w:r>
    </w:p>
    <w:p>
      <w:pPr>
        <w:pStyle w:val="BodyText"/>
      </w:pPr>
      <w:r>
        <w:t xml:space="preserve">Pythoni dünaamiline tüüpimine kehtestab jõudluskaristusi skalaaroperatsioonidele, kuid NumPy ndarray delegeerib massiivi operatsioone optimeeritud teekidele, saavutades vektoriseeritud arvutuste puhul natiivsete C rakendustega võrreldava jõudluse.</w:t>
      </w:r>
    </w:p>
    <w:bookmarkEnd w:id="80"/>
    <w:bookmarkStart w:id="81" w:name="aknastamise-arhitektuur"/>
    <w:p>
      <w:pPr>
        <w:pStyle w:val="Heading2"/>
      </w:pPr>
      <w:r>
        <w:t xml:space="preserve">Aknastamise arhitektuur</w:t>
      </w:r>
    </w:p>
    <w:p>
      <w:pPr>
        <w:pStyle w:val="BodyText"/>
      </w:pPr>
      <w:r>
        <w:t xml:space="preserve">Süsteem kasutab fikseeritud intervalliga ajaaknaid. Aknapiirid määratakse Unix-i epohhi millisekundite täisarvulise jagamise kaudu:</w:t>
      </w:r>
    </w:p>
    <w:p>
      <w:pPr>
        <w:pStyle w:val="Programcode"/>
      </w:pPr>
      <w:r>
        <w:t xml:space="preserve">window_start = (event_timestamp_ms // window_size_ms) * window_size_ms</w:t>
      </w:r>
    </w:p>
    <w:p>
      <w:pPr>
        <w:pStyle w:val="BodyText"/>
      </w:pPr>
      <w:r>
        <w:t xml:space="preserve">Iga aknatöötaja hoiab kahepuhvrilist olekumasinat piiride üleminekuteks. Kontrollpunktide taastamiseks skaneeritakse RocksDB viimased kirjed binaarotsingu abil.</w:t>
      </w:r>
    </w:p>
    <w:p>
      <w:pPr>
        <w:pStyle w:val="BodyText"/>
      </w:pPr>
      <w:r>
        <w:rPr>
          <w:b/>
          <w:bCs/>
        </w:rPr>
        <w:t xml:space="preserve">Kaherežiimiline töö</w:t>
      </w:r>
      <w:r>
        <w:t xml:space="preserve">: Ajalooline catch-up (RocksDB iteratsioon maksimaalse läbilaskega) → reaalajas voogedastus (ZeroMQ sub).</w:t>
      </w:r>
    </w:p>
    <w:bookmarkEnd w:id="81"/>
    <w:bookmarkStart w:id="88" w:name="tehingutunnuste-eraldamine"/>
    <w:p>
      <w:pPr>
        <w:pStyle w:val="Heading2"/>
      </w:pPr>
      <w:r>
        <w:t xml:space="preserve">Tehingutunnuste eraldamine</w:t>
      </w:r>
    </w:p>
    <w:bookmarkStart w:id="85" w:name="massiivide-struktuuride-andmepaigutus"/>
    <w:p>
      <w:pPr>
        <w:pStyle w:val="Heading3"/>
      </w:pPr>
      <w:r>
        <w:t xml:space="preserve">Massiivide-struktuuride andmepaigutus</w:t>
      </w:r>
    </w:p>
    <w:p>
      <w:pPr>
        <w:pStyle w:val="FirstParagraph"/>
        <w:jc w:val="center"/>
      </w:pPr>
      <w:r>
        <w:drawing>
          <wp:inline>
            <wp:extent cx="5575300" cy="2296966"/>
            <wp:effectExtent b="0" l="0" r="0" t="0"/>
            <wp:docPr descr="" title="" id="83" name="Picture"/>
            <a:graphic>
              <a:graphicData uri="http://schemas.openxmlformats.org/drawingml/2006/picture">
                <pic:pic>
                  <pic:nvPicPr>
                    <pic:cNvPr descr="docs/thesis_ee_condensed/images/mermaid_4e25161f2ff1.png" id="84" name="Picture"/>
                    <pic:cNvPicPr>
                      <a:picLocks noChangeArrowheads="1" noChangeAspect="1"/>
                    </pic:cNvPicPr>
                  </pic:nvPicPr>
                  <pic:blipFill>
                    <a:blip r:embed="rId82"/>
                    <a:stretch>
                      <a:fillRect/>
                    </a:stretch>
                  </pic:blipFill>
                  <pic:spPr bwMode="auto">
                    <a:xfrm>
                      <a:off x="0" y="0"/>
                      <a:ext cx="5575300" cy="2296966"/>
                    </a:xfrm>
                    <a:prstGeom prst="rect">
                      <a:avLst/>
                    </a:prstGeom>
                    <a:noFill/>
                    <a:ln w="9525">
                      <a:noFill/>
                      <a:headEnd/>
                      <a:tailEnd/>
                    </a:ln>
                  </pic:spPr>
                </pic:pic>
              </a:graphicData>
            </a:graphic>
          </wp:inline>
        </w:drawing>
      </w:r>
    </w:p>
    <w:p>
      <w:pPr>
        <w:pStyle w:val="Caption"/>
      </w:pPr>
      <w:r>
        <w:t xml:space="preserve">Joonis 4.1 Struktuuride massiivi ja massiivide struktuuri võrdlus</w:t>
      </w:r>
    </w:p>
    <w:p>
      <w:pPr>
        <w:pStyle w:val="BodyText"/>
      </w:pPr>
      <w:r>
        <w:t xml:space="preserve">Paigutuse eelised: vektoriseerimine (NumPy töötleb terveid massiive), vahemälu lokaalsus (järjestikune mälu), mälu efektiivsus (puudub Pythoni objekti üldkulu), null-koopia vaated (</w:t>
      </w:r>
      <w:r>
        <w:rPr>
          <w:rStyle w:val="VerbatimChar"/>
        </w:rPr>
        <w:t xml:space="preserve">memoryview</w:t>
      </w:r>
      <w:r>
        <w:t xml:space="preserve">).</w:t>
      </w:r>
    </w:p>
    <w:p>
      <w:pPr>
        <w:pStyle w:val="BodyText"/>
      </w:pPr>
      <w:r>
        <w:t xml:space="preserve">SoA kasutab Pythoni</w:t>
      </w:r>
      <w:r>
        <w:t xml:space="preserve"> </w:t>
      </w:r>
      <w:r>
        <w:rPr>
          <w:rStyle w:val="VerbatimChar"/>
        </w:rPr>
        <w:t xml:space="preserve">array.array</w:t>
      </w:r>
      <w:r>
        <w:t xml:space="preserve"> </w:t>
      </w:r>
      <w:r>
        <w:t xml:space="preserve">moodulit:</w:t>
      </w:r>
      <w:r>
        <w:t xml:space="preserve"> </w:t>
      </w:r>
      <w:r>
        <w:rPr>
          <w:rStyle w:val="VerbatimChar"/>
        </w:rPr>
        <w:t xml:space="preserve">timestamps</w:t>
      </w:r>
      <w:r>
        <w:t xml:space="preserve"> </w:t>
      </w:r>
      <w:r>
        <w:t xml:space="preserve">(</w:t>
      </w:r>
      <w:r>
        <w:rPr>
          <w:rStyle w:val="VerbatimChar"/>
        </w:rPr>
        <w:t xml:space="preserve">array('q')</w:t>
      </w:r>
      <w:r>
        <w:t xml:space="preserve">),</w:t>
      </w:r>
      <w:r>
        <w:t xml:space="preserve"> </w:t>
      </w:r>
      <w:r>
        <w:rPr>
          <w:rStyle w:val="VerbatimChar"/>
        </w:rPr>
        <w:t xml:space="preserve">prices</w:t>
      </w:r>
      <w:r>
        <w:t xml:space="preserve"> </w:t>
      </w:r>
      <w:r>
        <w:t xml:space="preserve">(</w:t>
      </w:r>
      <w:r>
        <w:rPr>
          <w:rStyle w:val="VerbatimChar"/>
        </w:rPr>
        <w:t xml:space="preserve">array('d')</w:t>
      </w:r>
      <w:r>
        <w:t xml:space="preserve">),</w:t>
      </w:r>
      <w:r>
        <w:t xml:space="preserve"> </w:t>
      </w:r>
      <w:r>
        <w:rPr>
          <w:rStyle w:val="VerbatimChar"/>
        </w:rPr>
        <w:t xml:space="preserve">quantities</w:t>
      </w:r>
      <w:r>
        <w:t xml:space="preserve"> </w:t>
      </w:r>
      <w:r>
        <w:t xml:space="preserve">(</w:t>
      </w:r>
      <w:r>
        <w:rPr>
          <w:rStyle w:val="VerbatimChar"/>
        </w:rPr>
        <w:t xml:space="preserve">array('d')</w:t>
      </w:r>
      <w:r>
        <w:t xml:space="preserve">),</w:t>
      </w:r>
      <w:r>
        <w:t xml:space="preserve"> </w:t>
      </w:r>
      <w:r>
        <w:rPr>
          <w:rStyle w:val="VerbatimChar"/>
        </w:rPr>
        <w:t xml:space="preserve">sides</w:t>
      </w:r>
      <w:r>
        <w:t xml:space="preserve"> </w:t>
      </w:r>
      <w:r>
        <w:t xml:space="preserve">(</w:t>
      </w:r>
      <w:r>
        <w:rPr>
          <w:rStyle w:val="VerbatimChar"/>
        </w:rPr>
        <w:t xml:space="preserve">array('B')</w:t>
      </w:r>
      <w:r>
        <w:t xml:space="preserve">).</w:t>
      </w:r>
    </w:p>
    <w:bookmarkEnd w:id="85"/>
    <w:bookmarkStart w:id="86" w:name="null-koopia-numpy-teisendus"/>
    <w:p>
      <w:pPr>
        <w:pStyle w:val="Heading3"/>
      </w:pPr>
      <w:r>
        <w:t xml:space="preserve">Null-koopia NumPy teisendus</w:t>
      </w:r>
    </w:p>
    <w:p>
      <w:pPr>
        <w:pStyle w:val="Programcode"/>
      </w:pPr>
      <w:r>
        <w:t xml:space="preserve">ts = np.frombuffer(memoryview(self.ts), dtype=np.int64, count=n)</w:t>
      </w:r>
      <w:r>
        <w:br/>
      </w:r>
      <w:r>
        <w:t xml:space="preserve">prices = np.frombuffer(memoryview(self.price_u), dtype=np.float64, count=n)</w:t>
      </w:r>
    </w:p>
    <w:p>
      <w:pPr>
        <w:pStyle w:val="BodyText"/>
      </w:pPr>
      <w:r>
        <w:rPr>
          <w:rStyle w:val="VerbatimChar"/>
        </w:rPr>
        <w:t xml:space="preserve">np.frombuffer</w:t>
      </w:r>
      <w:r>
        <w:t xml:space="preserve"> </w:t>
      </w:r>
      <w:r>
        <w:t xml:space="preserve">funktsioon loob NumPy massiivi viite otse</w:t>
      </w:r>
      <w:r>
        <w:t xml:space="preserve"> </w:t>
      </w:r>
      <w:r>
        <w:rPr>
          <w:rStyle w:val="VerbatimChar"/>
        </w:rPr>
        <w:t xml:space="preserve">array.array</w:t>
      </w:r>
      <w:r>
        <w:t xml:space="preserve"> </w:t>
      </w:r>
      <w:r>
        <w:t xml:space="preserve">sisemisele mälupuhvrile ilma andmeid kopeerimata.</w:t>
      </w:r>
      <w:r>
        <w:t xml:space="preserve"> </w:t>
      </w:r>
      <w:r>
        <w:rPr>
          <w:rStyle w:val="VerbatimChar"/>
        </w:rPr>
        <w:t xml:space="preserve">memoryview</w:t>
      </w:r>
      <w:r>
        <w:t xml:space="preserve"> </w:t>
      </w:r>
      <w:r>
        <w:t xml:space="preserve">objekt pakub puhvri-protokolli liidest, mis võimaldab NumPy’l lugeda algseid andmeid ilma Pythoni objekti üldkuluta. Tulemuseks on vektoriseeritud arvutuste jaoks vajalik nullkuluga teisendus.</w:t>
      </w:r>
    </w:p>
    <w:bookmarkEnd w:id="86"/>
    <w:bookmarkStart w:id="87" w:name="arvutatud-tehingutunnused"/>
    <w:p>
      <w:pPr>
        <w:pStyle w:val="Heading3"/>
        <w:keepNext w:val="1"/>
      </w:pPr>
      <w:r>
        <w:t xml:space="preserve">Arvutatud tehingutunnused</w:t>
      </w:r>
    </w:p>
    <w:p>
      <w:pPr>
        <w:pStyle w:val="Caption"/>
        <w:keepNext w:val="1"/>
      </w:pPr>
      <w:r>
        <w:t xml:space="preserve">Tabel 4.1 Tehingutunnuste kategooriad</w:t>
      </w:r>
    </w:p>
    <w:tbl>
      <w:tblPr>
        <w:tblStyle w:val="Table"/>
        <w:tblW w:type="pct" w:w="5000"/>
        <w:tblLayout w:type="fixed"/>
        <w:tblLook w:firstRow="1" w:lastRow="0" w:firstColumn="0" w:lastColumn="0" w:noHBand="0" w:noVBand="0" w:val="0020"/>
        <w:tblCaption w:val="Tabel 4.1 Tehingutunnuste kategooria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606"/>
        <w:gridCol w:w="6313"/>
      </w:tblGrid>
      <w:tr>
        <w:trPr>
          <w:tblHeader w:val="on"/>
          <w:cantSplit w:val="1"/>
        </w:trPr>
        <w:tc>
          <w:tcPr/>
          <w:p>
            <w:pPr>
              <w:pStyle w:val="Tabelhead"/>
              <w:keepLines w:val="1"/>
              <w:keepNext w:val="1"/>
            </w:pPr>
            <w:r>
              <w:t xml:space="preserve">Kategooria</w:t>
            </w:r>
          </w:p>
        </w:tc>
        <w:tc>
          <w:tcPr/>
          <w:p>
            <w:pPr>
              <w:pStyle w:val="Tabelhead"/>
              <w:keepLines w:val="1"/>
              <w:keepNext w:val="1"/>
            </w:pPr>
            <w:r>
              <w:t xml:space="preserve">Tunnused</w:t>
            </w:r>
          </w:p>
        </w:tc>
      </w:tr>
      <w:tr>
        <w:trPr>
          <w:cantSplit w:val="1"/>
        </w:trPr>
        <w:tc>
          <w:tcPr/>
          <w:p>
            <w:pPr>
              <w:pStyle w:val="Tabletext"/>
              <w:keepLines w:val="1"/>
              <w:keepNext w:val="1"/>
            </w:pPr>
            <w:r>
              <w:t xml:space="preserve">OHLCV</w:t>
            </w:r>
          </w:p>
        </w:tc>
        <w:tc>
          <w:tcPr/>
          <w:p>
            <w:pPr>
              <w:pStyle w:val="Tabletext"/>
              <w:keepLines w:val="1"/>
              <w:keepNext w:val="1"/>
            </w:pPr>
            <w:r>
              <w:t xml:space="preserve">Open, High, Low, Close, Volume</w:t>
            </w:r>
          </w:p>
        </w:tc>
      </w:tr>
      <w:tr>
        <w:trPr>
          <w:cantSplit w:val="1"/>
        </w:trPr>
        <w:tc>
          <w:tcPr/>
          <w:p>
            <w:pPr>
              <w:pStyle w:val="Tabletext"/>
              <w:keepLines w:val="1"/>
              <w:keepNext w:val="1"/>
            </w:pPr>
            <w:r>
              <w:t xml:space="preserve">Mahukaalutud</w:t>
            </w:r>
          </w:p>
        </w:tc>
        <w:tc>
          <w:tcPr/>
          <w:p>
            <w:pPr>
              <w:pStyle w:val="Tabletext"/>
              <w:keepLines w:val="1"/>
              <w:keepNext w:val="1"/>
            </w:pPr>
            <w:r>
              <w:t xml:space="preserve">VWAP lugeja (Σ price×qty), ostude/müükide maht</w:t>
            </w:r>
          </w:p>
        </w:tc>
      </w:tr>
      <w:tr>
        <w:trPr>
          <w:cantSplit w:val="1"/>
        </w:trPr>
        <w:tc>
          <w:tcPr/>
          <w:p>
            <w:pPr>
              <w:pStyle w:val="Tabletext"/>
              <w:keepLines w:val="1"/>
              <w:keepNext w:val="1"/>
            </w:pPr>
            <w:r>
              <w:t xml:space="preserve">Log-tootlused</w:t>
            </w:r>
          </w:p>
        </w:tc>
        <w:tc>
          <w:tcPr/>
          <w:p>
            <w:pPr>
              <w:pStyle w:val="Tabletext"/>
              <w:keepLines w:val="1"/>
              <w:keepNext w:val="1"/>
            </w:pPr>
            <w:r>
              <w:t xml:space="preserve">sum_logret, sum_logret², sum_logret³</w:t>
            </w:r>
          </w:p>
        </w:tc>
      </w:tr>
      <w:tr>
        <w:trPr>
          <w:cantSplit w:val="1"/>
        </w:trPr>
        <w:tc>
          <w:tcPr/>
          <w:p>
            <w:pPr>
              <w:pStyle w:val="Tabletext"/>
              <w:keepLines w:val="1"/>
              <w:keepNext w:val="1"/>
            </w:pPr>
            <w:r>
              <w:t xml:space="preserve">Ajatunnused</w:t>
            </w:r>
          </w:p>
        </w:tc>
        <w:tc>
          <w:tcPr/>
          <w:p>
            <w:pPr>
              <w:pStyle w:val="Tabletext"/>
              <w:keepLines w:val="1"/>
              <w:keepNext w:val="1"/>
            </w:pPr>
            <w:r>
              <w:t xml:space="preserve">Esimene/viimane ajatempel, intervallide summa, max lõhe</w:t>
            </w:r>
          </w:p>
        </w:tc>
      </w:tr>
      <w:tr>
        <w:trPr>
          <w:cantSplit w:val="1"/>
        </w:trPr>
        <w:tc>
          <w:tcPr/>
          <w:p>
            <w:pPr>
              <w:pStyle w:val="Tabletext"/>
              <w:keepLines w:val="1"/>
              <w:keepNext w:val="1"/>
            </w:pPr>
            <w:r>
              <w:t xml:space="preserve">Suuruse jaotus</w:t>
            </w:r>
          </w:p>
        </w:tc>
        <w:tc>
          <w:tcPr/>
          <w:p>
            <w:pPr>
              <w:pStyle w:val="Tabletext"/>
              <w:keepLines w:val="1"/>
              <w:keepNext w:val="1"/>
            </w:pPr>
            <w:r>
              <w:t xml:space="preserve">Min/max tehingu suurus</w:t>
            </w:r>
          </w:p>
        </w:tc>
      </w:tr>
    </w:tbl>
    <w:p>
      <w:pPr>
        <w:pStyle w:val="BodyText"/>
      </w:pPr>
      <w:r>
        <w:t xml:space="preserve"> </w:t>
      </w:r>
    </w:p>
    <w:bookmarkEnd w:id="87"/>
    <w:bookmarkEnd w:id="88"/>
    <w:bookmarkStart w:id="92" w:name="orderiraamatu-tunnuste-eraldamine"/>
    <w:p>
      <w:pPr>
        <w:pStyle w:val="Heading2"/>
      </w:pPr>
      <w:r>
        <w:t xml:space="preserve">Orderiraamatu tunnuste eraldamine</w:t>
      </w:r>
    </w:p>
    <w:bookmarkStart w:id="89" w:name="oleku-haldamine"/>
    <w:p>
      <w:pPr>
        <w:pStyle w:val="Heading3"/>
      </w:pPr>
      <w:r>
        <w:t xml:space="preserve">Oleku haldamine</w:t>
      </w:r>
    </w:p>
    <w:p>
      <w:pPr>
        <w:pStyle w:val="BodyText"/>
      </w:pPr>
      <w:r>
        <w:t xml:space="preserve">Kumbagi poolt esindab</w:t>
      </w:r>
      <w:r>
        <w:t xml:space="preserve"> </w:t>
      </w:r>
      <w:r>
        <w:rPr>
          <w:rStyle w:val="VerbatimChar"/>
        </w:rPr>
        <w:t xml:space="preserve">_SideBook</w:t>
      </w:r>
      <w:r>
        <w:t xml:space="preserve"> </w:t>
      </w:r>
      <w:r>
        <w:t xml:space="preserve">struktuur:</w:t>
      </w:r>
      <w:r>
        <w:t xml:space="preserve"> </w:t>
      </w:r>
      <w:r>
        <w:rPr>
          <w:rStyle w:val="VerbatimChar"/>
        </w:rPr>
        <w:t xml:space="preserve">prices</w:t>
      </w:r>
      <w:r>
        <w:t xml:space="preserve"> </w:t>
      </w:r>
      <w:r>
        <w:t xml:space="preserve">(sorteeritud loend),</w:t>
      </w:r>
      <w:r>
        <w:t xml:space="preserve"> </w:t>
      </w:r>
      <w:r>
        <w:rPr>
          <w:rStyle w:val="VerbatimChar"/>
        </w:rPr>
        <w:t xml:space="preserve">volumes</w:t>
      </w:r>
      <w:r>
        <w:t xml:space="preserve"> </w:t>
      </w:r>
      <w:r>
        <w:t xml:space="preserve">(sõnastik hind→kogus),</w:t>
      </w:r>
      <w:r>
        <w:t xml:space="preserve"> </w:t>
      </w:r>
      <w:r>
        <w:rPr>
          <w:rStyle w:val="VerbatimChar"/>
        </w:rPr>
        <w:t xml:space="preserve">total_qty</w:t>
      </w:r>
      <w:r>
        <w:t xml:space="preserve"> </w:t>
      </w:r>
      <w:r>
        <w:t xml:space="preserve">ja</w:t>
      </w:r>
      <w:r>
        <w:t xml:space="preserve"> </w:t>
      </w:r>
      <w:r>
        <w:rPr>
          <w:rStyle w:val="VerbatimChar"/>
        </w:rPr>
        <w:t xml:space="preserve">total_notional</w:t>
      </w:r>
      <w:r>
        <w:t xml:space="preserve"> </w:t>
      </w:r>
      <w:r>
        <w:t xml:space="preserve">(jooksvad summad O(1) päringuteks).</w:t>
      </w:r>
    </w:p>
    <w:p>
      <w:pPr>
        <w:pStyle w:val="BodyText"/>
      </w:pPr>
      <w:r>
        <w:t xml:space="preserve">Järkjärguline uuendus: taseme lisamine (</w:t>
      </w:r>
      <w:r>
        <w:rPr>
          <w:rStyle w:val="VerbatimChar"/>
        </w:rPr>
        <w:t xml:space="preserve">bisect.insort</w:t>
      </w:r>
      <w:r>
        <w:t xml:space="preserve">), uuendamine (delta arvutus) või eemaldamine (kogus→0).</w:t>
      </w:r>
    </w:p>
    <w:bookmarkEnd w:id="89"/>
    <w:bookmarkStart w:id="90" w:name="ajakaalutud-tunnuste-akumulatsioon"/>
    <w:p>
      <w:pPr>
        <w:pStyle w:val="Heading3"/>
      </w:pPr>
      <w:r>
        <w:t xml:space="preserve">Ajakaalutud tunnuste akumulatsioon</w:t>
      </w:r>
    </w:p>
    <w:p>
      <w:pPr>
        <w:pStyle w:val="BodyText"/>
        <w:keepNext w:val="1"/>
      </w:pPr>
      <w:r>
        <w:t xml:space="preserve">Iga orderiraamatu uuenduse jaoks on eelmisele olekule määratud kaal</w:t>
      </w:r>
      <w:r>
        <w:t xml:space="preserve"> </w:t>
      </w:r>
      <w:r>
        <w:rPr>
          <w:rStyle w:val="VerbatimChar"/>
        </w:rPr>
        <w:t xml:space="preserve">w = t_curr - t_prev</w:t>
      </w:r>
      <w:r>
        <w:t xml:space="preserve">, kus</w:t>
      </w:r>
      <w:r>
        <w:t xml:space="preserve"> </w:t>
      </w:r>
      <w:r>
        <w:rPr>
          <w:rStyle w:val="VerbatimChar"/>
        </w:rPr>
        <w:t xml:space="preserve">w</w:t>
      </w:r>
      <w:r>
        <w:t xml:space="preserve"> </w:t>
      </w:r>
      <w:r>
        <w:t xml:space="preserve">on millisekundites mõõdetud ajavahemik, mille jooksul eelmine orderiraamatu olek püsis. See kaal võimaldab arvutada ajakaalutud keskmisi, mis arvestavad, kui kaua iga hind või maht aknas püsis, mitte ainult uuenduste arvu.</w:t>
      </w:r>
    </w:p>
    <w:p>
      <w:pPr>
        <w:pStyle w:val="Caption"/>
        <w:keepNext w:val="1"/>
      </w:pPr>
      <w:r>
        <w:t xml:space="preserve">Tabel 4.2 Orderiraamatu tunnuste kategooriad</w:t>
      </w:r>
    </w:p>
    <w:tbl>
      <w:tblPr>
        <w:tblStyle w:val="Table"/>
        <w:tblW w:type="auto" w:w="0"/>
        <w:tblLook w:firstRow="1" w:lastRow="0" w:firstColumn="0" w:lastColumn="0" w:noHBand="0" w:noVBand="0" w:val="0020"/>
        <w:tblCaption w:val="Tabel 4.2 Orderiraamatu tunnuste kategooria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cantSplit w:val="1"/>
        </w:trPr>
        <w:tc>
          <w:tcPr/>
          <w:p>
            <w:pPr>
              <w:pStyle w:val="Tabelhead"/>
              <w:keepLines w:val="1"/>
              <w:keepNext w:val="1"/>
            </w:pPr>
            <w:r>
              <w:t xml:space="preserve">Kategooria</w:t>
            </w:r>
          </w:p>
        </w:tc>
        <w:tc>
          <w:tcPr/>
          <w:p>
            <w:pPr>
              <w:pStyle w:val="Tabelhead"/>
              <w:keepLines w:val="1"/>
              <w:keepNext w:val="1"/>
            </w:pPr>
            <w:r>
              <w:t xml:space="preserve">Tunnused</w:t>
            </w:r>
          </w:p>
        </w:tc>
      </w:tr>
      <w:tr>
        <w:trPr>
          <w:cantSplit w:val="1"/>
        </w:trPr>
        <w:tc>
          <w:tcPr/>
          <w:p>
            <w:pPr>
              <w:pStyle w:val="Tabletext"/>
              <w:keepLines w:val="1"/>
              <w:keepNext w:val="1"/>
            </w:pPr>
            <w:r>
              <w:t xml:space="preserve">Keskhinnad</w:t>
            </w:r>
          </w:p>
        </w:tc>
        <w:tc>
          <w:tcPr/>
          <w:p>
            <w:pPr>
              <w:pStyle w:val="Tabletext"/>
              <w:keepLines w:val="1"/>
              <w:keepNext w:val="1"/>
            </w:pPr>
            <w:r>
              <w:t xml:space="preserve">sw_mid, sw_micro (mahukaalutud)</w:t>
            </w:r>
          </w:p>
        </w:tc>
      </w:tr>
      <w:tr>
        <w:trPr>
          <w:cantSplit w:val="1"/>
        </w:trPr>
        <w:tc>
          <w:tcPr/>
          <w:p>
            <w:pPr>
              <w:pStyle w:val="Tabletext"/>
              <w:keepLines w:val="1"/>
              <w:keepNext w:val="1"/>
            </w:pPr>
            <w:r>
              <w:t xml:space="preserve">Hinnavahe</w:t>
            </w:r>
          </w:p>
        </w:tc>
        <w:tc>
          <w:tcPr/>
          <w:p>
            <w:pPr>
              <w:pStyle w:val="Tabletext"/>
              <w:keepLines w:val="1"/>
              <w:keepNext w:val="1"/>
            </w:pPr>
            <w:r>
              <w:t xml:space="preserve">sw_spread, spread_min, spread_max</w:t>
            </w:r>
          </w:p>
        </w:tc>
      </w:tr>
      <w:tr>
        <w:trPr>
          <w:cantSplit w:val="1"/>
        </w:trPr>
        <w:tc>
          <w:tcPr/>
          <w:p>
            <w:pPr>
              <w:pStyle w:val="Tabletext"/>
              <w:keepLines w:val="1"/>
              <w:keepNext w:val="1"/>
            </w:pPr>
            <w:r>
              <w:t xml:space="preserve">Sügavus</w:t>
            </w:r>
          </w:p>
        </w:tc>
        <w:tc>
          <w:tcPr/>
          <w:p>
            <w:pPr>
              <w:pStyle w:val="Tabletext"/>
              <w:keepLines w:val="1"/>
              <w:keepNext w:val="1"/>
            </w:pPr>
            <w:r>
              <w:t xml:space="preserve">sw_bid, sw_ask, sw_imb (tasakaalustamatus)</w:t>
            </w:r>
          </w:p>
        </w:tc>
      </w:tr>
      <w:tr>
        <w:trPr>
          <w:cantSplit w:val="1"/>
        </w:trPr>
        <w:tc>
          <w:tcPr/>
          <w:p>
            <w:pPr>
              <w:pStyle w:val="Tabletext"/>
              <w:keepLines w:val="1"/>
              <w:keepNext w:val="1"/>
            </w:pPr>
            <w:r>
              <w:t xml:space="preserve">Parima taseme</w:t>
            </w:r>
          </w:p>
        </w:tc>
        <w:tc>
          <w:tcPr/>
          <w:p>
            <w:pPr>
              <w:pStyle w:val="Tabletext"/>
              <w:keepLines w:val="1"/>
              <w:keepNext w:val="1"/>
            </w:pPr>
            <w:r>
              <w:t xml:space="preserve">sw_bid_best_sz, sw_ask_best_sz</w:t>
            </w:r>
          </w:p>
        </w:tc>
      </w:tr>
      <w:tr>
        <w:trPr>
          <w:cantSplit w:val="1"/>
        </w:trPr>
        <w:tc>
          <w:tcPr/>
          <w:p>
            <w:pPr>
              <w:pStyle w:val="Tabletext"/>
              <w:keepLines w:val="1"/>
              <w:keepNext w:val="1"/>
            </w:pPr>
            <w:r>
              <w:t xml:space="preserve">Sündmused</w:t>
            </w:r>
          </w:p>
        </w:tc>
        <w:tc>
          <w:tcPr/>
          <w:p>
            <w:pPr>
              <w:pStyle w:val="Tabletext"/>
              <w:keepLines w:val="1"/>
              <w:keepNext w:val="1"/>
            </w:pPr>
            <w:r>
              <w:t xml:space="preserve">n_mid_up, n_mid_down, n_spread_widen, n_updates</w:t>
            </w:r>
          </w:p>
        </w:tc>
      </w:tr>
      <w:tr>
        <w:trPr>
          <w:cantSplit w:val="1"/>
        </w:trPr>
        <w:tc>
          <w:tcPr/>
          <w:p>
            <w:pPr>
              <w:pStyle w:val="Tabletext"/>
              <w:keepLines w:val="1"/>
              <w:keepNext w:val="1"/>
            </w:pPr>
            <w:r>
              <w:t xml:space="preserve">Sulgemine</w:t>
            </w:r>
          </w:p>
        </w:tc>
        <w:tc>
          <w:tcPr/>
          <w:p>
            <w:pPr>
              <w:pStyle w:val="Tabletext"/>
              <w:keepLines w:val="1"/>
              <w:keepNext w:val="1"/>
            </w:pPr>
            <w:r>
              <w:t xml:space="preserve">close_mid, close_spread, close_bb, close_ba</w:t>
            </w:r>
          </w:p>
        </w:tc>
      </w:tr>
    </w:tbl>
    <w:p>
      <w:pPr>
        <w:pStyle w:val="BodyText"/>
      </w:pPr>
      <w:r>
        <w:t xml:space="preserve"> </w:t>
      </w:r>
    </w:p>
    <w:bookmarkEnd w:id="90"/>
    <w:bookmarkStart w:id="91" w:name="welfordi-algoritm-dispersiooniks"/>
    <w:p>
      <w:pPr>
        <w:pStyle w:val="Heading3"/>
      </w:pPr>
      <w:r>
        <w:t xml:space="preserve">Welfordi algoritm dispersiooniks</w:t>
      </w:r>
    </w:p>
    <w:p>
      <w:pPr>
        <w:pStyle w:val="BodyText"/>
      </w:pPr>
      <w:r>
        <w:t xml:space="preserve">Jooksva dispersiooni arvutamine toimub Welfordi algoritmiga [4], mis võimaldab numbriliselt stabiilset dispersiooni arvutamist ühe läbimisega. Arvutus toimub valemiga (4.1):</w:t>
      </w:r>
    </w:p>
    <w:p>
      <w:pPr>
        <w:pStyle w:val="Programcode"/>
      </w:pPr>
      <w:r>
        <w:t xml:space="preserve">w_old, mean_old = acc.n_w, acc.mean_mid</w:t>
      </w:r>
      <w:r>
        <w:br/>
      </w:r>
      <w:r>
        <w:t xml:space="preserve">w_new = w_old + w</w:t>
      </w:r>
      <w:r>
        <w:br/>
      </w:r>
      <w:r>
        <w:t xml:space="preserve">delta = mid - mean_old</w:t>
      </w:r>
      <w:r>
        <w:br/>
      </w:r>
      <w:r>
        <w:t xml:space="preserve">mean_new = mean_old + (w * delta) / w_new</w:t>
      </w:r>
      <w:r>
        <w:br/>
      </w:r>
      <w:r>
        <w:t xml:space="preserve">acc.M2_mid += w * (mid - mean_new) * (mid - mean_old)</w:t>
      </w:r>
    </w:p>
    <w:p>
      <w:pPr>
        <w:pStyle w:val="BodyText"/>
      </w:pPr>
      <w:r>
        <w:t xml:space="preserve">Võimaldab volatiilsuse hindamist ühe läbimisega ilma vaatluste salvestamiseta.</w:t>
      </w:r>
    </w:p>
    <w:bookmarkEnd w:id="91"/>
    <w:bookmarkEnd w:id="92"/>
    <w:bookmarkStart w:id="99" w:name="mitmeprotsessiline-paralleliseerimine"/>
    <w:p>
      <w:pPr>
        <w:pStyle w:val="Heading2"/>
      </w:pPr>
      <w:r>
        <w:t xml:space="preserve">Mitmeprotsessiline paralleliseerimine</w:t>
      </w:r>
    </w:p>
    <w:p>
      <w:pPr>
        <w:pStyle w:val="BodyText"/>
      </w:pPr>
      <w:r>
        <w:t xml:space="preserve">Süsteem partitsioneerib töö dimensioonides: platvorm, sümbol, akna suurus, andmete liik. Töötajate arv vastab CPU tuumade arvule.</w:t>
      </w:r>
    </w:p>
    <w:p>
      <w:pPr>
        <w:pStyle w:val="BodyText"/>
      </w:pPr>
      <w:r>
        <w:rPr>
          <w:b/>
          <w:bCs/>
        </w:rPr>
        <w:t xml:space="preserve">Protsessi isolatsiooni eelised</w:t>
      </w:r>
      <w:r>
        <w:t xml:space="preserve">: GIL vältimine (NumPy paralleelsus), mälu isolatsioon, vea isolatsioon, sõltumatu kontrollpunktimine.</w:t>
      </w:r>
    </w:p>
    <w:p>
      <w:pPr>
        <w:pStyle w:val="BodyText"/>
        <w:jc w:val="center"/>
      </w:pPr>
      <w:r>
        <w:drawing>
          <wp:inline>
            <wp:extent cx="5575300" cy="512017"/>
            <wp:effectExtent b="0" l="0" r="0" t="0"/>
            <wp:docPr descr="" title="" id="94" name="Picture"/>
            <a:graphic>
              <a:graphicData uri="http://schemas.openxmlformats.org/drawingml/2006/picture">
                <pic:pic>
                  <pic:nvPicPr>
                    <pic:cNvPr descr="docs/thesis_ee_condensed/images/mermaid_098fd858e9c8.png" id="95" name="Picture"/>
                    <pic:cNvPicPr>
                      <a:picLocks noChangeArrowheads="1" noChangeAspect="1"/>
                    </pic:cNvPicPr>
                  </pic:nvPicPr>
                  <pic:blipFill>
                    <a:blip r:embed="rId93"/>
                    <a:stretch>
                      <a:fillRect/>
                    </a:stretch>
                  </pic:blipFill>
                  <pic:spPr bwMode="auto">
                    <a:xfrm>
                      <a:off x="0" y="0"/>
                      <a:ext cx="5575300" cy="512017"/>
                    </a:xfrm>
                    <a:prstGeom prst="rect">
                      <a:avLst/>
                    </a:prstGeom>
                    <a:noFill/>
                    <a:ln w="9525">
                      <a:noFill/>
                      <a:headEnd/>
                      <a:tailEnd/>
                    </a:ln>
                  </pic:spPr>
                </pic:pic>
              </a:graphicData>
            </a:graphic>
          </wp:inline>
        </w:drawing>
      </w:r>
    </w:p>
    <w:p>
      <w:pPr>
        <w:pStyle w:val="BodyText"/>
        <w:jc w:val="center"/>
      </w:pPr>
      <w:r>
        <w:drawing>
          <wp:inline>
            <wp:extent cx="5575300" cy="725357"/>
            <wp:effectExtent b="0" l="0" r="0" t="0"/>
            <wp:docPr descr="" title="" id="97" name="Picture"/>
            <a:graphic>
              <a:graphicData uri="http://schemas.openxmlformats.org/drawingml/2006/picture">
                <pic:pic>
                  <pic:nvPicPr>
                    <pic:cNvPr descr="docs/thesis_ee_condensed/images/mermaid_64bc56e0dfce.png" id="98" name="Picture"/>
                    <pic:cNvPicPr>
                      <a:picLocks noChangeArrowheads="1" noChangeAspect="1"/>
                    </pic:cNvPicPr>
                  </pic:nvPicPr>
                  <pic:blipFill>
                    <a:blip r:embed="rId96"/>
                    <a:stretch>
                      <a:fillRect/>
                    </a:stretch>
                  </pic:blipFill>
                  <pic:spPr bwMode="auto">
                    <a:xfrm>
                      <a:off x="0" y="0"/>
                      <a:ext cx="5575300" cy="725357"/>
                    </a:xfrm>
                    <a:prstGeom prst="rect">
                      <a:avLst/>
                    </a:prstGeom>
                    <a:noFill/>
                    <a:ln w="9525">
                      <a:noFill/>
                      <a:headEnd/>
                      <a:tailEnd/>
                    </a:ln>
                  </pic:spPr>
                </pic:pic>
              </a:graphicData>
            </a:graphic>
          </wp:inline>
        </w:drawing>
      </w:r>
    </w:p>
    <w:p>
      <w:pPr>
        <w:pStyle w:val="Caption"/>
      </w:pPr>
      <w:r>
        <w:t xml:space="preserve">Joonis 4.2 Mitmeprotsessilise paralleeltöötluse järjestusdiagramm</w:t>
      </w:r>
    </w:p>
    <w:bookmarkEnd w:id="99"/>
    <w:bookmarkStart w:id="104" w:name="kohandatud-lukuvaba-rõngaspuhver"/>
    <w:p>
      <w:pPr>
        <w:pStyle w:val="Heading2"/>
      </w:pPr>
      <w:r>
        <w:t xml:space="preserve">Kohandatud lukuvaba rõngaspuhver</w:t>
      </w:r>
    </w:p>
    <w:bookmarkStart w:id="100" w:name="arhitektuuri-põhjendus"/>
    <w:p>
      <w:pPr>
        <w:pStyle w:val="Heading3"/>
      </w:pPr>
      <w:r>
        <w:t xml:space="preserve">Arhitektuuri põhjendus</w:t>
      </w:r>
    </w:p>
    <w:p>
      <w:pPr>
        <w:pStyle w:val="BodyText"/>
      </w:pPr>
      <w:r>
        <w:t xml:space="preserve">Pythoni</w:t>
      </w:r>
      <w:r>
        <w:t xml:space="preserve"> </w:t>
      </w:r>
      <w:r>
        <w:rPr>
          <w:rStyle w:val="VerbatimChar"/>
        </w:rPr>
        <w:t xml:space="preserve">multiprocessing.Queue</w:t>
      </w:r>
      <w:r>
        <w:t xml:space="preserve"> </w:t>
      </w:r>
      <w:r>
        <w:t xml:space="preserve">kasutab pickle serialiseerimist ja lukke. Kohandatud rõngaspuhver elimineerib need kulud: null-serialiseerimine (MessagePack eelserialiseeritud), lukuvaba toiming (üksik-tootja üksik-tarbija), null-koopia lugemised.</w:t>
      </w:r>
    </w:p>
    <w:bookmarkEnd w:id="100"/>
    <w:bookmarkStart w:id="101" w:name="sõnumi-vorming"/>
    <w:p>
      <w:pPr>
        <w:pStyle w:val="Heading3"/>
      </w:pPr>
      <w:r>
        <w:t xml:space="preserve">Sõnumi vorming</w:t>
      </w:r>
    </w:p>
    <w:p>
      <w:pPr>
        <w:pStyle w:val="BodyText"/>
      </w:pPr>
      <w:r>
        <w:t xml:space="preserve">Rõngaspuhvri sissekanne koosneb neljast järjestikusest väljast: esimesed 4 baiti kodeerivad võtme pikkuse, järgmised 4 baiti kodeerivad väärtuse pikkuse, seejärel järgneb muutuva pikkusega võtme baidijada ja lõpuks muutuva pikkusega väärtuse baidijada. See formaat võimaldab efektiivselt lugeda ja dekodeerida andmeid ilma eelnevalt struktuuri suurust teadmata.</w:t>
      </w:r>
    </w:p>
    <w:bookmarkEnd w:id="101"/>
    <w:bookmarkStart w:id="102" w:name="rõngaspuhvri-struktuur"/>
    <w:p>
      <w:pPr>
        <w:pStyle w:val="Heading3"/>
      </w:pPr>
      <w:r>
        <w:t xml:space="preserve">Rõngaspuhvri struktuur</w:t>
      </w:r>
    </w:p>
    <w:p>
      <w:pPr>
        <w:pStyle w:val="BodyText"/>
      </w:pPr>
      <w:r>
        <w:rPr>
          <w:b/>
          <w:bCs/>
        </w:rPr>
        <w:t xml:space="preserve">Andmepuhver</w:t>
      </w:r>
      <w:r>
        <w:t xml:space="preserve">: 4MB ringpuhver (2²² baiti), ümberkeerdumise jaoks bitioperatsioon</w:t>
      </w:r>
      <w:r>
        <w:t xml:space="preserve"> </w:t>
      </w:r>
      <w:r>
        <w:rPr>
          <w:rStyle w:val="VerbatimChar"/>
        </w:rPr>
        <w:t xml:space="preserve">&amp; mask</w:t>
      </w:r>
      <w:r>
        <w:t xml:space="preserve">.</w:t>
      </w:r>
    </w:p>
    <w:p>
      <w:pPr>
        <w:pStyle w:val="BodyText"/>
      </w:pPr>
      <w:r>
        <w:rPr>
          <w:b/>
          <w:bCs/>
        </w:rPr>
        <w:t xml:space="preserve">Indekspuhver</w:t>
      </w:r>
      <w:r>
        <w:t xml:space="preserve">: 24-baidine metaandmed (</w:t>
      </w:r>
      <w:r>
        <w:rPr>
          <w:rStyle w:val="VerbatimChar"/>
        </w:rPr>
        <w:t xml:space="preserve">r_from</w:t>
      </w:r>
      <w:r>
        <w:t xml:space="preserve">,</w:t>
      </w:r>
      <w:r>
        <w:t xml:space="preserve"> </w:t>
      </w:r>
      <w:r>
        <w:rPr>
          <w:rStyle w:val="VerbatimChar"/>
        </w:rPr>
        <w:t xml:space="preserve">w_end_marker</w:t>
      </w:r>
      <w:r>
        <w:t xml:space="preserve">,</w:t>
      </w:r>
      <w:r>
        <w:t xml:space="preserve"> </w:t>
      </w:r>
      <w:r>
        <w:rPr>
          <w:rStyle w:val="VerbatimChar"/>
        </w:rPr>
        <w:t xml:space="preserve">w_to</w:t>
      </w:r>
      <w:r>
        <w:t xml:space="preserve">) redundantse topeltkirjutusega aatomilisuse tagamiseks.</w:t>
      </w:r>
    </w:p>
    <w:bookmarkEnd w:id="102"/>
    <w:bookmarkStart w:id="103" w:name="jõudluse-analüüs"/>
    <w:p>
      <w:pPr>
        <w:pStyle w:val="Heading3"/>
      </w:pPr>
      <w:r>
        <w:t xml:space="preserve">Jõudluse analüüs</w:t>
      </w:r>
    </w:p>
    <w:p>
      <w:pPr>
        <w:pStyle w:val="BodyText"/>
        <w:keepNext w:val="1"/>
      </w:pPr>
      <w:r>
        <w:t xml:space="preserve">Jõudluse mõõtmiseks loodi võrdlev benchmark [5], mis testis kolme IPC mehhanismi: kohandatud lukuvaba rõngaspuhver, multiprocessing.Queue eelserialiseeritud baitidega ja multiprocessing.Queue pickle objektidega. Iga test saatis 100 000 kuni 10 miljonit TradeWindowAggregate sõnumit (MessagePack serializeeritud, ~150 baiti) producer ja consumer protsesside vahel.</w:t>
      </w:r>
    </w:p>
    <w:p>
      <w:pPr>
        <w:pStyle w:val="Caption"/>
        <w:keepNext w:val="1"/>
      </w:pPr>
      <w:r>
        <w:t xml:space="preserve">Tabel 4.3 Rõngaspuhvri jõudluse võrdlus standardse Queue’ga</w:t>
      </w:r>
    </w:p>
    <w:tbl>
      <w:tblPr>
        <w:tblStyle w:val="Table"/>
        <w:tblW w:type="pct" w:w="5000"/>
        <w:tblLayout w:type="fixed"/>
        <w:tblLook w:firstRow="1" w:lastRow="0" w:firstColumn="0" w:lastColumn="0" w:noHBand="0" w:noVBand="0" w:val="0020"/>
        <w:tblCaption w:val="Tabel 4.3 Rõngaspuhvri jõudluse võrdlus standardse Queue’g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440"/>
        <w:gridCol w:w="1440"/>
        <w:gridCol w:w="1680"/>
        <w:gridCol w:w="1920"/>
        <w:gridCol w:w="1440"/>
      </w:tblGrid>
      <w:tr>
        <w:trPr>
          <w:tblHeader w:val="on"/>
          <w:cantSplit w:val="1"/>
        </w:trPr>
        <w:tc>
          <w:tcPr/>
          <w:p>
            <w:pPr>
              <w:pStyle w:val="Tabelhead"/>
              <w:keepLines w:val="1"/>
              <w:keepNext w:val="1"/>
            </w:pPr>
            <w:r>
              <w:t xml:space="preserve">Sõnumite arv</w:t>
            </w:r>
          </w:p>
        </w:tc>
        <w:tc>
          <w:tcPr/>
          <w:p>
            <w:pPr>
              <w:pStyle w:val="Tabelhead"/>
              <w:keepLines w:val="1"/>
              <w:keepNext w:val="1"/>
            </w:pPr>
            <w:r>
              <w:t xml:space="preserve">Rõngaspuhver</w:t>
            </w:r>
          </w:p>
        </w:tc>
        <w:tc>
          <w:tcPr/>
          <w:p>
            <w:pPr>
              <w:pStyle w:val="Tabelhead"/>
              <w:keepLines w:val="1"/>
              <w:keepNext w:val="1"/>
            </w:pPr>
            <w:r>
              <w:t xml:space="preserve">Queue + baidid</w:t>
            </w:r>
          </w:p>
        </w:tc>
        <w:tc>
          <w:tcPr/>
          <w:p>
            <w:pPr>
              <w:pStyle w:val="Tabelhead"/>
              <w:keepLines w:val="1"/>
              <w:keepNext w:val="1"/>
            </w:pPr>
            <w:r>
              <w:t xml:space="preserve">Queue + objektid</w:t>
            </w:r>
          </w:p>
        </w:tc>
        <w:tc>
          <w:tcPr/>
          <w:p>
            <w:pPr>
              <w:pStyle w:val="Tabelhead"/>
              <w:keepLines w:val="1"/>
              <w:keepNext w:val="1"/>
            </w:pPr>
            <w:r>
              <w:t xml:space="preserve">Kiirenemine</w:t>
            </w:r>
          </w:p>
        </w:tc>
      </w:tr>
      <w:tr>
        <w:trPr>
          <w:cantSplit w:val="1"/>
        </w:trPr>
        <w:tc>
          <w:tcPr/>
          <w:p>
            <w:pPr>
              <w:pStyle w:val="Tabletext"/>
              <w:keepLines w:val="1"/>
              <w:keepNext w:val="1"/>
            </w:pPr>
            <w:r>
              <w:t xml:space="preserve">100 000</w:t>
            </w:r>
          </w:p>
        </w:tc>
        <w:tc>
          <w:tcPr/>
          <w:p>
            <w:pPr>
              <w:pStyle w:val="Tabletext"/>
              <w:keepLines w:val="1"/>
              <w:keepNext w:val="1"/>
            </w:pPr>
            <w:r>
              <w:t xml:space="preserve">2,15 μs/sõn</w:t>
            </w:r>
          </w:p>
        </w:tc>
        <w:tc>
          <w:tcPr/>
          <w:p>
            <w:pPr>
              <w:pStyle w:val="Tabletext"/>
              <w:keepLines w:val="1"/>
              <w:keepNext w:val="1"/>
            </w:pPr>
            <w:r>
              <w:t xml:space="preserve">6,39 μs/sõn</w:t>
            </w:r>
          </w:p>
        </w:tc>
        <w:tc>
          <w:tcPr/>
          <w:p>
            <w:pPr>
              <w:pStyle w:val="Tabletext"/>
              <w:keepLines w:val="1"/>
              <w:keepNext w:val="1"/>
            </w:pPr>
            <w:r>
              <w:t xml:space="preserve">8,90 μs/sõn</w:t>
            </w:r>
          </w:p>
        </w:tc>
        <w:tc>
          <w:tcPr/>
          <w:p>
            <w:pPr>
              <w:pStyle w:val="Tabletext"/>
              <w:keepLines w:val="1"/>
              <w:keepNext w:val="1"/>
            </w:pPr>
            <w:r>
              <w:t xml:space="preserve">3,0–4,1×</w:t>
            </w:r>
          </w:p>
        </w:tc>
      </w:tr>
      <w:tr>
        <w:trPr>
          <w:cantSplit w:val="1"/>
        </w:trPr>
        <w:tc>
          <w:tcPr/>
          <w:p>
            <w:pPr>
              <w:pStyle w:val="Tabletext"/>
              <w:keepLines w:val="1"/>
              <w:keepNext w:val="1"/>
            </w:pPr>
            <w:r>
              <w:t xml:space="preserve">1 000 000</w:t>
            </w:r>
          </w:p>
        </w:tc>
        <w:tc>
          <w:tcPr/>
          <w:p>
            <w:pPr>
              <w:pStyle w:val="Tabletext"/>
              <w:keepLines w:val="1"/>
              <w:keepNext w:val="1"/>
            </w:pPr>
            <w:r>
              <w:t xml:space="preserve">1,67 μs/sõn</w:t>
            </w:r>
          </w:p>
        </w:tc>
        <w:tc>
          <w:tcPr/>
          <w:p>
            <w:pPr>
              <w:pStyle w:val="Tabletext"/>
              <w:keepLines w:val="1"/>
              <w:keepNext w:val="1"/>
            </w:pPr>
            <w:r>
              <w:t xml:space="preserve">5,95 μs/sõn</w:t>
            </w:r>
          </w:p>
        </w:tc>
        <w:tc>
          <w:tcPr/>
          <w:p>
            <w:pPr>
              <w:pStyle w:val="Tabletext"/>
              <w:keepLines w:val="1"/>
              <w:keepNext w:val="1"/>
            </w:pPr>
            <w:r>
              <w:t xml:space="preserve">8,43 μs/sõn</w:t>
            </w:r>
          </w:p>
        </w:tc>
        <w:tc>
          <w:tcPr/>
          <w:p>
            <w:pPr>
              <w:pStyle w:val="Tabletext"/>
              <w:keepLines w:val="1"/>
              <w:keepNext w:val="1"/>
            </w:pPr>
            <w:r>
              <w:t xml:space="preserve">3,5–5,0×</w:t>
            </w:r>
          </w:p>
        </w:tc>
      </w:tr>
      <w:tr>
        <w:trPr>
          <w:cantSplit w:val="1"/>
        </w:trPr>
        <w:tc>
          <w:tcPr/>
          <w:p>
            <w:pPr>
              <w:pStyle w:val="Tabletext"/>
              <w:keepLines w:val="1"/>
              <w:keepNext w:val="1"/>
            </w:pPr>
            <w:r>
              <w:t xml:space="preserve">10 000 000</w:t>
            </w:r>
          </w:p>
        </w:tc>
        <w:tc>
          <w:tcPr/>
          <w:p>
            <w:pPr>
              <w:pStyle w:val="Tabletext"/>
              <w:keepLines w:val="1"/>
              <w:keepNext w:val="1"/>
            </w:pPr>
            <w:r>
              <w:t xml:space="preserve">1,64 μs/sõn</w:t>
            </w:r>
          </w:p>
        </w:tc>
        <w:tc>
          <w:tcPr/>
          <w:p>
            <w:pPr>
              <w:pStyle w:val="Tabletext"/>
              <w:keepLines w:val="1"/>
              <w:keepNext w:val="1"/>
            </w:pPr>
            <w:r>
              <w:t xml:space="preserve">5,96 μs/sõn</w:t>
            </w:r>
          </w:p>
        </w:tc>
        <w:tc>
          <w:tcPr/>
          <w:p>
            <w:pPr>
              <w:pStyle w:val="Tabletext"/>
              <w:keepLines w:val="1"/>
              <w:keepNext w:val="1"/>
            </w:pPr>
            <w:r>
              <w:t xml:space="preserve">8,71 μs/sõn</w:t>
            </w:r>
          </w:p>
        </w:tc>
        <w:tc>
          <w:tcPr/>
          <w:p>
            <w:pPr>
              <w:pStyle w:val="Tabletext"/>
              <w:keepLines w:val="1"/>
              <w:keepNext w:val="1"/>
            </w:pPr>
            <w:r>
              <w:rPr>
                <w:b/>
                <w:bCs/>
              </w:rPr>
              <w:t xml:space="preserve">3,6–5,3×</w:t>
            </w:r>
          </w:p>
        </w:tc>
      </w:tr>
    </w:tbl>
    <w:p>
      <w:pPr>
        <w:pStyle w:val="BodyText"/>
      </w:pPr>
      <w:r>
        <w:t xml:space="preserve"> </w:t>
      </w:r>
    </w:p>
    <w:p>
      <w:pPr>
        <w:pStyle w:val="BodyText"/>
      </w:pPr>
      <w:r>
        <w:t xml:space="preserve">Lukuvaba rõngaspuhver saavutab</w:t>
      </w:r>
      <w:r>
        <w:t xml:space="preserve"> </w:t>
      </w:r>
      <w:r>
        <w:rPr>
          <w:b/>
          <w:bCs/>
        </w:rPr>
        <w:t xml:space="preserve">3,6× kiirema jõudluse</w:t>
      </w:r>
      <w:r>
        <w:t xml:space="preserve"> </w:t>
      </w:r>
      <w:r>
        <w:t xml:space="preserve">kui Queue eelserialiseeritud baitidega ja</w:t>
      </w:r>
      <w:r>
        <w:t xml:space="preserve"> </w:t>
      </w:r>
      <w:r>
        <w:rPr>
          <w:b/>
          <w:bCs/>
        </w:rPr>
        <w:t xml:space="preserve">5,3× kiirema</w:t>
      </w:r>
      <w:r>
        <w:t xml:space="preserve"> </w:t>
      </w:r>
      <w:r>
        <w:t xml:space="preserve">kui Queue pickle objektidega.</w:t>
      </w:r>
    </w:p>
    <w:bookmarkEnd w:id="103"/>
    <w:bookmarkEnd w:id="104"/>
    <w:bookmarkStart w:id="105" w:name="integratsioon-ml-konveieriga"/>
    <w:p>
      <w:pPr>
        <w:pStyle w:val="Heading2"/>
      </w:pPr>
      <w:r>
        <w:t xml:space="preserve">Integratsioon ML konveieriga</w:t>
      </w:r>
    </w:p>
    <w:p>
      <w:pPr>
        <w:pStyle w:val="BodyText"/>
      </w:pPr>
      <w:r>
        <w:rPr>
          <w:b/>
          <w:bCs/>
        </w:rPr>
        <w:t xml:space="preserve">Tunnuste püsivus</w:t>
      </w:r>
      <w:r>
        <w:t xml:space="preserve">: Andmed on järjestatud RocksDB’s binaar komposiit-võtmete (</w:t>
      </w:r>
      <w:r>
        <w:rPr>
          <w:rStyle w:val="VerbatimChar"/>
        </w:rPr>
        <w:t xml:space="preserve">window_end_ms, symbol, kind, window_size_ms, platform</w:t>
      </w:r>
      <w:r>
        <w:t xml:space="preserve">) alusel.</w:t>
      </w:r>
    </w:p>
    <w:p>
      <w:pPr>
        <w:pStyle w:val="BodyText"/>
      </w:pPr>
      <w:r>
        <w:rPr>
          <w:b/>
          <w:bCs/>
        </w:rPr>
        <w:t xml:space="preserve">Parquet eksport</w:t>
      </w:r>
      <w:r>
        <w:t xml:space="preserve">: Kuupäevapõhine partitsioneerimine Polars paralleelseks laadimiseks.</w:t>
      </w:r>
    </w:p>
    <w:p>
      <w:pPr>
        <w:pStyle w:val="BodyText"/>
      </w:pPr>
      <w:r>
        <w:rPr>
          <w:b/>
          <w:bCs/>
        </w:rPr>
        <w:t xml:space="preserve">Tuletatud tunnused</w:t>
      </w:r>
      <w:r>
        <w:t xml:space="preserve">: VWAP (</w:t>
      </w:r>
      <w:r>
        <w:rPr>
          <w:rStyle w:val="VerbatimChar"/>
        </w:rPr>
        <w:t xml:space="preserve">sum_pv / sum_vol</w:t>
      </w:r>
      <w:r>
        <w:t xml:space="preserve">), volatiilsus (</w:t>
      </w:r>
      <w:r>
        <w:rPr>
          <w:rStyle w:val="VerbatimChar"/>
        </w:rPr>
        <w:t xml:space="preserve">sqrt(sum_logret2 / count)</w:t>
      </w:r>
      <w:r>
        <w:t xml:space="preserve">), tasakaalustamatus (</w:t>
      </w:r>
      <w:r>
        <w:rPr>
          <w:rStyle w:val="VerbatimChar"/>
        </w:rPr>
        <w:t xml:space="preserve">(buy_vol - sell_vol) / sum_vol</w:t>
      </w:r>
      <w:r>
        <w:t xml:space="preserve">).</w:t>
      </w:r>
    </w:p>
    <w:bookmarkEnd w:id="105"/>
    <w:bookmarkStart w:id="106" w:name="kokkuvõte-1"/>
    <w:p>
      <w:pPr>
        <w:pStyle w:val="Heading2"/>
      </w:pPr>
      <w:r>
        <w:t xml:space="preserve">Kokkuvõte</w:t>
      </w:r>
    </w:p>
    <w:p>
      <w:pPr>
        <w:pStyle w:val="BodyText"/>
      </w:pPr>
      <w:r>
        <w:t xml:space="preserve">Süsteem demonstreerib võtme-arhitektuurimustreid:</w:t>
      </w:r>
    </w:p>
    <w:p>
      <w:pPr>
        <w:pStyle w:val="ListNumbered"/>
      </w:pPr>
      <w:r>
        <w:rPr>
          <w:b/>
          <w:bCs/>
        </w:rPr>
        <w:t xml:space="preserve">Massiivide-struktuuride paigutused</w:t>
      </w:r>
      <w:r>
        <w:t xml:space="preserve"> </w:t>
      </w:r>
      <w:r>
        <w:t xml:space="preserve">võimaldavad vektoriseeritud arvutust NumPy tuumade kaudu</w:t>
      </w:r>
    </w:p>
    <w:p>
      <w:pPr>
        <w:pStyle w:val="ListNumbered"/>
      </w:pPr>
      <w:r>
        <w:rPr>
          <w:b/>
          <w:bCs/>
        </w:rPr>
        <w:t xml:space="preserve">Mitmeprotsessiline paralleliseerimine</w:t>
      </w:r>
      <w:r>
        <w:t xml:space="preserve"> </w:t>
      </w:r>
      <w:r>
        <w:t xml:space="preserve">kasutab CPU tuumad GIL konfliktideta</w:t>
      </w:r>
    </w:p>
    <w:p>
      <w:pPr>
        <w:pStyle w:val="ListNumbered"/>
      </w:pPr>
      <w:r>
        <w:rPr>
          <w:b/>
          <w:bCs/>
        </w:rPr>
        <w:t xml:space="preserve">Lukuvaba IPC</w:t>
      </w:r>
      <w:r>
        <w:t xml:space="preserve"> </w:t>
      </w:r>
      <w:r>
        <w:t xml:space="preserve">saavutab 3,6–5,3× kiirema sõnumiedastuse</w:t>
      </w:r>
    </w:p>
    <w:p>
      <w:pPr>
        <w:pStyle w:val="ListNumbered"/>
      </w:pPr>
      <w:r>
        <w:rPr>
          <w:b/>
          <w:bCs/>
        </w:rPr>
        <w:t xml:space="preserve">Ajakaalutud akumulatsioon</w:t>
      </w:r>
      <w:r>
        <w:t xml:space="preserve"> </w:t>
      </w:r>
      <w:r>
        <w:t xml:space="preserve">arvestab oleku püsivust pidevates orderiraamatu voogudes</w:t>
      </w:r>
    </w:p>
    <w:p>
      <w:pPr>
        <w:pStyle w:val="ListNumbered"/>
      </w:pPr>
      <w:r>
        <w:rPr>
          <w:b/>
          <w:bCs/>
        </w:rPr>
        <w:t xml:space="preserve">Kontrollpunktipõhine taastamine</w:t>
      </w:r>
      <w:r>
        <w:t xml:space="preserve"> </w:t>
      </w:r>
      <w:r>
        <w:t xml:space="preserve">võimaldab deterministlikku taasesitust</w:t>
      </w:r>
    </w:p>
    <w:p>
      <w:pPr>
        <w:pStyle w:val="BodyText"/>
      </w:pPr>
      <w:r>
        <w:t xml:space="preserve">Pythoni numbrilise ökosüsteemi kombinatsioon hoolikalt arhitekteeritud paralleliseerimisega demonstreerib, et interpreteeritud keeled saavutavad andmeparalleelsete töökoormuste puhul natiivsete rakendustega võrreldava jõudluse.</w:t>
      </w:r>
    </w:p>
    <w:bookmarkEnd w:id="106"/>
    <w:bookmarkEnd w:id="107"/>
    <w:bookmarkStart w:id="126" w:name="X98010ea1215d195c847df2ab10e4dfc57e9eae4"/>
    <w:p>
      <w:pPr>
        <w:pStyle w:val="Heading1"/>
      </w:pPr>
      <w:r>
        <w:t xml:space="preserve">Masinõppe töövoog: ahne tunnuste valik hinnamuutuste ennustamiseks</w:t>
      </w:r>
    </w:p>
    <w:p>
      <w:pPr>
        <w:pStyle w:val="BodyText"/>
      </w:pPr>
      <w:r>
        <w:t xml:space="preserve">Käesolev peatükk esitab masinõppe töövoo krüptovaluutade hinnamuutuste ennustamiseks mitme ajahorisondi ja läve lõikes. Süsteem lahendab finantsaegridade ennustamise väljakutseid ahne iteratiivse tunnuste valiku metoodika abil. Töövoog rakendab ajalist joondamist k-nihke liitmiste kaudu, Fibonacci-viitega transformatsioonistrateegiaid momentumimustrite tabamiseks ning kronoloogilist treening-testi jaotust tulevikku vaatamise nihke vältimiseks.</w:t>
      </w:r>
    </w:p>
    <w:bookmarkStart w:id="108" w:name="disainifilosoofia-ja-ennustussihtmärgid"/>
    <w:p>
      <w:pPr>
        <w:pStyle w:val="Heading2"/>
      </w:pPr>
      <w:r>
        <w:t xml:space="preserve">Disainifilosoofia ja ennustussihtmärgid</w:t>
      </w:r>
    </w:p>
    <w:p>
      <w:pPr>
        <w:pStyle w:val="BodyText"/>
      </w:pPr>
      <w:r>
        <w:t xml:space="preserve">Töövoog järgib põhimõtteid:</w:t>
      </w:r>
    </w:p>
    <w:p>
      <w:pPr>
        <w:pStyle w:val="ListNumbered"/>
      </w:pPr>
      <w:r>
        <w:rPr>
          <w:b/>
          <w:bCs/>
        </w:rPr>
        <w:t xml:space="preserve">Ajaline terviklikkus</w:t>
      </w:r>
      <w:r>
        <w:t xml:space="preserve">: Range kronoloogiline järjestus kõigis operatsioonides</w:t>
      </w:r>
    </w:p>
    <w:p>
      <w:pPr>
        <w:pStyle w:val="ListNumbered"/>
      </w:pPr>
      <w:r>
        <w:rPr>
          <w:b/>
          <w:bCs/>
        </w:rPr>
        <w:t xml:space="preserve">Tunnuste säästlikkus</w:t>
      </w:r>
      <w:r>
        <w:t xml:space="preserve">: Ahne iteratiivne valik minimaalsete tunnuste kogumite tuvastamiseks</w:t>
      </w:r>
    </w:p>
    <w:p>
      <w:pPr>
        <w:pStyle w:val="ListNumbered"/>
      </w:pPr>
      <w:r>
        <w:rPr>
          <w:b/>
          <w:bCs/>
        </w:rPr>
        <w:t xml:space="preserve">Transformatsiooni mitmekesisus</w:t>
      </w:r>
      <w:r>
        <w:t xml:space="preserve">: Mitme teisendusstrateegia süstemaatiline hindamine</w:t>
      </w:r>
    </w:p>
    <w:p>
      <w:pPr>
        <w:pStyle w:val="ListNumbered"/>
      </w:pPr>
      <w:r>
        <w:rPr>
          <w:b/>
          <w:bCs/>
        </w:rPr>
        <w:t xml:space="preserve">Hindamise realistlikkus</w:t>
      </w:r>
      <w:r>
        <w:t xml:space="preserve">: Kohandatud skoorimismõõdikud tasakaalustamata klassifikatsiooni jaoks</w:t>
      </w:r>
    </w:p>
    <w:p>
      <w:pPr>
        <w:pStyle w:val="BodyText"/>
      </w:pPr>
      <w:r>
        <w:t xml:space="preserve">Süsteem genereerib binaarse klassifitseerimise sihtmärgid:</w:t>
      </w:r>
      <w:r>
        <w:t xml:space="preserve"> </w:t>
      </w:r>
      <w:r>
        <w:rPr>
          <w:b/>
          <w:bCs/>
        </w:rPr>
        <w:t xml:space="preserve">kõrge-üles/alla</w:t>
      </w:r>
      <w:r>
        <w:t xml:space="preserve"> </w:t>
      </w:r>
      <w:r>
        <w:t xml:space="preserve">ja</w:t>
      </w:r>
      <w:r>
        <w:t xml:space="preserve"> </w:t>
      </w:r>
      <w:r>
        <w:rPr>
          <w:b/>
          <w:bCs/>
        </w:rPr>
        <w:t xml:space="preserve">madal-üles/alla</w:t>
      </w:r>
      <w:r>
        <w:t xml:space="preserve"> </w:t>
      </w:r>
      <w:r>
        <w:t xml:space="preserve">sihtmärgid lävevahemikus 0,02%–0,29%, kodeerides kas hinnaläved ületatakse järgnevate akende jooksul. Lävevahemikud on tuletatud iga sümboli ajalooliste hinnamuutuste kvartiilide jaotusest eraldi, tagades, et klassid on piisavalt tasakaalustatud mudeli treenimiseks. Erinevatel valuutapaaridel on erinevad läved vastavalt nende volatiilsusele. Antud lävevahemik 0,02%–0,29% on konkreetselt Kraken ETH_USDT paari jaoks perioodil oktoober-november 2024.</w:t>
      </w:r>
    </w:p>
    <w:bookmarkEnd w:id="108"/>
    <w:bookmarkStart w:id="115" w:name="andmete-töövoog"/>
    <w:p>
      <w:pPr>
        <w:pStyle w:val="Heading2"/>
      </w:pPr>
      <w:r>
        <w:t xml:space="preserve">Andmete töövoog</w:t>
      </w:r>
    </w:p>
    <w:bookmarkStart w:id="112" w:name="parquet-salvestus-ja-ajaline-joondamine"/>
    <w:p>
      <w:pPr>
        <w:pStyle w:val="Heading3"/>
      </w:pPr>
      <w:r>
        <w:t xml:space="preserve">Parquet-salvestus ja ajaline joondamine</w:t>
      </w:r>
    </w:p>
    <w:p>
      <w:pPr>
        <w:pStyle w:val="BodyText"/>
      </w:pPr>
      <w:r>
        <w:t xml:space="preserve">Tunnused on partitsioonitud kuupäeva järgi. K-nihke liitmised loovad veerud</w:t>
      </w:r>
      <w:r>
        <w:t xml:space="preserve"> </w:t>
      </w:r>
      <w:r>
        <w:rPr>
          <w:rStyle w:val="VerbatimChar"/>
        </w:rPr>
        <w:t xml:space="preserve">{k}_trade_features</w:t>
      </w:r>
      <w:r>
        <w:t xml:space="preserve"> </w:t>
      </w:r>
      <w:r>
        <w:t xml:space="preserve">tagasivaateks (-n kuni -1) ja ettevaateks (sihtmärgi konstrueerimiseks):</w:t>
      </w:r>
    </w:p>
    <w:p>
      <w:pPr>
        <w:pStyle w:val="BodyText"/>
        <w:jc w:val="center"/>
      </w:pPr>
      <w:r>
        <w:drawing>
          <wp:inline>
            <wp:extent cx="4394200" cy="3530600"/>
            <wp:effectExtent b="0" l="0" r="0" t="0"/>
            <wp:docPr descr="" title="" id="110" name="Picture"/>
            <a:graphic>
              <a:graphicData uri="http://schemas.openxmlformats.org/drawingml/2006/picture">
                <pic:pic>
                  <pic:nvPicPr>
                    <pic:cNvPr descr="docs/thesis_ee_condensed/images/mermaid_9e84b6648022.png" id="111" name="Picture"/>
                    <pic:cNvPicPr>
                      <a:picLocks noChangeArrowheads="1" noChangeAspect="1"/>
                    </pic:cNvPicPr>
                  </pic:nvPicPr>
                  <pic:blipFill>
                    <a:blip r:embed="rId109"/>
                    <a:stretch>
                      <a:fillRect/>
                    </a:stretch>
                  </pic:blipFill>
                  <pic:spPr bwMode="auto">
                    <a:xfrm>
                      <a:off x="0" y="0"/>
                      <a:ext cx="4394200" cy="3530600"/>
                    </a:xfrm>
                    <a:prstGeom prst="rect">
                      <a:avLst/>
                    </a:prstGeom>
                    <a:noFill/>
                    <a:ln w="9525">
                      <a:noFill/>
                      <a:headEnd/>
                      <a:tailEnd/>
                    </a:ln>
                  </pic:spPr>
                </pic:pic>
              </a:graphicData>
            </a:graphic>
          </wp:inline>
        </w:drawing>
      </w:r>
    </w:p>
    <w:p>
      <w:pPr>
        <w:pStyle w:val="Caption"/>
      </w:pPr>
      <w:r>
        <w:t xml:space="preserve">Joonis 5.1 K-nihke liitmiste visualiseerimine</w:t>
      </w:r>
    </w:p>
    <w:bookmarkEnd w:id="112"/>
    <w:bookmarkStart w:id="113" w:name="puuduvate-väärtuste-käsitlemine"/>
    <w:p>
      <w:pPr>
        <w:pStyle w:val="Heading3"/>
        <w:keepNext w:val="1"/>
      </w:pPr>
      <w:r>
        <w:t xml:space="preserve">Puuduvate väärtuste käsitlemine</w:t>
      </w:r>
    </w:p>
    <w:p>
      <w:pPr>
        <w:pStyle w:val="Caption"/>
        <w:keepNext w:val="1"/>
      </w:pPr>
      <w:r>
        <w:t xml:space="preserve">Tabel 5.1 Puuduvate väärtuste käsitlemise strateegiad</w:t>
      </w:r>
    </w:p>
    <w:tbl>
      <w:tblPr>
        <w:tblStyle w:val="Table"/>
        <w:tblW w:type="auto" w:w="0"/>
        <w:tblLook w:firstRow="1" w:lastRow="0" w:firstColumn="0" w:lastColumn="0" w:noHBand="0" w:noVBand="0" w:val="0020"/>
        <w:tblCaption w:val="Tabel 5.1 Puuduvate väärtuste käsitlemise strateegia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cantSplit w:val="1"/>
        </w:trPr>
        <w:tc>
          <w:tcPr/>
          <w:p>
            <w:pPr>
              <w:pStyle w:val="Tabelhead"/>
              <w:keepLines w:val="1"/>
              <w:keepNext w:val="1"/>
            </w:pPr>
            <w:r>
              <w:t xml:space="preserve">Tunnuse tüüp</w:t>
            </w:r>
          </w:p>
        </w:tc>
        <w:tc>
          <w:tcPr/>
          <w:p>
            <w:pPr>
              <w:pStyle w:val="Tabelhead"/>
              <w:keepLines w:val="1"/>
              <w:keepNext w:val="1"/>
            </w:pPr>
            <w:r>
              <w:t xml:space="preserve">Vaikeväärtus</w:t>
            </w:r>
          </w:p>
        </w:tc>
        <w:tc>
          <w:tcPr/>
          <w:p>
            <w:pPr>
              <w:pStyle w:val="Tabelhead"/>
              <w:keepLines w:val="1"/>
              <w:keepNext w:val="1"/>
            </w:pPr>
            <w:r>
              <w:t xml:space="preserve">Põhjendus</w:t>
            </w:r>
          </w:p>
        </w:tc>
      </w:tr>
      <w:tr>
        <w:trPr>
          <w:cantSplit w:val="1"/>
        </w:trPr>
        <w:tc>
          <w:tcPr/>
          <w:p>
            <w:pPr>
              <w:pStyle w:val="Tabletext"/>
              <w:keepLines w:val="1"/>
              <w:keepNext w:val="1"/>
            </w:pPr>
            <w:r>
              <w:t xml:space="preserve">Loendused</w:t>
            </w:r>
          </w:p>
        </w:tc>
        <w:tc>
          <w:tcPr/>
          <w:p>
            <w:pPr>
              <w:pStyle w:val="Tabletext"/>
              <w:keepLines w:val="1"/>
              <w:keepNext w:val="1"/>
            </w:pPr>
            <w:r>
              <w:t xml:space="preserve">0</w:t>
            </w:r>
          </w:p>
        </w:tc>
        <w:tc>
          <w:tcPr/>
          <w:p>
            <w:pPr>
              <w:pStyle w:val="Tabletext"/>
              <w:keepLines w:val="1"/>
              <w:keepNext w:val="1"/>
            </w:pPr>
            <w:r>
              <w:t xml:space="preserve">Tegevus puudub</w:t>
            </w:r>
          </w:p>
        </w:tc>
      </w:tr>
      <w:tr>
        <w:trPr>
          <w:cantSplit w:val="1"/>
        </w:trPr>
        <w:tc>
          <w:tcPr/>
          <w:p>
            <w:pPr>
              <w:pStyle w:val="Tabletext"/>
              <w:keepLines w:val="1"/>
              <w:keepNext w:val="1"/>
            </w:pPr>
            <w:r>
              <w:t xml:space="preserve">Mahud</w:t>
            </w:r>
          </w:p>
        </w:tc>
        <w:tc>
          <w:tcPr/>
          <w:p>
            <w:pPr>
              <w:pStyle w:val="Tabletext"/>
              <w:keepLines w:val="1"/>
              <w:keepNext w:val="1"/>
            </w:pPr>
            <w:r>
              <w:t xml:space="preserve">0.0</w:t>
            </w:r>
          </w:p>
        </w:tc>
        <w:tc>
          <w:tcPr/>
          <w:p>
            <w:pPr>
              <w:pStyle w:val="Tabletext"/>
              <w:keepLines w:val="1"/>
              <w:keepNext w:val="1"/>
            </w:pPr>
            <w:r>
              <w:t xml:space="preserve">Kaubeldud maht puudub</w:t>
            </w:r>
          </w:p>
        </w:tc>
      </w:tr>
      <w:tr>
        <w:trPr>
          <w:cantSplit w:val="1"/>
        </w:trPr>
        <w:tc>
          <w:tcPr/>
          <w:p>
            <w:pPr>
              <w:pStyle w:val="Tabletext"/>
              <w:keepLines w:val="1"/>
              <w:keepNext w:val="1"/>
            </w:pPr>
            <w:r>
              <w:t xml:space="preserve">Hinnad</w:t>
            </w:r>
          </w:p>
        </w:tc>
        <w:tc>
          <w:tcPr/>
          <w:p>
            <w:pPr>
              <w:pStyle w:val="Tabletext"/>
              <w:keepLines w:val="1"/>
              <w:keepNext w:val="1"/>
            </w:pPr>
            <w:r>
              <w:t xml:space="preserve">Edasitäitmine</w:t>
            </w:r>
          </w:p>
        </w:tc>
        <w:tc>
          <w:tcPr/>
          <w:p>
            <w:pPr>
              <w:pStyle w:val="Tabletext"/>
              <w:keepLines w:val="1"/>
              <w:keepNext w:val="1"/>
            </w:pPr>
            <w:r>
              <w:t xml:space="preserve">Viimane teadaolev hind</w:t>
            </w:r>
          </w:p>
        </w:tc>
      </w:tr>
      <w:tr>
        <w:trPr>
          <w:cantSplit w:val="1"/>
        </w:trPr>
        <w:tc>
          <w:tcPr/>
          <w:p>
            <w:pPr>
              <w:pStyle w:val="Tabletext"/>
              <w:keepLines w:val="1"/>
              <w:keepNext w:val="1"/>
            </w:pPr>
            <w:r>
              <w:t xml:space="preserve">Volatiilsusmõõdikud</w:t>
            </w:r>
          </w:p>
        </w:tc>
        <w:tc>
          <w:tcPr/>
          <w:p>
            <w:pPr>
              <w:pStyle w:val="Tabletext"/>
              <w:keepLines w:val="1"/>
              <w:keepNext w:val="1"/>
            </w:pPr>
            <w:r>
              <w:t xml:space="preserve">0.0</w:t>
            </w:r>
          </w:p>
        </w:tc>
        <w:tc>
          <w:tcPr/>
          <w:p>
            <w:pPr>
              <w:pStyle w:val="Tabletext"/>
              <w:keepLines w:val="1"/>
              <w:keepNext w:val="1"/>
            </w:pPr>
            <w:r>
              <w:t xml:space="preserve">Varieeruvust ei täheldatud</w:t>
            </w:r>
          </w:p>
        </w:tc>
      </w:tr>
    </w:tbl>
    <w:p>
      <w:pPr>
        <w:pStyle w:val="BodyText"/>
      </w:pPr>
      <w:r>
        <w:t xml:space="preserve"> </w:t>
      </w:r>
    </w:p>
    <w:bookmarkEnd w:id="113"/>
    <w:bookmarkStart w:id="114" w:name="tunnuste-grupeerimine"/>
    <w:p>
      <w:pPr>
        <w:pStyle w:val="Heading3"/>
        <w:keepNext w:val="1"/>
      </w:pPr>
      <w:r>
        <w:t xml:space="preserve">Tunnuste grupeerimine</w:t>
      </w:r>
    </w:p>
    <w:p>
      <w:pPr>
        <w:pStyle w:val="Caption"/>
        <w:keepNext w:val="1"/>
      </w:pPr>
      <w:r>
        <w:t xml:space="preserve">Tabel 5.2 Tunnuste grupeerimise näited</w:t>
      </w:r>
    </w:p>
    <w:tbl>
      <w:tblPr>
        <w:tblStyle w:val="Table"/>
        <w:tblW w:type="auto" w:w="0"/>
        <w:tblLook w:firstRow="1" w:lastRow="0" w:firstColumn="0" w:lastColumn="0" w:noHBand="0" w:noVBand="0" w:val="0020"/>
        <w:tblCaption w:val="Tabel 5.2 Tunnuste grupeerimise näit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cantSplit w:val="1"/>
        </w:trPr>
        <w:tc>
          <w:tcPr/>
          <w:p>
            <w:pPr>
              <w:pStyle w:val="Tabelhead"/>
              <w:keepLines w:val="1"/>
              <w:keepNext w:val="1"/>
            </w:pPr>
            <w:r>
              <w:t xml:space="preserve">Grupp</w:t>
            </w:r>
          </w:p>
        </w:tc>
        <w:tc>
          <w:tcPr/>
          <w:p>
            <w:pPr>
              <w:pStyle w:val="Tabelhead"/>
              <w:keepLines w:val="1"/>
              <w:keepNext w:val="1"/>
            </w:pPr>
            <w:r>
              <w:t xml:space="preserve">Näidistunnused</w:t>
            </w:r>
          </w:p>
        </w:tc>
      </w:tr>
      <w:tr>
        <w:trPr>
          <w:cantSplit w:val="1"/>
        </w:trPr>
        <w:tc>
          <w:tcPr/>
          <w:p>
            <w:pPr>
              <w:pStyle w:val="Tabletext"/>
              <w:keepLines w:val="1"/>
              <w:keepNext w:val="1"/>
            </w:pPr>
            <w:r>
              <w:rPr>
                <w:rStyle w:val="VerbatimChar"/>
              </w:rPr>
              <w:t xml:space="preserve">sum_vol</w:t>
            </w:r>
          </w:p>
        </w:tc>
        <w:tc>
          <w:tcPr/>
          <w:p>
            <w:pPr>
              <w:pStyle w:val="Tabletext"/>
              <w:keepLines w:val="1"/>
              <w:keepNext w:val="1"/>
            </w:pPr>
            <w:r>
              <w:rPr>
                <w:rStyle w:val="VerbatimChar"/>
              </w:rPr>
              <w:t xml:space="preserve">-5_trade_sum_vol</w:t>
            </w:r>
            <w:r>
              <w:t xml:space="preserve">, …,</w:t>
            </w:r>
            <w:r>
              <w:t xml:space="preserve"> </w:t>
            </w:r>
            <w:r>
              <w:rPr>
                <w:rStyle w:val="VerbatimChar"/>
              </w:rPr>
              <w:t xml:space="preserve">-1_trade_sum_vol</w:t>
            </w:r>
          </w:p>
        </w:tc>
      </w:tr>
      <w:tr>
        <w:trPr>
          <w:cantSplit w:val="1"/>
        </w:trPr>
        <w:tc>
          <w:tcPr/>
          <w:p>
            <w:pPr>
              <w:pStyle w:val="Tabletext"/>
              <w:keepLines w:val="1"/>
              <w:keepNext w:val="1"/>
            </w:pPr>
            <w:r>
              <w:rPr>
                <w:rStyle w:val="VerbatimChar"/>
              </w:rPr>
              <w:t xml:space="preserve">sw_mid</w:t>
            </w:r>
          </w:p>
        </w:tc>
        <w:tc>
          <w:tcPr/>
          <w:p>
            <w:pPr>
              <w:pStyle w:val="Tabletext"/>
              <w:keepLines w:val="1"/>
              <w:keepNext w:val="1"/>
            </w:pPr>
            <w:r>
              <w:rPr>
                <w:rStyle w:val="VerbatimChar"/>
              </w:rPr>
              <w:t xml:space="preserve">-5_order_sw_mid</w:t>
            </w:r>
            <w:r>
              <w:t xml:space="preserve">, …,</w:t>
            </w:r>
            <w:r>
              <w:t xml:space="preserve"> </w:t>
            </w:r>
            <w:r>
              <w:rPr>
                <w:rStyle w:val="VerbatimChar"/>
              </w:rPr>
              <w:t xml:space="preserve">-1_order_sw_mid</w:t>
            </w:r>
          </w:p>
        </w:tc>
      </w:tr>
      <w:tr>
        <w:trPr>
          <w:cantSplit w:val="1"/>
        </w:trPr>
        <w:tc>
          <w:tcPr/>
          <w:p>
            <w:pPr>
              <w:pStyle w:val="Tabletext"/>
              <w:keepLines w:val="1"/>
              <w:keepNext w:val="1"/>
            </w:pPr>
            <w:r>
              <w:rPr>
                <w:rStyle w:val="VerbatimChar"/>
              </w:rPr>
              <w:t xml:space="preserve">sw_imb</w:t>
            </w:r>
          </w:p>
        </w:tc>
        <w:tc>
          <w:tcPr/>
          <w:p>
            <w:pPr>
              <w:pStyle w:val="Tabletext"/>
              <w:keepLines w:val="1"/>
              <w:keepNext w:val="1"/>
            </w:pPr>
            <w:r>
              <w:rPr>
                <w:rStyle w:val="VerbatimChar"/>
              </w:rPr>
              <w:t xml:space="preserve">-5_order_sw_imb</w:t>
            </w:r>
            <w:r>
              <w:t xml:space="preserve">, …,</w:t>
            </w:r>
            <w:r>
              <w:t xml:space="preserve"> </w:t>
            </w:r>
            <w:r>
              <w:rPr>
                <w:rStyle w:val="VerbatimChar"/>
              </w:rPr>
              <w:t xml:space="preserve">-1_order_sw_imb</w:t>
            </w:r>
          </w:p>
        </w:tc>
      </w:tr>
    </w:tbl>
    <w:p>
      <w:pPr>
        <w:pStyle w:val="BodyText"/>
      </w:pPr>
      <w:r>
        <w:t xml:space="preserve"> </w:t>
      </w:r>
    </w:p>
    <w:p>
      <w:pPr>
        <w:pStyle w:val="BodyText"/>
      </w:pPr>
      <w:r>
        <w:t xml:space="preserve">Grupeerimine võimaldab tunnuste valikul opereerida semantiliste üksuste peal.</w:t>
      </w:r>
    </w:p>
    <w:bookmarkEnd w:id="114"/>
    <w:bookmarkEnd w:id="115"/>
    <w:bookmarkStart w:id="116" w:name="ahne-iteratiivne-tunnuste-algoritm"/>
    <w:p>
      <w:pPr>
        <w:pStyle w:val="Heading2"/>
      </w:pPr>
      <w:r>
        <w:t xml:space="preserve">Ahne iteratiivne tunnuste algoritm</w:t>
      </w:r>
    </w:p>
    <w:p>
      <w:pPr>
        <w:pStyle w:val="BodyText"/>
      </w:pPr>
      <w:r>
        <w:t xml:space="preserve">Tunnuste valiku keskne väljakutse on otsinguruumi eksponentsiaalne kasv: F tunnuse hulgast d tunnuse valimiseks on binoomkordaja C(F,d) kombinatsiooni. F=50 ja d=7 korral tähendab see ~99 miljoni kombinatsiooni hindamist, mis on arvutuslikult ebareaalne. Ahne iteratiivne lähenemine lahendab selle süstemaatilise kärpimise kaudu, säilitades ainult kõige paljutõotavamad kandidaadid igal sammul.</w:t>
      </w:r>
    </w:p>
    <w:p>
      <w:pPr>
        <w:pStyle w:val="BodyText"/>
      </w:pPr>
      <w:r>
        <w:t xml:space="preserve">Algoritm toimib järgmiselt:</w:t>
      </w:r>
    </w:p>
    <w:p>
      <w:pPr>
        <w:pStyle w:val="ListNumbered"/>
      </w:pPr>
      <w:r>
        <w:rPr>
          <w:b/>
          <w:bCs/>
        </w:rPr>
        <w:t xml:space="preserve">Hinda kõiki tunnuste gruppe individuaalselt</w:t>
      </w:r>
      <w:r>
        <w:t xml:space="preserve"> </w:t>
      </w:r>
      <w:r>
        <w:t xml:space="preserve">- alustades dimensioonist 1, hinnatakse iga tunnuste gruppi (nt</w:t>
      </w:r>
      <w:r>
        <w:t xml:space="preserve"> </w:t>
      </w:r>
      <w:r>
        <w:rPr>
          <w:rStyle w:val="VerbatimChar"/>
        </w:rPr>
        <w:t xml:space="preserve">sum_vol</w:t>
      </w:r>
      <w:r>
        <w:t xml:space="preserve">,</w:t>
      </w:r>
      <w:r>
        <w:t xml:space="preserve"> </w:t>
      </w:r>
      <w:r>
        <w:rPr>
          <w:rStyle w:val="VerbatimChar"/>
        </w:rPr>
        <w:t xml:space="preserve">sw_mid</w:t>
      </w:r>
      <w:r>
        <w:t xml:space="preserve">) eraldiseisvalt, treenides mudeli ainult selle grupi tunnustega</w:t>
      </w:r>
    </w:p>
    <w:p>
      <w:pPr>
        <w:pStyle w:val="ListNumbered"/>
      </w:pPr>
      <w:r>
        <w:rPr>
          <w:b/>
          <w:bCs/>
        </w:rPr>
        <w:t xml:space="preserve">Vali top-K sooritajad</w:t>
      </w:r>
      <w:r>
        <w:t xml:space="preserve"> </w:t>
      </w:r>
      <w:r>
        <w:t xml:space="preserve">mudeli hinde põhjal (tavaliselt K=5), mis on kirjeldatud peatükis 5.6 - ainult parimad kombinatsioonid pääsevad edasi järgmisele dimensioonile</w:t>
      </w:r>
    </w:p>
    <w:p>
      <w:pPr>
        <w:pStyle w:val="ListNumbered"/>
      </w:pPr>
      <w:r>
        <w:rPr>
          <w:b/>
          <w:bCs/>
        </w:rPr>
        <w:t xml:space="preserve">Dimensiooni 2 jaoks laienda</w:t>
      </w:r>
      <w:r>
        <w:t xml:space="preserve"> </w:t>
      </w:r>
      <w:r>
        <w:t xml:space="preserve">igat top-K tunnuste kombinatsiooni, lisades ühe täiendava tunnuse gruppi - näiteks kui</w:t>
      </w:r>
      <w:r>
        <w:t xml:space="preserve"> </w:t>
      </w:r>
      <w:r>
        <w:rPr>
          <w:rStyle w:val="VerbatimChar"/>
        </w:rPr>
        <w:t xml:space="preserve">sum_vol</w:t>
      </w:r>
      <w:r>
        <w:t xml:space="preserve"> </w:t>
      </w:r>
      <w:r>
        <w:t xml:space="preserve">oli parim üksik tunnuste grupp, siis kombineeritakse seda kõigi teiste gruppidega (</w:t>
      </w:r>
      <w:r>
        <w:rPr>
          <w:rStyle w:val="VerbatimChar"/>
        </w:rPr>
        <w:t xml:space="preserve">sum_vol</w:t>
      </w:r>
      <w:r>
        <w:t xml:space="preserve"> </w:t>
      </w:r>
      <w:r>
        <w:t xml:space="preserve">+</w:t>
      </w:r>
      <w:r>
        <w:t xml:space="preserve"> </w:t>
      </w:r>
      <w:r>
        <w:rPr>
          <w:rStyle w:val="VerbatimChar"/>
        </w:rPr>
        <w:t xml:space="preserve">sw_mid</w:t>
      </w:r>
      <w:r>
        <w:t xml:space="preserve">,</w:t>
      </w:r>
      <w:r>
        <w:t xml:space="preserve"> </w:t>
      </w:r>
      <w:r>
        <w:rPr>
          <w:rStyle w:val="VerbatimChar"/>
        </w:rPr>
        <w:t xml:space="preserve">sum_vol</w:t>
      </w:r>
      <w:r>
        <w:t xml:space="preserve"> </w:t>
      </w:r>
      <w:r>
        <w:t xml:space="preserve">+</w:t>
      </w:r>
      <w:r>
        <w:t xml:space="preserve"> </w:t>
      </w:r>
      <w:r>
        <w:rPr>
          <w:rStyle w:val="VerbatimChar"/>
        </w:rPr>
        <w:t xml:space="preserve">close</w:t>
      </w:r>
      <w:r>
        <w:t xml:space="preserve">, jne)</w:t>
      </w:r>
    </w:p>
    <w:p>
      <w:pPr>
        <w:pStyle w:val="ListNumbered"/>
      </w:pPr>
      <w:r>
        <w:rPr>
          <w:b/>
          <w:bCs/>
        </w:rPr>
        <w:t xml:space="preserve">Korda laiendamist</w:t>
      </w:r>
      <w:r>
        <w:t xml:space="preserve">, kärpides igal dimensioonil ainult top-K parimatele - see tagab, et otsinguruumi suurus jääb kontrolli alla</w:t>
      </w:r>
    </w:p>
    <w:p>
      <w:pPr>
        <w:pStyle w:val="ListNumbered"/>
      </w:pPr>
      <w:r>
        <w:rPr>
          <w:b/>
          <w:bCs/>
        </w:rPr>
        <w:t xml:space="preserve">Lõpeta</w:t>
      </w:r>
      <w:r>
        <w:t xml:space="preserve"> </w:t>
      </w:r>
      <w:r>
        <w:t xml:space="preserve">maksimaalse dimensiooni juures (tavaliselt D=7) või kui skoori paranemine lakkab</w:t>
      </w:r>
    </w:p>
    <w:p>
      <w:pPr>
        <w:pStyle w:val="BodyText"/>
      </w:pPr>
      <w:r>
        <w:t xml:space="preserve">See ahne lähenemine vähendab keerukust O(K × F × D)-ks: K=5, F=50, D=7 korral ~1750 hindamist, mis on 50000× vähem kui naiivne ammendav otsing. Kuigi ahne strateegia ei garanteeri globaalse optimumi leidmist, praktilised tulemused näitavad, et leitud kombinatsioonid ületavad oluliselt täistunnuste kogumeid.</w:t>
      </w:r>
    </w:p>
    <w:bookmarkEnd w:id="116"/>
    <w:bookmarkStart w:id="117" w:name="aegreale-turvaline-treenimisstrateegia"/>
    <w:p>
      <w:pPr>
        <w:pStyle w:val="Heading2"/>
      </w:pPr>
      <w:r>
        <w:t xml:space="preserve">Aegreale turvaline treenimisstrateegia</w:t>
      </w:r>
    </w:p>
    <w:p>
      <w:pPr>
        <w:pStyle w:val="BodyText"/>
      </w:pPr>
      <w:r>
        <w:t xml:space="preserve">Finantsaegridade õppimisel on kriitilise tähtsusega vältida infolekkeid tulevikust minevikku, mis tekitaks kunstlikult optimistlikke hindeid. Süsteem kasutab range</w:t>
      </w:r>
      <w:r>
        <w:t xml:space="preserve"> </w:t>
      </w:r>
      <w:r>
        <w:rPr>
          <w:b/>
          <w:bCs/>
        </w:rPr>
        <w:t xml:space="preserve">kronoloogilist jaotust</w:t>
      </w:r>
      <w:r>
        <w:t xml:space="preserve">: viimased 10% näidistest reserveeritakse hindamiseks, tagades, et mudel ei näe kunagi tuleviku andmeid treenimise ajal. See erineb juhuslikust train-test split’ist, kus tuleviku näited võivad sattuda treeningkogumisse. Lisaks peab</w:t>
      </w:r>
      <w:r>
        <w:t xml:space="preserve"> </w:t>
      </w:r>
      <w:r>
        <w:rPr>
          <w:b/>
          <w:bCs/>
        </w:rPr>
        <w:t xml:space="preserve">transformatsiooni ajastus</w:t>
      </w:r>
      <w:r>
        <w:t xml:space="preserve"> </w:t>
      </w:r>
      <w:r>
        <w:t xml:space="preserve">olema hoolikalt kontrollitud: kõik normaliseerimisparameetrid arvutatakse rangelt ainult treeningkogumi põhjal. See põhimõte kehtib kõigi transformatsioonide jaoks - z-skoori normaliseerimine, Fibonacci-põhised momentumi tunnused ja muud teisendustega seotud statistikud. Iga transformatsioon peab garanteerima, et mudelil puudub juurdepääs tuleviku informatsioonile mis tahes kujul.</w:t>
      </w:r>
    </w:p>
    <w:bookmarkEnd w:id="117"/>
    <w:bookmarkStart w:id="118" w:name="tunnuste-transformatsiooni-strateegiad"/>
    <w:p>
      <w:pPr>
        <w:pStyle w:val="Heading2"/>
      </w:pPr>
      <w:r>
        <w:t xml:space="preserve">Tunnuste transformatsiooni strateegiad</w:t>
      </w:r>
    </w:p>
    <w:p>
      <w:pPr>
        <w:pStyle w:val="BodyText"/>
      </w:pPr>
      <w:r>
        <w:t xml:space="preserve">Süsteem toetab mitut transformatsioonistrateegiat, mis kombineerivad normaliseerimist ja Fibonacci-põhiseid momentumi indikaatoreid.</w:t>
      </w:r>
      <w:r>
        <w:t xml:space="preserve"> </w:t>
      </w:r>
      <w:r>
        <w:rPr>
          <w:b/>
          <w:bCs/>
        </w:rPr>
        <w:t xml:space="preserve">Z-skoori normaliseerimine</w:t>
      </w:r>
      <w:r>
        <w:t xml:space="preserve"> </w:t>
      </w:r>
      <w:r>
        <w:t xml:space="preserve">standardiseerib tunnused, lahutades treeningkogumi keskmise ja jagades treeningkogumi standardhälbega. Testkogumi jaoks kasutatakse libiseva akna statistikat, tagades, et normaliseerimisparameetrid ei leki tulevikust.</w:t>
      </w:r>
    </w:p>
    <w:p>
      <w:pPr>
        <w:pStyle w:val="BodyText"/>
        <w:keepNext w:val="1"/>
      </w:pPr>
      <w:r>
        <w:rPr>
          <w:b/>
          <w:bCs/>
        </w:rPr>
        <w:t xml:space="preserve">Fibonacci-viitega momentumi tunnused</w:t>
      </w:r>
      <w:r>
        <w:t xml:space="preserve"> </w:t>
      </w:r>
      <w:r>
        <w:t xml:space="preserve">genereerivad indikaatoreid, võrreldes praeguseid väärtusi mineviku väärtustega Fibonacci-järjestuse viidete põhjal (2, 3, 5, 8, 13 aknaid tagasi). Süsteem toetab kolme tüüpi momentumi tunnuseid: (1)</w:t>
      </w:r>
      <w:r>
        <w:t xml:space="preserve"> </w:t>
      </w:r>
      <w:r>
        <w:rPr>
          <w:b/>
          <w:bCs/>
        </w:rPr>
        <w:t xml:space="preserve">stepper</w:t>
      </w:r>
      <w:r>
        <w:t xml:space="preserve"> </w:t>
      </w:r>
      <w:r>
        <w:t xml:space="preserve">- binaarned indikaatorid (kas praegune &gt; viidatud), (2)</w:t>
      </w:r>
      <w:r>
        <w:t xml:space="preserve"> </w:t>
      </w:r>
      <w:r>
        <w:rPr>
          <w:b/>
          <w:bCs/>
        </w:rPr>
        <w:t xml:space="preserve">diff</w:t>
      </w:r>
      <w:r>
        <w:t xml:space="preserve"> </w:t>
      </w:r>
      <w:r>
        <w:t xml:space="preserve">- suunatunnused sign(viidatud - praegune), (3)</w:t>
      </w:r>
      <w:r>
        <w:t xml:space="preserve"> </w:t>
      </w:r>
      <w:r>
        <w:rPr>
          <w:b/>
          <w:bCs/>
        </w:rPr>
        <w:t xml:space="preserve">doubled</w:t>
      </w:r>
      <w:r>
        <w:t xml:space="preserve"> </w:t>
      </w:r>
      <w:r>
        <w:t xml:space="preserve">- kiirenduse indikaatorid, mis võrdlevad viidatud väärtusi omavahel. Iga tunnuse ja 5 Fibonacci viite kombinatsioon loob 5F täiendavat tunnust. Strateegiad märkega</w:t>
      </w:r>
      <w:r>
        <w:t xml:space="preserve"> </w:t>
      </w:r>
      <w:r>
        <w:rPr>
          <w:rStyle w:val="VerbatimChar"/>
        </w:rPr>
        <w:t xml:space="preserve">_incl</w:t>
      </w:r>
      <w:r>
        <w:t xml:space="preserve"> </w:t>
      </w:r>
      <w:r>
        <w:t xml:space="preserve">säilitavad ka originaalsed z-score normaliseeritud tunnused, laiendades tunnuste ruumi 6F-ks.</w:t>
      </w:r>
    </w:p>
    <w:p>
      <w:pPr>
        <w:pStyle w:val="Caption"/>
        <w:keepNext w:val="1"/>
      </w:pPr>
      <w:r>
        <w:t xml:space="preserve">Tabel 5.3 Tunnuste transformatsiooni strateegiad</w:t>
      </w:r>
    </w:p>
    <w:tbl>
      <w:tblPr>
        <w:tblStyle w:val="Table"/>
        <w:tblW w:type="pct" w:w="5000"/>
        <w:tblLayout w:type="fixed"/>
        <w:tblLook w:firstRow="1" w:lastRow="0" w:firstColumn="0" w:lastColumn="0" w:noHBand="0" w:noVBand="0" w:val="0020"/>
        <w:tblCaption w:val="Tabel 5.3 Tunnuste transformatsiooni strateegia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131"/>
        <w:gridCol w:w="3683"/>
        <w:gridCol w:w="1105"/>
      </w:tblGrid>
      <w:tr>
        <w:trPr>
          <w:tblHeader w:val="on"/>
          <w:cantSplit w:val="1"/>
        </w:trPr>
        <w:tc>
          <w:tcPr/>
          <w:p>
            <w:pPr>
              <w:pStyle w:val="Tabelhead"/>
              <w:keepLines w:val="1"/>
              <w:keepNext w:val="1"/>
            </w:pPr>
            <w:r>
              <w:t xml:space="preserve">Strateegia</w:t>
            </w:r>
          </w:p>
        </w:tc>
        <w:tc>
          <w:tcPr/>
          <w:p>
            <w:pPr>
              <w:pStyle w:val="Tabelhead"/>
              <w:keepLines w:val="1"/>
              <w:keepNext w:val="1"/>
            </w:pPr>
            <w:r>
              <w:t xml:space="preserve">Kirjeldus</w:t>
            </w:r>
          </w:p>
        </w:tc>
        <w:tc>
          <w:tcPr/>
          <w:p>
            <w:pPr>
              <w:pStyle w:val="Tabelhead"/>
              <w:keepLines w:val="1"/>
              <w:keepNext w:val="1"/>
            </w:pPr>
            <w:r>
              <w:t xml:space="preserve">Tunnuste arv</w:t>
            </w:r>
          </w:p>
        </w:tc>
      </w:tr>
      <w:tr>
        <w:trPr>
          <w:cantSplit w:val="1"/>
        </w:trPr>
        <w:tc>
          <w:tcPr/>
          <w:p>
            <w:pPr>
              <w:pStyle w:val="Tabletext"/>
              <w:keepLines w:val="1"/>
              <w:keepNext w:val="1"/>
            </w:pPr>
            <w:r>
              <w:rPr>
                <w:rStyle w:val="VerbatimChar"/>
              </w:rPr>
              <w:t xml:space="preserve">none</w:t>
            </w:r>
          </w:p>
        </w:tc>
        <w:tc>
          <w:tcPr/>
          <w:p>
            <w:pPr>
              <w:pStyle w:val="Tabletext"/>
              <w:keepLines w:val="1"/>
              <w:keepNext w:val="1"/>
            </w:pPr>
            <w:r>
              <w:t xml:space="preserve">Toored tunnused</w:t>
            </w:r>
          </w:p>
        </w:tc>
        <w:tc>
          <w:tcPr/>
          <w:p>
            <w:pPr>
              <w:pStyle w:val="Tabletext"/>
              <w:keepLines w:val="1"/>
              <w:keepNext w:val="1"/>
            </w:pPr>
            <w:r>
              <w:t xml:space="preserve">F</w:t>
            </w:r>
          </w:p>
        </w:tc>
      </w:tr>
      <w:tr>
        <w:trPr>
          <w:cantSplit w:val="1"/>
        </w:trPr>
        <w:tc>
          <w:tcPr/>
          <w:p>
            <w:pPr>
              <w:pStyle w:val="Tabletext"/>
              <w:keepLines w:val="1"/>
              <w:keepNext w:val="1"/>
            </w:pPr>
            <w:r>
              <w:rPr>
                <w:rStyle w:val="VerbatimChar"/>
              </w:rPr>
              <w:t xml:space="preserve">zscore</w:t>
            </w:r>
          </w:p>
        </w:tc>
        <w:tc>
          <w:tcPr/>
          <w:p>
            <w:pPr>
              <w:pStyle w:val="Tabletext"/>
              <w:keepLines w:val="1"/>
              <w:keepNext w:val="1"/>
            </w:pPr>
            <w:r>
              <w:t xml:space="preserve">Z-skoori normaliseerimine</w:t>
            </w:r>
          </w:p>
        </w:tc>
        <w:tc>
          <w:tcPr/>
          <w:p>
            <w:pPr>
              <w:pStyle w:val="Tabletext"/>
              <w:keepLines w:val="1"/>
              <w:keepNext w:val="1"/>
            </w:pPr>
            <w:r>
              <w:t xml:space="preserve">F</w:t>
            </w:r>
          </w:p>
        </w:tc>
      </w:tr>
      <w:tr>
        <w:trPr>
          <w:cantSplit w:val="1"/>
        </w:trPr>
        <w:tc>
          <w:tcPr/>
          <w:p>
            <w:pPr>
              <w:pStyle w:val="Tabletext"/>
              <w:keepLines w:val="1"/>
              <w:keepNext w:val="1"/>
            </w:pPr>
            <w:r>
              <w:rPr>
                <w:rStyle w:val="VerbatimChar"/>
              </w:rPr>
              <w:t xml:space="preserve">zscore_stepper_fibo</w:t>
            </w:r>
          </w:p>
        </w:tc>
        <w:tc>
          <w:tcPr/>
          <w:p>
            <w:pPr>
              <w:pStyle w:val="Tabletext"/>
              <w:keepLines w:val="1"/>
              <w:keepNext w:val="1"/>
            </w:pPr>
            <w:r>
              <w:t xml:space="preserve">Z-skoor + stepper momentum</w:t>
            </w:r>
          </w:p>
        </w:tc>
        <w:tc>
          <w:tcPr/>
          <w:p>
            <w:pPr>
              <w:pStyle w:val="Tabletext"/>
              <w:keepLines w:val="1"/>
              <w:keepNext w:val="1"/>
            </w:pPr>
            <w:r>
              <w:t xml:space="preserve">5F</w:t>
            </w:r>
          </w:p>
        </w:tc>
      </w:tr>
      <w:tr>
        <w:trPr>
          <w:cantSplit w:val="1"/>
        </w:trPr>
        <w:tc>
          <w:tcPr/>
          <w:p>
            <w:pPr>
              <w:pStyle w:val="Tabletext"/>
              <w:keepLines w:val="1"/>
              <w:keepNext w:val="1"/>
            </w:pPr>
            <w:r>
              <w:rPr>
                <w:rStyle w:val="VerbatimChar"/>
              </w:rPr>
              <w:t xml:space="preserve">zscore_diff_fibo</w:t>
            </w:r>
          </w:p>
        </w:tc>
        <w:tc>
          <w:tcPr/>
          <w:p>
            <w:pPr>
              <w:pStyle w:val="Tabletext"/>
              <w:keepLines w:val="1"/>
              <w:keepNext w:val="1"/>
            </w:pPr>
            <w:r>
              <w:t xml:space="preserve">Z-skoor + diff momentum</w:t>
            </w:r>
          </w:p>
        </w:tc>
        <w:tc>
          <w:tcPr/>
          <w:p>
            <w:pPr>
              <w:pStyle w:val="Tabletext"/>
              <w:keepLines w:val="1"/>
              <w:keepNext w:val="1"/>
            </w:pPr>
            <w:r>
              <w:t xml:space="preserve">5F</w:t>
            </w:r>
          </w:p>
        </w:tc>
      </w:tr>
      <w:tr>
        <w:trPr>
          <w:cantSplit w:val="1"/>
        </w:trPr>
        <w:tc>
          <w:tcPr/>
          <w:p>
            <w:pPr>
              <w:pStyle w:val="Tabletext"/>
              <w:keepLines w:val="1"/>
              <w:keepNext w:val="1"/>
            </w:pPr>
            <w:r>
              <w:rPr>
                <w:rStyle w:val="VerbatimChar"/>
              </w:rPr>
              <w:t xml:space="preserve">zscore_doubled_stepper_fibo</w:t>
            </w:r>
          </w:p>
        </w:tc>
        <w:tc>
          <w:tcPr/>
          <w:p>
            <w:pPr>
              <w:pStyle w:val="Tabletext"/>
              <w:keepLines w:val="1"/>
              <w:keepNext w:val="1"/>
            </w:pPr>
            <w:r>
              <w:t xml:space="preserve">Z-skoor + doubled stepper</w:t>
            </w:r>
          </w:p>
        </w:tc>
        <w:tc>
          <w:tcPr/>
          <w:p>
            <w:pPr>
              <w:pStyle w:val="Tabletext"/>
              <w:keepLines w:val="1"/>
              <w:keepNext w:val="1"/>
            </w:pPr>
            <w:r>
              <w:t xml:space="preserve">5F</w:t>
            </w:r>
          </w:p>
        </w:tc>
      </w:tr>
      <w:tr>
        <w:trPr>
          <w:cantSplit w:val="1"/>
        </w:trPr>
        <w:tc>
          <w:tcPr/>
          <w:p>
            <w:pPr>
              <w:pStyle w:val="Tabletext"/>
              <w:keepLines w:val="1"/>
              <w:keepNext w:val="1"/>
            </w:pPr>
            <w:r>
              <w:rPr>
                <w:rStyle w:val="VerbatimChar"/>
              </w:rPr>
              <w:t xml:space="preserve">zscore_doubled_diff_fibo</w:t>
            </w:r>
          </w:p>
        </w:tc>
        <w:tc>
          <w:tcPr/>
          <w:p>
            <w:pPr>
              <w:pStyle w:val="Tabletext"/>
              <w:keepLines w:val="1"/>
              <w:keepNext w:val="1"/>
            </w:pPr>
            <w:r>
              <w:t xml:space="preserve">Z-skoor + doubled diff</w:t>
            </w:r>
          </w:p>
        </w:tc>
        <w:tc>
          <w:tcPr/>
          <w:p>
            <w:pPr>
              <w:pStyle w:val="Tabletext"/>
              <w:keepLines w:val="1"/>
              <w:keepNext w:val="1"/>
            </w:pPr>
            <w:r>
              <w:t xml:space="preserve">5F</w:t>
            </w:r>
          </w:p>
        </w:tc>
      </w:tr>
      <w:tr>
        <w:trPr>
          <w:cantSplit w:val="1"/>
        </w:trPr>
        <w:tc>
          <w:tcPr/>
          <w:p>
            <w:pPr>
              <w:pStyle w:val="Tabletext"/>
              <w:keepLines w:val="1"/>
              <w:keepNext w:val="1"/>
            </w:pPr>
            <w:r>
              <w:rPr>
                <w:rStyle w:val="VerbatimChar"/>
              </w:rPr>
              <w:t xml:space="preserve">zscore_stepper_fibo_incl</w:t>
            </w:r>
          </w:p>
        </w:tc>
        <w:tc>
          <w:tcPr/>
          <w:p>
            <w:pPr>
              <w:pStyle w:val="Tabletext"/>
              <w:keepLines w:val="1"/>
              <w:keepNext w:val="1"/>
            </w:pPr>
            <w:r>
              <w:t xml:space="preserve">Z-skoor + stepper + originaalsed</w:t>
            </w:r>
          </w:p>
        </w:tc>
        <w:tc>
          <w:tcPr/>
          <w:p>
            <w:pPr>
              <w:pStyle w:val="Tabletext"/>
              <w:keepLines w:val="1"/>
              <w:keepNext w:val="1"/>
            </w:pPr>
            <w:r>
              <w:t xml:space="preserve">6F</w:t>
            </w:r>
          </w:p>
        </w:tc>
      </w:tr>
      <w:tr>
        <w:trPr>
          <w:cantSplit w:val="1"/>
        </w:trPr>
        <w:tc>
          <w:tcPr/>
          <w:p>
            <w:pPr>
              <w:pStyle w:val="Tabletext"/>
              <w:keepLines w:val="1"/>
              <w:keepNext w:val="1"/>
            </w:pPr>
            <w:r>
              <w:rPr>
                <w:rStyle w:val="VerbatimChar"/>
              </w:rPr>
              <w:t xml:space="preserve">zscore_diff_fibo_incl</w:t>
            </w:r>
          </w:p>
        </w:tc>
        <w:tc>
          <w:tcPr/>
          <w:p>
            <w:pPr>
              <w:pStyle w:val="Tabletext"/>
              <w:keepLines w:val="1"/>
              <w:keepNext w:val="1"/>
            </w:pPr>
            <w:r>
              <w:t xml:space="preserve">Z-skoor + diff + originaalsed</w:t>
            </w:r>
          </w:p>
        </w:tc>
        <w:tc>
          <w:tcPr/>
          <w:p>
            <w:pPr>
              <w:pStyle w:val="Tabletext"/>
              <w:keepLines w:val="1"/>
              <w:keepNext w:val="1"/>
            </w:pPr>
            <w:r>
              <w:t xml:space="preserve">6F</w:t>
            </w:r>
          </w:p>
        </w:tc>
      </w:tr>
      <w:tr>
        <w:trPr>
          <w:cantSplit w:val="1"/>
        </w:trPr>
        <w:tc>
          <w:tcPr/>
          <w:p>
            <w:pPr>
              <w:pStyle w:val="Tabletext"/>
              <w:keepLines w:val="1"/>
              <w:keepNext w:val="1"/>
            </w:pPr>
            <w:r>
              <w:rPr>
                <w:rStyle w:val="VerbatimChar"/>
              </w:rPr>
              <w:t xml:space="preserve">zscore_doubled_stepper_fibo_incl</w:t>
            </w:r>
          </w:p>
        </w:tc>
        <w:tc>
          <w:tcPr/>
          <w:p>
            <w:pPr>
              <w:pStyle w:val="Tabletext"/>
              <w:keepLines w:val="1"/>
              <w:keepNext w:val="1"/>
            </w:pPr>
            <w:r>
              <w:t xml:space="preserve">Z-skoor + doubled stepper + originaalsed</w:t>
            </w:r>
          </w:p>
        </w:tc>
        <w:tc>
          <w:tcPr/>
          <w:p>
            <w:pPr>
              <w:pStyle w:val="Tabletext"/>
              <w:keepLines w:val="1"/>
              <w:keepNext w:val="1"/>
            </w:pPr>
            <w:r>
              <w:t xml:space="preserve">6F</w:t>
            </w:r>
          </w:p>
        </w:tc>
      </w:tr>
      <w:tr>
        <w:trPr>
          <w:cantSplit w:val="1"/>
        </w:trPr>
        <w:tc>
          <w:tcPr/>
          <w:p>
            <w:pPr>
              <w:pStyle w:val="Tabletext"/>
              <w:keepLines w:val="1"/>
              <w:keepNext w:val="1"/>
            </w:pPr>
            <w:r>
              <w:rPr>
                <w:rStyle w:val="VerbatimChar"/>
              </w:rPr>
              <w:t xml:space="preserve">zscore_doubled_diff_fibo_incl</w:t>
            </w:r>
          </w:p>
        </w:tc>
        <w:tc>
          <w:tcPr/>
          <w:p>
            <w:pPr>
              <w:pStyle w:val="Tabletext"/>
              <w:keepLines w:val="1"/>
              <w:keepNext w:val="1"/>
            </w:pPr>
            <w:r>
              <w:t xml:space="preserve">Z-skoor + doubled diff + originaalsed</w:t>
            </w:r>
          </w:p>
        </w:tc>
        <w:tc>
          <w:tcPr/>
          <w:p>
            <w:pPr>
              <w:pStyle w:val="Tabletext"/>
              <w:keepLines w:val="1"/>
              <w:keepNext w:val="1"/>
            </w:pPr>
            <w:r>
              <w:t xml:space="preserve">6F</w:t>
            </w:r>
          </w:p>
        </w:tc>
      </w:tr>
    </w:tbl>
    <w:p>
      <w:pPr>
        <w:pStyle w:val="BodyText"/>
      </w:pPr>
      <w:r>
        <w:t xml:space="preserve"> </w:t>
      </w:r>
    </w:p>
    <w:bookmarkEnd w:id="118"/>
    <w:bookmarkStart w:id="119" w:name="mudeli-hindamine"/>
    <w:p>
      <w:pPr>
        <w:pStyle w:val="Heading2"/>
      </w:pPr>
      <w:r>
        <w:t xml:space="preserve">Mudeli hindamine</w:t>
      </w:r>
    </w:p>
    <w:p>
      <w:pPr>
        <w:pStyle w:val="BodyText"/>
      </w:pPr>
      <w:r>
        <w:t xml:space="preserve">Tasakaalustamata klassifikatsiooni puhul on üldine täpsus (accuracy) eksitav mõõdik: mudel, mis ennustab ainult enamusklassi, saavutab kõrge täpsuse, kuid on praktikas kasutu. Näiteks kui 95% juhtudest ei tõuse hind üle läve (klass 0) ja mudel ennustab alati klassi 0, saab see 95% täpsuse, kuid ei tuvasta ühtegi huvipakkuvat sündmust.</w:t>
      </w:r>
    </w:p>
    <w:p>
      <w:pPr>
        <w:pStyle w:val="BodyText"/>
      </w:pPr>
      <w:r>
        <w:t xml:space="preserve">Süsteem kasutab klassispetsiifilisi mõõdikuid, mis arvutatakse segadusmaatriksi põhjal. Segadusmaatriks sisaldab nelja väärtust: TN (true negatives, õigesti ennustatud negatiivsed), FP (false positives, valesti ennustatud positiivsed), FN (false negatives, vahele jäetud positiivsed) ja TP (true positives, õigesti ennustatud positiivsed). Nende põhjal arvutatakse</w:t>
      </w:r>
      <w:r>
        <w:t xml:space="preserve"> </w:t>
      </w:r>
      <w:r>
        <w:rPr>
          <w:b/>
          <w:bCs/>
        </w:rPr>
        <w:t xml:space="preserve">saagis</w:t>
      </w:r>
      <w:r>
        <w:t xml:space="preserve"> </w:t>
      </w:r>
      <w:r>
        <w:t xml:space="preserve">(recall) kui TP/(TP+FN) ehk positiivsete näidete tuvastamise osakaal, ja</w:t>
      </w:r>
      <w:r>
        <w:t xml:space="preserve"> </w:t>
      </w:r>
      <w:r>
        <w:rPr>
          <w:b/>
          <w:bCs/>
        </w:rPr>
        <w:t xml:space="preserve">täpsus</w:t>
      </w:r>
      <w:r>
        <w:t xml:space="preserve"> </w:t>
      </w:r>
      <w:r>
        <w:t xml:space="preserve">(precision) kui TP/(TP+FP) ehk positiivsete ennustuste õigsuse osakaal. Mõlemad mõõdikud arvutatakse eraldi mõlema klassi jaoks.</w:t>
      </w:r>
    </w:p>
    <w:p>
      <w:pPr>
        <w:pStyle w:val="BodyText"/>
      </w:pPr>
      <w:r>
        <w:t xml:space="preserve">Skoorimismõõdik on defineeritud valemiga (5.1):</w:t>
      </w:r>
    </w:p>
    <w:p>
      <w:pPr>
        <w:pStyle w:val="BodyText"/>
      </w:pPr>
      <m:oMathPara>
        <m:oMathParaPr>
          <m:jc m:val="center"/>
        </m:oMathParaPr>
        <m:oMath>
          <m:r>
            <m:rPr>
              <m:nor/>
              <m:sty m:val="p"/>
            </m:rPr>
            <m:t>skoor</m:t>
          </m:r>
          <m:r>
            <m:rPr>
              <m:sty m:val="p"/>
            </m:rPr>
            <m:t>=</m:t>
          </m:r>
          <m:sSub>
            <m:e>
              <m:r>
                <m:rPr>
                  <m:nor/>
                  <m:sty m:val="p"/>
                </m:rPr>
                <m:t>recall</m:t>
              </m:r>
            </m:e>
            <m:sub>
              <m:r>
                <m:rPr>
                  <m:nor/>
                  <m:sty m:val="p"/>
                </m:rPr>
                <m:t>neg</m:t>
              </m:r>
            </m:sub>
          </m:sSub>
          <m:r>
            <m:rPr>
              <m:sty m:val="p"/>
            </m:rPr>
            <m:t>×</m:t>
          </m:r>
          <m:sSub>
            <m:e>
              <m:r>
                <m:rPr>
                  <m:nor/>
                  <m:sty m:val="p"/>
                </m:rPr>
                <m:t>recall</m:t>
              </m:r>
            </m:e>
            <m:sub>
              <m:r>
                <m:rPr>
                  <m:nor/>
                  <m:sty m:val="p"/>
                </m:rPr>
                <m:t>pos</m:t>
              </m:r>
            </m:sub>
          </m:sSub>
          <m:r>
            <m:rPr>
              <m:sty m:val="p"/>
            </m:rPr>
            <m:t>×</m:t>
          </m:r>
          <m:sSub>
            <m:e>
              <m:r>
                <m:rPr>
                  <m:nor/>
                  <m:sty m:val="p"/>
                </m:rPr>
                <m:t>precision</m:t>
              </m:r>
            </m:e>
            <m:sub>
              <m:r>
                <m:rPr>
                  <m:nor/>
                  <m:sty m:val="p"/>
                </m:rPr>
                <m:t>neg</m:t>
              </m:r>
            </m:sub>
          </m:sSub>
          <m:r>
            <m:rPr>
              <m:sty m:val="p"/>
            </m:rPr>
            <m:t>×</m:t>
          </m:r>
          <m:sSub>
            <m:e>
              <m:r>
                <m:rPr>
                  <m:nor/>
                  <m:sty m:val="p"/>
                </m:rPr>
                <m:t>precision</m:t>
              </m:r>
            </m:e>
            <m:sub>
              <m:r>
                <m:rPr>
                  <m:nor/>
                  <m:sty m:val="p"/>
                </m:rPr>
                <m:t>pos</m:t>
              </m:r>
            </m:sub>
          </m:sSub>
        </m:oMath>
      </m:oMathPara>
    </w:p>
    <w:p>
      <w:pPr>
        <w:pStyle w:val="BodyText"/>
      </w:pPr>
      <w:r>
        <w:t xml:space="preserve">See nelja teguri korrutis karistab mudeleid, mis saavutavad kõrge skoori ainult ühe klassi peal. Kui mudel ennustab alati enamusklassi, on positiivse klassi saagis null, mis annab koguks 0. Samuti, kui mudel ennustab liiga sageli positiivset klassi, kannatab positiivse klassi täpsus. Ainult tasakaalustatud mudel, mis ennustab mõlemat klassi tähendusrikkalt, saavutab kõrge skoori. See mõõdik sobib ideaalselt haruldaste sündmuste tuvastamiseks finantsandmetes, kus enamusklassi ennustamine on triviaalne, kuid väärtusetu.</w:t>
      </w:r>
    </w:p>
    <w:bookmarkEnd w:id="119"/>
    <w:bookmarkStart w:id="123" w:name="mudeli-salvestamine"/>
    <w:p>
      <w:pPr>
        <w:pStyle w:val="Heading2"/>
      </w:pPr>
      <w:r>
        <w:t xml:space="preserve">Mudeli salvestamine</w:t>
      </w:r>
    </w:p>
    <w:p>
      <w:pPr>
        <w:pStyle w:val="FirstParagraph"/>
        <w:jc w:val="center"/>
      </w:pPr>
      <w:r>
        <w:drawing>
          <wp:inline>
            <wp:extent cx="4076700" cy="8001000"/>
            <wp:effectExtent b="0" l="0" r="0" t="0"/>
            <wp:docPr descr="" title="" id="121" name="Picture"/>
            <a:graphic>
              <a:graphicData uri="http://schemas.openxmlformats.org/drawingml/2006/picture">
                <pic:pic>
                  <pic:nvPicPr>
                    <pic:cNvPr descr="docs/thesis_ee_condensed/images/mermaid_a592d22aa2a1.png" id="122" name="Picture"/>
                    <pic:cNvPicPr>
                      <a:picLocks noChangeArrowheads="1" noChangeAspect="1"/>
                    </pic:cNvPicPr>
                  </pic:nvPicPr>
                  <pic:blipFill>
                    <a:blip r:embed="rId120"/>
                    <a:stretch>
                      <a:fillRect/>
                    </a:stretch>
                  </pic:blipFill>
                  <pic:spPr bwMode="auto">
                    <a:xfrm>
                      <a:off x="0" y="0"/>
                      <a:ext cx="4076700" cy="8001000"/>
                    </a:xfrm>
                    <a:prstGeom prst="rect">
                      <a:avLst/>
                    </a:prstGeom>
                    <a:noFill/>
                    <a:ln w="9525">
                      <a:noFill/>
                      <a:headEnd/>
                      <a:tailEnd/>
                    </a:ln>
                  </pic:spPr>
                </pic:pic>
              </a:graphicData>
            </a:graphic>
          </wp:inline>
        </w:drawing>
      </w:r>
    </w:p>
    <w:p>
      <w:pPr>
        <w:pStyle w:val="Caption"/>
      </w:pPr>
      <w:r>
        <w:t xml:space="preserve">Joonis 5.2 Mudeli salvestamise andmebaasiskeem</w:t>
      </w:r>
    </w:p>
    <w:p>
      <w:pPr>
        <w:pStyle w:val="BodyText"/>
      </w:pPr>
      <w:r>
        <w:t xml:space="preserve">Mudeli binaarvorming (</w:t>
      </w:r>
      <w:r>
        <w:rPr>
          <w:rStyle w:val="VerbatimChar"/>
        </w:rPr>
        <w:t xml:space="preserve">model_bytes</w:t>
      </w:r>
      <w:r>
        <w:t xml:space="preserve">) on eraldi tabelis</w:t>
      </w:r>
      <w:r>
        <w:t xml:space="preserve"> </w:t>
      </w:r>
      <w:r>
        <w:rPr>
          <w:rStyle w:val="VerbatimChar"/>
        </w:rPr>
        <w:t xml:space="preserve">ml_tree_artifact</w:t>
      </w:r>
      <w:r>
        <w:t xml:space="preserve">, et parandada päringute jõudlust. Tulemuste päringud (</w:t>
      </w:r>
      <w:r>
        <w:rPr>
          <w:rStyle w:val="VerbatimChar"/>
        </w:rPr>
        <w:t xml:space="preserve">SELECT</w:t>
      </w:r>
      <w:r>
        <w:t xml:space="preserve"> </w:t>
      </w:r>
      <w:r>
        <w:t xml:space="preserve">järgi täpsuse, sihtmärgi või tunnuste filtreerimisega) ei pea lugema suurt binaarset mudeli hunnikut (tavaliselt 50-500 KB), vaid ainult metaandmeid. Mudel laaditakse mällu ainult siis, kui see on valitud ennustamiseks.</w:t>
      </w:r>
    </w:p>
    <w:p>
      <w:pPr>
        <w:pStyle w:val="BodyText"/>
      </w:pPr>
      <w:r>
        <w:t xml:space="preserve">Süsteem säilitab ainult top-K sooritajad sihtmärgi kohta.</w:t>
      </w:r>
    </w:p>
    <w:bookmarkEnd w:id="123"/>
    <w:bookmarkStart w:id="124" w:name="eksperimentaalsed-tulemused"/>
    <w:p>
      <w:pPr>
        <w:pStyle w:val="Heading2"/>
      </w:pPr>
      <w:r>
        <w:t xml:space="preserve">Eksperimentaalsed tulemused</w:t>
      </w:r>
    </w:p>
    <w:p>
      <w:pPr>
        <w:pStyle w:val="BodyText"/>
        <w:keepNext w:val="1"/>
      </w:pPr>
      <w:r>
        <w:t xml:space="preserve">Tulemuste võrdlemiseks kasutatakse kolme metoodikat:</w:t>
      </w:r>
      <w:r>
        <w:t xml:space="preserve"> </w:t>
      </w:r>
      <w:r>
        <w:rPr>
          <w:b/>
          <w:bCs/>
        </w:rPr>
        <w:t xml:space="preserve">Iteratiivne</w:t>
      </w:r>
      <w:r>
        <w:t xml:space="preserve"> </w:t>
      </w:r>
      <w:r>
        <w:t xml:space="preserve">(ahne iteratiivne tunnuste valik optimaalse tunnuste arvu ja valiku leidmiseks),</w:t>
      </w:r>
      <w:r>
        <w:t xml:space="preserve"> </w:t>
      </w:r>
      <w:r>
        <w:rPr>
          <w:b/>
          <w:bCs/>
        </w:rPr>
        <w:t xml:space="preserve">dt_all</w:t>
      </w:r>
      <w:r>
        <w:t xml:space="preserve"> </w:t>
      </w:r>
      <w:r>
        <w:t xml:space="preserve">(otsustuspuu kõigi 50+ tunnusega ilma tunnuste valikuta) ja</w:t>
      </w:r>
      <w:r>
        <w:t xml:space="preserve"> </w:t>
      </w:r>
      <w:r>
        <w:rPr>
          <w:b/>
          <w:bCs/>
        </w:rPr>
        <w:t xml:space="preserve">rf_all</w:t>
      </w:r>
      <w:r>
        <w:t xml:space="preserve"> </w:t>
      </w:r>
      <w:r>
        <w:t xml:space="preserve">(juhuslik mets kõigi 50+ tunnusega ilma tunnuste valikuta).</w:t>
      </w:r>
    </w:p>
    <w:p>
      <w:pPr>
        <w:pStyle w:val="Caption"/>
        <w:keepNext w:val="1"/>
      </w:pPr>
      <w:r>
        <w:t xml:space="preserve">Tabel 5.4 Eksperimentaalsed tulemused ETH_USDT sümbolil (Kraken, oktoober-november 2024)</w:t>
      </w:r>
    </w:p>
    <w:tbl>
      <w:tblPr>
        <w:tblStyle w:val="Table"/>
        <w:tblW w:type="pct" w:w="5000"/>
        <w:tblLayout w:type="fixed"/>
        <w:tblLook w:firstRow="1" w:lastRow="0" w:firstColumn="0" w:lastColumn="0" w:noHBand="0" w:noVBand="0" w:val="0020"/>
        <w:tblCaption w:val="Tabel 5.4 Eksperimentaalsed tulemused ETH_USDT sümbolil (Kraken, oktoober-november 202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69"/>
        <w:gridCol w:w="1255"/>
        <w:gridCol w:w="965"/>
        <w:gridCol w:w="3283"/>
        <w:gridCol w:w="1545"/>
      </w:tblGrid>
      <w:tr>
        <w:trPr>
          <w:tblHeader w:val="on"/>
          <w:cantSplit w:val="1"/>
        </w:trPr>
        <w:tc>
          <w:tcPr/>
          <w:p>
            <w:pPr>
              <w:pStyle w:val="Tabelhead"/>
              <w:keepLines w:val="1"/>
              <w:keepNext w:val="1"/>
            </w:pPr>
            <w:r>
              <w:t xml:space="preserve">Metoodika</w:t>
            </w:r>
          </w:p>
        </w:tc>
        <w:tc>
          <w:tcPr/>
          <w:p>
            <w:pPr>
              <w:pStyle w:val="Tabelhead"/>
              <w:keepLines w:val="1"/>
              <w:keepNext w:val="1"/>
            </w:pPr>
            <w:r>
              <w:t xml:space="preserve">Sihtmärk</w:t>
            </w:r>
          </w:p>
        </w:tc>
        <w:tc>
          <w:tcPr/>
          <w:p>
            <w:pPr>
              <w:pStyle w:val="Tabelhead"/>
              <w:keepLines w:val="1"/>
              <w:keepNext w:val="1"/>
            </w:pPr>
            <w:r>
              <w:t xml:space="preserve">Skoor</w:t>
            </w:r>
          </w:p>
        </w:tc>
        <w:tc>
          <w:tcPr/>
          <w:p>
            <w:pPr>
              <w:pStyle w:val="Tabelhead"/>
              <w:keepLines w:val="1"/>
              <w:keepNext w:val="1"/>
            </w:pPr>
            <w:r>
              <w:t xml:space="preserve">Tunnused</w:t>
            </w:r>
          </w:p>
        </w:tc>
        <w:tc>
          <w:tcPr/>
          <w:p>
            <w:pPr>
              <w:pStyle w:val="Tabelhead"/>
              <w:keepLines w:val="1"/>
              <w:keepNext w:val="1"/>
            </w:pPr>
            <w:r>
              <w:t xml:space="preserve">Segadusmaatriks</w:t>
            </w:r>
          </w:p>
        </w:tc>
      </w:tr>
      <w:tr>
        <w:trPr>
          <w:cantSplit w:val="1"/>
        </w:trPr>
        <w:tc>
          <w:tcPr/>
          <w:p>
            <w:pPr>
              <w:pStyle w:val="Tabletext"/>
              <w:keepLines w:val="1"/>
              <w:keepNext w:val="1"/>
            </w:pPr>
            <w:r>
              <w:t xml:space="preserve">iter</w:t>
            </w:r>
          </w:p>
        </w:tc>
        <w:tc>
          <w:tcPr/>
          <w:p>
            <w:pPr>
              <w:pStyle w:val="Tabletext"/>
              <w:keepLines w:val="1"/>
              <w:keepNext w:val="1"/>
            </w:pPr>
            <w:r>
              <w:t xml:space="preserve">high_up_0.09p</w:t>
            </w:r>
          </w:p>
        </w:tc>
        <w:tc>
          <w:tcPr/>
          <w:p>
            <w:pPr>
              <w:pStyle w:val="Tabletext"/>
              <w:keepLines w:val="1"/>
              <w:keepNext w:val="1"/>
            </w:pPr>
            <w:r>
              <w:rPr>
                <w:b/>
                <w:bCs/>
              </w:rPr>
              <w:t xml:space="preserve">0.0933</w:t>
            </w:r>
          </w:p>
        </w:tc>
        <w:tc>
          <w:tcPr/>
          <w:p>
            <w:pPr>
              <w:pStyle w:val="Tabletext"/>
              <w:keepLines w:val="1"/>
              <w:keepNext w:val="1"/>
            </w:pPr>
            <w:r>
              <w:t xml:space="preserve">t_high, t_open, t_sum_dt, t_sum_pv</w:t>
            </w:r>
          </w:p>
        </w:tc>
        <w:tc>
          <w:tcPr/>
          <w:p>
            <w:pPr>
              <w:pStyle w:val="Tabletext"/>
              <w:keepLines w:val="1"/>
              <w:keepNext w:val="1"/>
            </w:pPr>
            <w:r>
              <w:t xml:space="preserve">(158, 68, 6, 16)</w:t>
            </w:r>
          </w:p>
        </w:tc>
      </w:tr>
      <w:tr>
        <w:trPr>
          <w:cantSplit w:val="1"/>
        </w:trPr>
        <w:tc>
          <w:tcPr/>
          <w:p>
            <w:pPr>
              <w:pStyle w:val="Tabletext"/>
              <w:keepLines w:val="1"/>
              <w:keepNext w:val="1"/>
            </w:pPr>
            <w:r>
              <w:t xml:space="preserve">dt_all</w:t>
            </w:r>
          </w:p>
        </w:tc>
        <w:tc>
          <w:tcPr/>
          <w:p>
            <w:pPr>
              <w:pStyle w:val="Tabletext"/>
              <w:keepLines w:val="1"/>
              <w:keepNext w:val="1"/>
            </w:pPr>
            <w:r>
              <w:t xml:space="preserve">high_up_0.09p</w:t>
            </w:r>
          </w:p>
        </w:tc>
        <w:tc>
          <w:tcPr/>
          <w:p>
            <w:pPr>
              <w:pStyle w:val="Tabletext"/>
              <w:keepLines w:val="1"/>
              <w:keepNext w:val="1"/>
            </w:pPr>
            <w:r>
              <w:t xml:space="preserve">0.0261</w:t>
            </w:r>
          </w:p>
        </w:tc>
        <w:tc>
          <w:tcPr/>
          <w:p>
            <w:pPr>
              <w:pStyle w:val="Tabletext"/>
              <w:keepLines w:val="1"/>
              <w:keepNext w:val="1"/>
            </w:pPr>
            <w:r>
              <w:t xml:space="preserve">kõik</w:t>
            </w:r>
          </w:p>
        </w:tc>
        <w:tc>
          <w:tcPr/>
          <w:p>
            <w:pPr>
              <w:pStyle w:val="Tabletext"/>
              <w:keepLines w:val="1"/>
              <w:keepNext w:val="1"/>
            </w:pPr>
            <w:r>
              <w:t xml:space="preserve">(161, 65, 14, 8)</w:t>
            </w:r>
          </w:p>
        </w:tc>
      </w:tr>
      <w:tr>
        <w:trPr>
          <w:cantSplit w:val="1"/>
        </w:trPr>
        <w:tc>
          <w:tcPr/>
          <w:p>
            <w:pPr>
              <w:pStyle w:val="Tabletext"/>
              <w:keepLines w:val="1"/>
              <w:keepNext w:val="1"/>
            </w:pPr>
            <w:r>
              <w:t xml:space="preserve">rf_all</w:t>
            </w:r>
          </w:p>
        </w:tc>
        <w:tc>
          <w:tcPr/>
          <w:p>
            <w:pPr>
              <w:pStyle w:val="Tabletext"/>
              <w:keepLines w:val="1"/>
              <w:keepNext w:val="1"/>
            </w:pPr>
            <w:r>
              <w:t xml:space="preserve">high_up_0.09p</w:t>
            </w:r>
          </w:p>
        </w:tc>
        <w:tc>
          <w:tcPr/>
          <w:p>
            <w:pPr>
              <w:pStyle w:val="Tabletext"/>
              <w:keepLines w:val="1"/>
              <w:keepNext w:val="1"/>
            </w:pPr>
            <w:r>
              <w:t xml:space="preserve">0.0000</w:t>
            </w:r>
          </w:p>
        </w:tc>
        <w:tc>
          <w:tcPr/>
          <w:p>
            <w:pPr>
              <w:pStyle w:val="Tabletext"/>
              <w:keepLines w:val="1"/>
              <w:keepNext w:val="1"/>
            </w:pPr>
            <w:r>
              <w:t xml:space="preserve">kõik</w:t>
            </w:r>
          </w:p>
        </w:tc>
        <w:tc>
          <w:tcPr/>
          <w:p>
            <w:pPr>
              <w:pStyle w:val="Tabletext"/>
              <w:keepLines w:val="1"/>
              <w:keepNext w:val="1"/>
            </w:pPr>
            <w:r>
              <w:t xml:space="preserve">(226, 0, 22, 0)</w:t>
            </w:r>
          </w:p>
        </w:tc>
      </w:tr>
      <w:tr>
        <w:trPr>
          <w:cantSplit w:val="1"/>
        </w:trPr>
        <w:tc>
          <w:tcPr/>
          <w:p>
            <w:pPr>
              <w:pStyle w:val="Tabletext"/>
              <w:keepLines w:val="1"/>
              <w:keepNext w:val="1"/>
            </w:pPr>
            <w:r>
              <w:t xml:space="preserve">iter</w:t>
            </w:r>
          </w:p>
        </w:tc>
        <w:tc>
          <w:tcPr/>
          <w:p>
            <w:pPr>
              <w:pStyle w:val="Tabletext"/>
              <w:keepLines w:val="1"/>
              <w:keepNext w:val="1"/>
            </w:pPr>
            <w:r>
              <w:t xml:space="preserve">high_up_0.29p</w:t>
            </w:r>
          </w:p>
        </w:tc>
        <w:tc>
          <w:tcPr/>
          <w:p>
            <w:pPr>
              <w:pStyle w:val="Tabletext"/>
              <w:keepLines w:val="1"/>
              <w:keepNext w:val="1"/>
            </w:pPr>
            <w:r>
              <w:rPr>
                <w:b/>
                <w:bCs/>
              </w:rPr>
              <w:t xml:space="preserve">0.6640</w:t>
            </w:r>
          </w:p>
        </w:tc>
        <w:tc>
          <w:tcPr/>
          <w:p>
            <w:pPr>
              <w:pStyle w:val="Tabletext"/>
              <w:keepLines w:val="1"/>
              <w:keepNext w:val="1"/>
            </w:pPr>
            <w:r>
              <w:t xml:space="preserve">o_close_ba, o_n_updates</w:t>
            </w:r>
          </w:p>
        </w:tc>
        <w:tc>
          <w:tcPr/>
          <w:p>
            <w:pPr>
              <w:pStyle w:val="Tabletext"/>
              <w:keepLines w:val="1"/>
              <w:keepNext w:val="1"/>
            </w:pPr>
            <w:r>
              <w:t xml:space="preserve">(245, 0, 1, 2)</w:t>
            </w:r>
          </w:p>
        </w:tc>
      </w:tr>
      <w:tr>
        <w:trPr>
          <w:cantSplit w:val="1"/>
        </w:trPr>
        <w:tc>
          <w:tcPr/>
          <w:p>
            <w:pPr>
              <w:pStyle w:val="Tabletext"/>
              <w:keepLines w:val="1"/>
              <w:keepNext w:val="1"/>
            </w:pPr>
            <w:r>
              <w:t xml:space="preserve">dt_all</w:t>
            </w:r>
          </w:p>
        </w:tc>
        <w:tc>
          <w:tcPr/>
          <w:p>
            <w:pPr>
              <w:pStyle w:val="Tabletext"/>
              <w:keepLines w:val="1"/>
              <w:keepNext w:val="1"/>
            </w:pPr>
            <w:r>
              <w:t xml:space="preserve">high_up_0.29p</w:t>
            </w:r>
          </w:p>
        </w:tc>
        <w:tc>
          <w:tcPr/>
          <w:p>
            <w:pPr>
              <w:pStyle w:val="Tabletext"/>
              <w:keepLines w:val="1"/>
              <w:keepNext w:val="1"/>
            </w:pPr>
            <w:r>
              <w:t xml:space="preserve">0.0000</w:t>
            </w:r>
          </w:p>
        </w:tc>
        <w:tc>
          <w:tcPr/>
          <w:p>
            <w:pPr>
              <w:pStyle w:val="Tabletext"/>
              <w:keepLines w:val="1"/>
              <w:keepNext w:val="1"/>
            </w:pPr>
            <w:r>
              <w:t xml:space="preserve">kõik</w:t>
            </w:r>
          </w:p>
        </w:tc>
        <w:tc>
          <w:tcPr/>
          <w:p>
            <w:pPr>
              <w:pStyle w:val="Tabletext"/>
              <w:keepLines w:val="1"/>
              <w:keepNext w:val="1"/>
            </w:pPr>
            <w:r>
              <w:t xml:space="preserve">(245, 0, 3, 0)</w:t>
            </w:r>
          </w:p>
        </w:tc>
      </w:tr>
      <w:tr>
        <w:trPr>
          <w:cantSplit w:val="1"/>
        </w:trPr>
        <w:tc>
          <w:tcPr/>
          <w:p>
            <w:pPr>
              <w:pStyle w:val="Tabletext"/>
              <w:keepLines w:val="1"/>
              <w:keepNext w:val="1"/>
            </w:pPr>
            <w:r>
              <w:t xml:space="preserve">rf_all</w:t>
            </w:r>
          </w:p>
        </w:tc>
        <w:tc>
          <w:tcPr/>
          <w:p>
            <w:pPr>
              <w:pStyle w:val="Tabletext"/>
              <w:keepLines w:val="1"/>
              <w:keepNext w:val="1"/>
            </w:pPr>
            <w:r>
              <w:t xml:space="preserve">high_up_0.29p</w:t>
            </w:r>
          </w:p>
        </w:tc>
        <w:tc>
          <w:tcPr/>
          <w:p>
            <w:pPr>
              <w:pStyle w:val="Tabletext"/>
              <w:keepLines w:val="1"/>
              <w:keepNext w:val="1"/>
            </w:pPr>
            <w:r>
              <w:t xml:space="preserve">0.0000</w:t>
            </w:r>
          </w:p>
        </w:tc>
        <w:tc>
          <w:tcPr/>
          <w:p>
            <w:pPr>
              <w:pStyle w:val="Tabletext"/>
              <w:keepLines w:val="1"/>
              <w:keepNext w:val="1"/>
            </w:pPr>
            <w:r>
              <w:t xml:space="preserve">kõik</w:t>
            </w:r>
          </w:p>
        </w:tc>
        <w:tc>
          <w:tcPr/>
          <w:p>
            <w:pPr>
              <w:pStyle w:val="Tabletext"/>
              <w:keepLines w:val="1"/>
              <w:keepNext w:val="1"/>
            </w:pPr>
            <w:r>
              <w:t xml:space="preserve">(245, 0, 3, 0)</w:t>
            </w:r>
          </w:p>
        </w:tc>
      </w:tr>
    </w:tbl>
    <w:p>
      <w:pPr>
        <w:pStyle w:val="BodyText"/>
      </w:pPr>
      <w:r>
        <w:t xml:space="preserve"> </w:t>
      </w:r>
    </w:p>
    <w:p>
      <w:pPr>
        <w:pStyle w:val="BodyText"/>
      </w:pPr>
      <w:r>
        <w:t xml:space="preserve">Tulemused näitavad</w:t>
      </w:r>
      <w:r>
        <w:t xml:space="preserve"> </w:t>
      </w:r>
      <w:r>
        <w:rPr>
          <w:b/>
          <w:bCs/>
        </w:rPr>
        <w:t xml:space="preserve">tunnuste säästlikkuse</w:t>
      </w:r>
      <w:r>
        <w:t xml:space="preserve"> </w:t>
      </w:r>
      <w:r>
        <w:t xml:space="preserve">eelist: 2-4 tunnust ületavad täistunnuste ansambleid. 4 tunnust saavutab 9,33% skoori target_high_up_0.09p jaoks, 2 tunnust saavutab 66,40% skoori target_high_up_0.29p jaoks.</w:t>
      </w:r>
      <w:r>
        <w:t xml:space="preserve"> </w:t>
      </w:r>
      <w:r>
        <w:rPr>
          <w:b/>
          <w:bCs/>
        </w:rPr>
        <w:t xml:space="preserve">Baasmeetodid ebaõnnestuvad</w:t>
      </w:r>
      <w:r>
        <w:t xml:space="preserve">: dt_all ja rf_all ennustavad sageli ainult enamusklassi (0,0 skoor).</w:t>
      </w:r>
      <w:r>
        <w:t xml:space="preserve"> </w:t>
      </w:r>
      <w:r>
        <w:rPr>
          <w:b/>
          <w:bCs/>
        </w:rPr>
        <w:t xml:space="preserve">Iteratiivne lähenemine toimib</w:t>
      </w:r>
      <w:r>
        <w:t xml:space="preserve">: target_high_up_0.09p korral 3,6× parem kui dt_all; target_high_up_0.29p korral baasmeetodid ebaõnnestuvad täielikult, iteratiivne meetod aga saavutab 66,40% skoori. See tõestab ahne iteratiivse tunnuste valiku metoodika efektiivsust väheste näidetega finantsandmete klassifitseerimisel, mis oli peatüki hüpoteesiks.</w:t>
      </w:r>
      <w:r>
        <w:t xml:space="preserve"> </w:t>
      </w:r>
      <w:r>
        <w:rPr>
          <w:b/>
          <w:bCs/>
        </w:rPr>
        <w:t xml:space="preserve">Eriti tähelepanuväärne</w:t>
      </w:r>
      <w:r>
        <w:t xml:space="preserve"> </w:t>
      </w:r>
      <w:r>
        <w:t xml:space="preserve">on target_high_up_0.29p mudeli segadusmaatriks (245, 0, 1, 2): mudel ennustab positiivset klassi ainult 2 korral testikogumis, kuid mõlemal korral on ennustus õige (0 valepositiivset). See tähendab, et tunnused</w:t>
      </w:r>
      <w:r>
        <w:t xml:space="preserve"> </w:t>
      </w:r>
      <w:r>
        <w:rPr>
          <w:rStyle w:val="VerbatimChar"/>
        </w:rPr>
        <w:t xml:space="preserve">o_close_ba</w:t>
      </w:r>
      <w:r>
        <w:t xml:space="preserve"> </w:t>
      </w:r>
      <w:r>
        <w:t xml:space="preserve">ja</w:t>
      </w:r>
      <w:r>
        <w:t xml:space="preserve"> </w:t>
      </w:r>
      <w:r>
        <w:rPr>
          <w:rStyle w:val="VerbatimChar"/>
        </w:rPr>
        <w:t xml:space="preserve">o_n_updates</w:t>
      </w:r>
      <w:r>
        <w:t xml:space="preserve"> </w:t>
      </w:r>
      <w:r>
        <w:t xml:space="preserve">on tihedalt seotud hinna tõusu haruldase</w:t>
      </w:r>
      <w:r>
        <w:t xml:space="preserve"> </w:t>
      </w:r>
      <w:r>
        <w:t xml:space="preserve">“edge case’iga”</w:t>
      </w:r>
      <w:r>
        <w:t xml:space="preserve"> </w:t>
      </w:r>
      <w:r>
        <w:t xml:space="preserve">ja võimaldavad 100% täpsusega tuvastada spetsiifilisi turuolukordi, kus hind tõuseb üle 0,29%.</w:t>
      </w:r>
      <w:r>
        <w:t xml:space="preserve"> </w:t>
      </w:r>
      <w:r>
        <w:rPr>
          <w:b/>
          <w:bCs/>
        </w:rPr>
        <w:t xml:space="preserve">Dimensiooni optimaalpunkt</w:t>
      </w:r>
      <w:r>
        <w:t xml:space="preserve"> </w:t>
      </w:r>
      <w:r>
        <w:t xml:space="preserve">varieerub sihtmärkide lõikes (2-4), viidates erinevatele infokogumi vajadustele.</w:t>
      </w:r>
    </w:p>
    <w:bookmarkEnd w:id="124"/>
    <w:bookmarkStart w:id="125" w:name="järeldus"/>
    <w:p>
      <w:pPr>
        <w:pStyle w:val="Heading2"/>
      </w:pPr>
      <w:r>
        <w:t xml:space="preserve">Järeldus</w:t>
      </w:r>
    </w:p>
    <w:p>
      <w:pPr>
        <w:pStyle w:val="BodyText"/>
      </w:pPr>
      <w:r>
        <w:t xml:space="preserve">Peatükk esitas masinõppe töövoo krüptovaluutade hinnamuutuste ennustamiseks, lahendades finantsaegridade õppimise väljakutseid ahne iteratiivse tunnuste valiku ja range ajalise terviklikkuse kaudu.</w:t>
      </w:r>
    </w:p>
    <w:p>
      <w:pPr>
        <w:pStyle w:val="BodyText"/>
      </w:pPr>
      <w:r>
        <w:t xml:space="preserve">Töövoo peamised tehnilised panused hõlmavad: (1) ahne otsingualgoritm, mis vähendab otsinguruumi eksponentsiaalsest binoomkordaja C(F,D) järku lineaarseks K×F×D järku; (2) k-nihke liitmiste raamistik ajalise joondamise tagamiseks; (3) Fibonacci-viitega transformatsioonid mitmeskaalaliste momentumimustrite tabamiseks; (4) versioneeritud salvestus PostgreSQLis deterministliku upsert-semantikaga; (5) klassispetsiifilised mõõdikud tasakaalustamata klassifikatsiooni hindamiseks.</w:t>
      </w:r>
    </w:p>
    <w:p>
      <w:pPr>
        <w:pStyle w:val="BodyText"/>
      </w:pPr>
      <w:r>
        <w:t xml:space="preserve">ETH_USDT sümbolil (Kraken, oktoober-november 2024) läbi viidud eksperimendid kinnitavad põhihüpoteesi:</w:t>
      </w:r>
      <w:r>
        <w:t xml:space="preserve"> </w:t>
      </w:r>
      <w:r>
        <w:rPr>
          <w:b/>
          <w:bCs/>
        </w:rPr>
        <w:t xml:space="preserve">ahne iteratiivne tunnuste valik ületab oluliselt baasmeetodeid</w:t>
      </w:r>
      <w:r>
        <w:t xml:space="preserve">. Minimaalsete tunnuste kogumid (2-4 tunnust) saavutavad kõrgemaid skoore kui 50+ tunnusega otsustuspuud ja juhuslikud metsad, mis sageli ebaõnnestuvad täielikult (0,0 skoor), ennustades ainult enamusklassi. See valideerib keskset väidet: väheste näidetega finantsprognoosimisel domineerivad tunnuste säästlikkus ja hoolikas valik mudeli keerukuse üle. Töövoog demonstreerib, et õigete tunnuste süstemaatiline otsimine võimaldab tuvastada haruldasi turuolukordi. Kuigi väikese valimi juures võib täpne tuvastamine olla ka õnnelik juhus, jääb faktiks, et 50+ tunnusega otsustuspuud ja juhuslikud metsad ei suutnud neid juhtumeid üldse ära tunda.</w:t>
      </w:r>
    </w:p>
    <w:bookmarkEnd w:id="125"/>
    <w:bookmarkEnd w:id="126"/>
    <w:bookmarkStart w:id="141" w:name="X58a4a1a0c28e9bf3c22a22e1be4f16cd3f2a684"/>
    <w:p>
      <w:pPr>
        <w:pStyle w:val="Heading1"/>
      </w:pPr>
      <w:r>
        <w:t xml:space="preserve">Reaalajas ennustussüsteem: voogedastuspõhine ansamblipõhine järeldamine</w:t>
      </w:r>
    </w:p>
    <w:p>
      <w:pPr>
        <w:pStyle w:val="BodyText"/>
      </w:pPr>
      <w:r>
        <w:t xml:space="preserve">Käesolev peatükk tutvustab reaalajas ennustussüsteemi, mis muundab võrguühenduseta treenitud masinõppemudelid voogedastuspõhiseks järelduskonveieriks. Arhitektuur käsitleb tootmismasinõppe juurutamise väljakutseid: kaheallikaandmete sünkroniseerimine, mälupõhine tunnuspuhvri haldamine, mudelite ansambli orkestratsioon täpsusele optimeeritud spetsialistide valikuga ning lävipõhine suunaline süntees tegutsetavateks kauplemissignaalideks.</w:t>
      </w:r>
    </w:p>
    <w:bookmarkStart w:id="127" w:name="ekspertide-segu-moe-taustakirjandus"/>
    <w:p>
      <w:pPr>
        <w:pStyle w:val="Heading2"/>
      </w:pPr>
      <w:r>
        <w:t xml:space="preserve">Ekspertide segu (MoE) taustakirjandus</w:t>
      </w:r>
    </w:p>
    <w:p>
      <w:pPr>
        <w:pStyle w:val="BodyText"/>
      </w:pPr>
      <w:r>
        <w:t xml:space="preserve">Ekspertide segu (Mixture of Experts, MoE) on masinõppe arhitektuur, mis kombineerib mitu spetsialiseeritud alammudelit (eksperdid) koos suunamismehhanismiga, mis määrab dünaamiliselt, milline ekspert peaks konkreetset sisendit töötlema [6].</w:t>
      </w:r>
    </w:p>
    <w:p>
      <w:pPr>
        <w:pStyle w:val="BodyText"/>
      </w:pPr>
      <w:r>
        <w:rPr>
          <w:b/>
          <w:bCs/>
        </w:rPr>
        <w:t xml:space="preserve">Hierarhiline ekspertide segu (HME)</w:t>
      </w:r>
      <w:r>
        <w:t xml:space="preserve">: Jordan ja Jacobs tutvustasid 1993. aastal puustruktuuriga arhitektuuri, kus iga sisend suunatakse läbi otsustuspuude sobiva eksperdi juurde [7]. EM-algoritmi kasutamine võimaldab parameetrite efektiivset kohandamist. HME saavutas robotidünaamika ülesannetes võrreldava täpsuse tagasilevimusvõrkudega, kuid 150× kiiremini (35 vs 5500 epohhi).</w:t>
      </w:r>
    </w:p>
    <w:p>
      <w:pPr>
        <w:pStyle w:val="BodyText"/>
      </w:pPr>
      <w:r>
        <w:rPr>
          <w:b/>
          <w:bCs/>
        </w:rPr>
        <w:t xml:space="preserve">Hõreda valikuga MoE</w:t>
      </w:r>
      <w:r>
        <w:t xml:space="preserve">: Shazeer jt pakkusid 2017. aastal välja suunamismehhanismi, mis aktiveerib iga sisendi jaoks ainult ekspertide alamhulga, suurendades oluliselt mudeli võimsust arvutusliku efektiivsuse säilitamisel [8].</w:t>
      </w:r>
    </w:p>
    <w:p>
      <w:pPr>
        <w:pStyle w:val="BodyText"/>
      </w:pPr>
      <w:r>
        <w:rPr>
          <w:b/>
          <w:bCs/>
        </w:rPr>
        <w:t xml:space="preserve">Kaasaegsed laiendused</w:t>
      </w:r>
      <w:r>
        <w:t xml:space="preserve">: HyperMoE integreerib hüpervõrgud teadmiste ülekandmiseks ekspertide vahel [9]. Finantsvaldkonnas on MoE arhitektuure rakendatud hinnaennustamiseks, kus erinevad eksperdid spetsialiseeruvad erinevatele turutingimustele [10].</w:t>
      </w:r>
    </w:p>
    <w:p>
      <w:pPr>
        <w:pStyle w:val="BodyText"/>
      </w:pPr>
      <w:r>
        <w:t xml:space="preserve">Käesoleva süsteemi arhitektuur järgib MoE põhimõtteid: spetsialistide grupid toimivad ekspertidena, täpsuspõhine valik toimib suunamismehhanismina ning häälteenamus agregeerib ekspertide väljundeid lõplikuks ennustuseks.</w:t>
      </w:r>
    </w:p>
    <w:bookmarkEnd w:id="127"/>
    <w:bookmarkStart w:id="131" w:name="süsteeminõuded-ja-arhitektuur"/>
    <w:p>
      <w:pPr>
        <w:pStyle w:val="Heading2"/>
      </w:pPr>
      <w:r>
        <w:t xml:space="preserve">Süsteeminõuded ja arhitektuur</w:t>
      </w:r>
    </w:p>
    <w:p>
      <w:pPr>
        <w:pStyle w:val="BodyText"/>
      </w:pPr>
      <w:r>
        <w:t xml:space="preserve">Tootmisennustussüsteem rahuldab piiranguid:</w:t>
      </w:r>
    </w:p>
    <w:p>
      <w:pPr>
        <w:pStyle w:val="ListNumbered"/>
      </w:pPr>
      <w:r>
        <w:rPr>
          <w:b/>
          <w:bCs/>
        </w:rPr>
        <w:t xml:space="preserve">Ajaline joondamine</w:t>
      </w:r>
      <w:r>
        <w:t xml:space="preserve">: Tehingu- ja orderiraamatu aknad sünkroniseeritud enne ennustamist</w:t>
      </w:r>
    </w:p>
    <w:p>
      <w:pPr>
        <w:pStyle w:val="ListNumbered"/>
      </w:pPr>
      <w:r>
        <w:rPr>
          <w:b/>
          <w:bCs/>
        </w:rPr>
        <w:t xml:space="preserve">Piiratud mälu</w:t>
      </w:r>
      <w:r>
        <w:t xml:space="preserve">: Fikseeritud maksimaalse suurusega tunnuspuhvrid</w:t>
      </w:r>
    </w:p>
    <w:p>
      <w:pPr>
        <w:pStyle w:val="ListNumbered"/>
      </w:pPr>
      <w:r>
        <w:rPr>
          <w:b/>
          <w:bCs/>
        </w:rPr>
        <w:t xml:space="preserve">Madal latentsus</w:t>
      </w:r>
      <w:r>
        <w:t xml:space="preserve">: Ennustused millisekundite jooksul pärast akna valmimist</w:t>
      </w:r>
    </w:p>
    <w:p>
      <w:pPr>
        <w:pStyle w:val="ListNumbered"/>
      </w:pPr>
      <w:r>
        <w:rPr>
          <w:b/>
          <w:bCs/>
        </w:rPr>
        <w:t xml:space="preserve">Graatsiline degradatsioon</w:t>
      </w:r>
      <w:r>
        <w:t xml:space="preserve">: Puuduvad aknad ei põhjusta süsteemi tõrkeid</w:t>
      </w:r>
    </w:p>
    <w:p>
      <w:pPr>
        <w:pStyle w:val="ListNumbered"/>
      </w:pPr>
      <w:r>
        <w:rPr>
          <w:b/>
          <w:bCs/>
        </w:rPr>
        <w:t xml:space="preserve">Täpsuse kalibreerimine</w:t>
      </w:r>
      <w:r>
        <w:t xml:space="preserve">: Usaldusväärsuse hinnangud kajastavad empiirilist täpsust</w:t>
      </w:r>
    </w:p>
    <w:p>
      <w:pPr>
        <w:pStyle w:val="ListNumbered"/>
      </w:pPr>
      <w:r>
        <w:rPr>
          <w:b/>
          <w:bCs/>
        </w:rPr>
        <w:t xml:space="preserve">Tõlgendatav väljund</w:t>
      </w:r>
      <w:r>
        <w:t xml:space="preserve">: Binaarsed ennustused sünteesitud tegutsetavateks suunasignaalideks</w:t>
      </w:r>
    </w:p>
    <w:p>
      <w:pPr>
        <w:pStyle w:val="BodyText"/>
        <w:jc w:val="center"/>
      </w:pPr>
      <w:r>
        <w:drawing>
          <wp:inline>
            <wp:extent cx="5575300" cy="661355"/>
            <wp:effectExtent b="0" l="0" r="0" t="0"/>
            <wp:docPr descr="" title="" id="129" name="Picture"/>
            <a:graphic>
              <a:graphicData uri="http://schemas.openxmlformats.org/drawingml/2006/picture">
                <pic:pic>
                  <pic:nvPicPr>
                    <pic:cNvPr descr="docs/thesis_ee_condensed/images/mermaid_8e52c19b7e29.png" id="130" name="Picture"/>
                    <pic:cNvPicPr>
                      <a:picLocks noChangeArrowheads="1" noChangeAspect="1"/>
                    </pic:cNvPicPr>
                  </pic:nvPicPr>
                  <pic:blipFill>
                    <a:blip r:embed="rId128"/>
                    <a:stretch>
                      <a:fillRect/>
                    </a:stretch>
                  </pic:blipFill>
                  <pic:spPr bwMode="auto">
                    <a:xfrm>
                      <a:off x="0" y="0"/>
                      <a:ext cx="5575300" cy="661355"/>
                    </a:xfrm>
                    <a:prstGeom prst="rect">
                      <a:avLst/>
                    </a:prstGeom>
                    <a:noFill/>
                    <a:ln w="9525">
                      <a:noFill/>
                      <a:headEnd/>
                      <a:tailEnd/>
                    </a:ln>
                  </pic:spPr>
                </pic:pic>
              </a:graphicData>
            </a:graphic>
          </wp:inline>
        </w:drawing>
      </w:r>
    </w:p>
    <w:p>
      <w:pPr>
        <w:pStyle w:val="Caption"/>
      </w:pPr>
      <w:r>
        <w:t xml:space="preserve">Joonis 6.2 Reaalajas ennustussüsteemi arhitektuur</w:t>
      </w:r>
    </w:p>
    <w:bookmarkEnd w:id="131"/>
    <w:bookmarkStart w:id="132" w:name="tunnuspuhvri-haldamine"/>
    <w:p>
      <w:pPr>
        <w:pStyle w:val="Heading2"/>
        <w:keepNext w:val="1"/>
      </w:pPr>
      <w:r>
        <w:t xml:space="preserve">Tunnuspuhvri haldamine</w:t>
      </w:r>
    </w:p>
    <w:p>
      <w:pPr>
        <w:pStyle w:val="Caption"/>
        <w:keepNext w:val="1"/>
      </w:pPr>
      <w:r>
        <w:t xml:space="preserve">Tabel 6.2 Tunnuspuhvri komponendid</w:t>
      </w:r>
    </w:p>
    <w:tbl>
      <w:tblPr>
        <w:tblStyle w:val="Table"/>
        <w:tblW w:type="pct" w:w="5000"/>
        <w:tblLayout w:type="fixed"/>
        <w:tblLook w:firstRow="1" w:lastRow="0" w:firstColumn="0" w:lastColumn="0" w:noHBand="0" w:noVBand="0" w:val="0020"/>
        <w:tblCaption w:val="Tabel 6.2 Tunnuspuhvri komponendi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188"/>
        <w:gridCol w:w="1584"/>
        <w:gridCol w:w="1683"/>
        <w:gridCol w:w="3465"/>
      </w:tblGrid>
      <w:tr>
        <w:trPr>
          <w:tblHeader w:val="on"/>
          <w:cantSplit w:val="1"/>
        </w:trPr>
        <w:tc>
          <w:tcPr/>
          <w:p>
            <w:pPr>
              <w:pStyle w:val="Tabelhead"/>
              <w:keepLines w:val="1"/>
              <w:keepNext w:val="1"/>
            </w:pPr>
            <w:r>
              <w:t xml:space="preserve">Komponent</w:t>
            </w:r>
          </w:p>
        </w:tc>
        <w:tc>
          <w:tcPr/>
          <w:p>
            <w:pPr>
              <w:pStyle w:val="Tabelhead"/>
              <w:keepLines w:val="1"/>
              <w:keepNext w:val="1"/>
            </w:pPr>
            <w:r>
              <w:t xml:space="preserve">Väli</w:t>
            </w:r>
          </w:p>
        </w:tc>
        <w:tc>
          <w:tcPr/>
          <w:p>
            <w:pPr>
              <w:pStyle w:val="Tabelhead"/>
              <w:keepLines w:val="1"/>
              <w:keepNext w:val="1"/>
            </w:pPr>
            <w:r>
              <w:t xml:space="preserve">Tüüp</w:t>
            </w:r>
          </w:p>
        </w:tc>
        <w:tc>
          <w:tcPr/>
          <w:p>
            <w:pPr>
              <w:pStyle w:val="Tabelhead"/>
              <w:keepLines w:val="1"/>
              <w:keepNext w:val="1"/>
            </w:pPr>
            <w:r>
              <w:t xml:space="preserve">Eesmärk</w:t>
            </w:r>
          </w:p>
        </w:tc>
      </w:tr>
      <w:tr>
        <w:trPr>
          <w:cantSplit w:val="1"/>
        </w:trPr>
        <w:tc>
          <w:tcPr/>
          <w:p>
            <w:pPr>
              <w:pStyle w:val="Tabletext"/>
              <w:keepLines w:val="1"/>
              <w:keepNext w:val="1"/>
            </w:pPr>
            <w:r>
              <w:t xml:space="preserve">Metaandmed</w:t>
            </w:r>
          </w:p>
        </w:tc>
        <w:tc>
          <w:tcPr/>
          <w:p>
            <w:pPr>
              <w:pStyle w:val="Tabletext"/>
              <w:keepLines w:val="1"/>
              <w:keepNext w:val="1"/>
            </w:pPr>
            <w:r>
              <w:rPr>
                <w:rStyle w:val="VerbatimChar"/>
              </w:rPr>
              <w:t xml:space="preserve">platform</w:t>
            </w:r>
          </w:p>
        </w:tc>
        <w:tc>
          <w:tcPr/>
          <w:p>
            <w:pPr>
              <w:pStyle w:val="Tabletext"/>
              <w:keepLines w:val="1"/>
              <w:keepNext w:val="1"/>
            </w:pPr>
            <w:r>
              <w:rPr>
                <w:rStyle w:val="VerbatimChar"/>
              </w:rPr>
              <w:t xml:space="preserve">str</w:t>
            </w:r>
          </w:p>
        </w:tc>
        <w:tc>
          <w:tcPr/>
          <w:p>
            <w:pPr>
              <w:pStyle w:val="Tabletext"/>
              <w:keepLines w:val="1"/>
              <w:keepNext w:val="1"/>
            </w:pPr>
            <w:r>
              <w:t xml:space="preserve">Platvormi identifikaator</w:t>
            </w:r>
          </w:p>
        </w:tc>
      </w:tr>
      <w:tr>
        <w:trPr>
          <w:cantSplit w:val="1"/>
        </w:trPr>
        <w:tc>
          <w:tcPr/>
          <w:p>
            <w:pPr>
              <w:pStyle w:val="Tabletext"/>
              <w:keepLines w:val="1"/>
              <w:keepNext w:val="1"/>
            </w:pPr>
            <w:r>
              <w:t xml:space="preserve">Metaandmed</w:t>
            </w:r>
          </w:p>
        </w:tc>
        <w:tc>
          <w:tcPr/>
          <w:p>
            <w:pPr>
              <w:pStyle w:val="Tabletext"/>
              <w:keepLines w:val="1"/>
              <w:keepNext w:val="1"/>
            </w:pPr>
            <w:r>
              <w:rPr>
                <w:rStyle w:val="VerbatimChar"/>
              </w:rPr>
              <w:t xml:space="preserve">symbol</w:t>
            </w:r>
          </w:p>
        </w:tc>
        <w:tc>
          <w:tcPr/>
          <w:p>
            <w:pPr>
              <w:pStyle w:val="Tabletext"/>
              <w:keepLines w:val="1"/>
              <w:keepNext w:val="1"/>
            </w:pPr>
            <w:r>
              <w:rPr>
                <w:rStyle w:val="VerbatimChar"/>
              </w:rPr>
              <w:t xml:space="preserve">str</w:t>
            </w:r>
          </w:p>
        </w:tc>
        <w:tc>
          <w:tcPr/>
          <w:p>
            <w:pPr>
              <w:pStyle w:val="Tabletext"/>
              <w:keepLines w:val="1"/>
              <w:keepNext w:val="1"/>
            </w:pPr>
            <w:r>
              <w:t xml:space="preserve">Kauplemispaari sümbol</w:t>
            </w:r>
          </w:p>
        </w:tc>
      </w:tr>
      <w:tr>
        <w:trPr>
          <w:cantSplit w:val="1"/>
        </w:trPr>
        <w:tc>
          <w:tcPr/>
          <w:p>
            <w:pPr>
              <w:pStyle w:val="Tabletext"/>
              <w:keepLines w:val="1"/>
              <w:keepNext w:val="1"/>
            </w:pPr>
            <w:r>
              <w:t xml:space="preserve">Metaandmed</w:t>
            </w:r>
          </w:p>
        </w:tc>
        <w:tc>
          <w:tcPr/>
          <w:p>
            <w:pPr>
              <w:pStyle w:val="Tabletext"/>
              <w:keepLines w:val="1"/>
              <w:keepNext w:val="1"/>
            </w:pPr>
            <w:r>
              <w:rPr>
                <w:rStyle w:val="VerbatimChar"/>
              </w:rPr>
              <w:t xml:space="preserve">window_size_ms</w:t>
            </w:r>
          </w:p>
        </w:tc>
        <w:tc>
          <w:tcPr/>
          <w:p>
            <w:pPr>
              <w:pStyle w:val="Tabletext"/>
              <w:keepLines w:val="1"/>
              <w:keepNext w:val="1"/>
            </w:pPr>
            <w:r>
              <w:rPr>
                <w:rStyle w:val="VerbatimChar"/>
              </w:rPr>
              <w:t xml:space="preserve">int</w:t>
            </w:r>
          </w:p>
        </w:tc>
        <w:tc>
          <w:tcPr/>
          <w:p>
            <w:pPr>
              <w:pStyle w:val="Tabletext"/>
              <w:keepLines w:val="1"/>
              <w:keepNext w:val="1"/>
            </w:pPr>
            <w:r>
              <w:t xml:space="preserve">Akna suurus millisekundites</w:t>
            </w:r>
          </w:p>
        </w:tc>
      </w:tr>
      <w:tr>
        <w:trPr>
          <w:cantSplit w:val="1"/>
        </w:trPr>
        <w:tc>
          <w:tcPr/>
          <w:p>
            <w:pPr>
              <w:pStyle w:val="Tabletext"/>
              <w:keepLines w:val="1"/>
              <w:keepNext w:val="1"/>
            </w:pPr>
            <w:r>
              <w:t xml:space="preserve">Valmis aknad</w:t>
            </w:r>
          </w:p>
        </w:tc>
        <w:tc>
          <w:tcPr/>
          <w:p>
            <w:pPr>
              <w:pStyle w:val="Tabletext"/>
              <w:keepLines w:val="1"/>
              <w:keepNext w:val="1"/>
            </w:pPr>
            <w:r>
              <w:rPr>
                <w:rStyle w:val="VerbatimChar"/>
              </w:rPr>
              <w:t xml:space="preserve">df</w:t>
            </w:r>
          </w:p>
        </w:tc>
        <w:tc>
          <w:tcPr/>
          <w:p>
            <w:pPr>
              <w:pStyle w:val="Tabletext"/>
              <w:keepLines w:val="1"/>
              <w:keepNext w:val="1"/>
            </w:pPr>
            <w:r>
              <w:rPr>
                <w:rStyle w:val="VerbatimChar"/>
              </w:rPr>
              <w:t xml:space="preserve">DataFrame</w:t>
            </w:r>
          </w:p>
        </w:tc>
        <w:tc>
          <w:tcPr/>
          <w:p>
            <w:pPr>
              <w:pStyle w:val="Tabletext"/>
              <w:keepLines w:val="1"/>
              <w:keepNext w:val="1"/>
            </w:pPr>
            <w:r>
              <w:t xml:space="preserve">Joondatud tehingu + orderi tunnused</w:t>
            </w:r>
          </w:p>
        </w:tc>
      </w:tr>
      <w:tr>
        <w:trPr>
          <w:cantSplit w:val="1"/>
        </w:trPr>
        <w:tc>
          <w:tcPr/>
          <w:p>
            <w:pPr>
              <w:pStyle w:val="Tabletext"/>
              <w:keepLines w:val="1"/>
              <w:keepNext w:val="1"/>
            </w:pPr>
            <w:r>
              <w:t xml:space="preserve">Ootel tehing</w:t>
            </w:r>
          </w:p>
        </w:tc>
        <w:tc>
          <w:tcPr/>
          <w:p>
            <w:pPr>
              <w:pStyle w:val="Tabletext"/>
              <w:keepLines w:val="1"/>
              <w:keepNext w:val="1"/>
            </w:pPr>
            <w:r>
              <w:rPr>
                <w:rStyle w:val="VerbatimChar"/>
              </w:rPr>
              <w:t xml:space="preserve">pending_trade</w:t>
            </w:r>
          </w:p>
        </w:tc>
        <w:tc>
          <w:tcPr/>
          <w:p>
            <w:pPr>
              <w:pStyle w:val="Tabletext"/>
              <w:keepLines w:val="1"/>
              <w:keepNext w:val="1"/>
            </w:pPr>
            <w:r>
              <w:rPr>
                <w:rStyle w:val="VerbatimChar"/>
              </w:rPr>
              <w:t xml:space="preserve">dict[int, dict]</w:t>
            </w:r>
          </w:p>
        </w:tc>
        <w:tc>
          <w:tcPr/>
          <w:p>
            <w:pPr>
              <w:pStyle w:val="Tabletext"/>
              <w:keepLines w:val="1"/>
              <w:keepNext w:val="1"/>
            </w:pPr>
            <w:r>
              <w:t xml:space="preserve">Ootab orderi vastaspoolt</w:t>
            </w:r>
          </w:p>
        </w:tc>
      </w:tr>
      <w:tr>
        <w:trPr>
          <w:cantSplit w:val="1"/>
        </w:trPr>
        <w:tc>
          <w:tcPr/>
          <w:p>
            <w:pPr>
              <w:pStyle w:val="Tabletext"/>
              <w:keepLines w:val="1"/>
              <w:keepNext w:val="1"/>
            </w:pPr>
            <w:r>
              <w:t xml:space="preserve">Ootel order</w:t>
            </w:r>
          </w:p>
        </w:tc>
        <w:tc>
          <w:tcPr/>
          <w:p>
            <w:pPr>
              <w:pStyle w:val="Tabletext"/>
              <w:keepLines w:val="1"/>
              <w:keepNext w:val="1"/>
            </w:pPr>
            <w:r>
              <w:rPr>
                <w:rStyle w:val="VerbatimChar"/>
              </w:rPr>
              <w:t xml:space="preserve">pending_order</w:t>
            </w:r>
          </w:p>
        </w:tc>
        <w:tc>
          <w:tcPr/>
          <w:p>
            <w:pPr>
              <w:pStyle w:val="Tabletext"/>
              <w:keepLines w:val="1"/>
              <w:keepNext w:val="1"/>
            </w:pPr>
            <w:r>
              <w:rPr>
                <w:rStyle w:val="VerbatimChar"/>
              </w:rPr>
              <w:t xml:space="preserve">dict[int, dict]</w:t>
            </w:r>
          </w:p>
        </w:tc>
        <w:tc>
          <w:tcPr/>
          <w:p>
            <w:pPr>
              <w:pStyle w:val="Tabletext"/>
              <w:keepLines w:val="1"/>
              <w:keepNext w:val="1"/>
            </w:pPr>
            <w:r>
              <w:t xml:space="preserve">Ootab tehingu vastaspoolt</w:t>
            </w:r>
          </w:p>
        </w:tc>
      </w:tr>
    </w:tbl>
    <w:p>
      <w:pPr>
        <w:pStyle w:val="BodyText"/>
      </w:pPr>
      <w:r>
        <w:t xml:space="preserve"> </w:t>
      </w:r>
    </w:p>
    <w:p>
      <w:pPr>
        <w:pStyle w:val="BodyText"/>
      </w:pPr>
      <w:r>
        <w:rPr>
          <w:b/>
          <w:bCs/>
        </w:rPr>
        <w:t xml:space="preserve">Kaheallikaline sünkroniseerimine</w:t>
      </w:r>
      <w:r>
        <w:t xml:space="preserve">: Tehingu ja orderiraamatu tunnusvood pärinevad sõltumatutelt töötajatelt. Mõlema allika andmete saabumine käivitab valmimise kontrolli: kui mõlemad tunnuste komplektid on saabunud, kombineeritakse need üheks reaks ja lisatakse DataFrame’i.</w:t>
      </w:r>
    </w:p>
    <w:p>
      <w:pPr>
        <w:pStyle w:val="BodyText"/>
      </w:pPr>
      <w:r>
        <w:rPr>
          <w:b/>
          <w:bCs/>
        </w:rPr>
        <w:t xml:space="preserve">Mälupiirangu jõustamine</w:t>
      </w:r>
      <w:r>
        <w:t xml:space="preserve">: Puhver jõustab maksimaalse suuruse 5000 akent. 30-sekundiliste akende puhul esindab see ~42 tunni andmeid. Ootel sõnastikest eemaldatakse aknad, mis on vanemad kui 10× akna suurus (5 minutit 30-sekundiliste akende puhul). 10× koefitsient on valitud pragmaatiliselt, aktsepteerides andmekadu piiratud mälu vastu.</w:t>
      </w:r>
    </w:p>
    <w:p>
      <w:pPr>
        <w:pStyle w:val="BodyText"/>
      </w:pPr>
      <w:r>
        <w:rPr>
          <w:b/>
          <w:bCs/>
        </w:rPr>
        <w:t xml:space="preserve">Soekäivitus</w:t>
      </w:r>
      <w:r>
        <w:t xml:space="preserve">: Puhvri saab initsialiseerida ajaloolistest Parquet andmetest, võimaldades ennustussüsteemil alustada kohe käivitumisel ilma puhvri kogunemist ootamata.</w:t>
      </w:r>
    </w:p>
    <w:bookmarkEnd w:id="132"/>
    <w:bookmarkStart w:id="133" w:name="spetsialistide-ansambli-arhitektuur"/>
    <w:p>
      <w:pPr>
        <w:pStyle w:val="Heading2"/>
        <w:keepNext w:val="1"/>
      </w:pPr>
      <w:r>
        <w:t xml:space="preserve">Spetsialistide ansambli arhitektuur</w:t>
      </w:r>
    </w:p>
    <w:p>
      <w:pPr>
        <w:pStyle w:val="Caption"/>
        <w:keepNext w:val="1"/>
      </w:pPr>
      <w:r>
        <w:t xml:space="preserve">Tabel 6.3 Spetsialisti andmestruktuur</w:t>
      </w:r>
    </w:p>
    <w:tbl>
      <w:tblPr>
        <w:tblStyle w:val="Table"/>
        <w:tblW w:type="pct" w:w="5000"/>
        <w:tblLayout w:type="fixed"/>
        <w:tblLook w:firstRow="1" w:lastRow="0" w:firstColumn="0" w:lastColumn="0" w:noHBand="0" w:noVBand="0" w:val="0020"/>
        <w:tblCaption w:val="Tabel 6.3 Spetsialisti andmestruktuu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534"/>
        <w:gridCol w:w="2534"/>
        <w:gridCol w:w="2851"/>
      </w:tblGrid>
      <w:tr>
        <w:trPr>
          <w:tblHeader w:val="on"/>
          <w:cantSplit w:val="1"/>
        </w:trPr>
        <w:tc>
          <w:tcPr/>
          <w:p>
            <w:pPr>
              <w:pStyle w:val="Tabelhead"/>
              <w:keepLines w:val="1"/>
              <w:keepNext w:val="1"/>
            </w:pPr>
            <w:r>
              <w:t xml:space="preserve">Väli</w:t>
            </w:r>
          </w:p>
        </w:tc>
        <w:tc>
          <w:tcPr/>
          <w:p>
            <w:pPr>
              <w:pStyle w:val="Tabelhead"/>
              <w:keepLines w:val="1"/>
              <w:keepNext w:val="1"/>
            </w:pPr>
            <w:r>
              <w:t xml:space="preserve">Tüüp</w:t>
            </w:r>
          </w:p>
        </w:tc>
        <w:tc>
          <w:tcPr/>
          <w:p>
            <w:pPr>
              <w:pStyle w:val="Tabelhead"/>
              <w:keepLines w:val="1"/>
              <w:keepNext w:val="1"/>
            </w:pPr>
            <w:r>
              <w:t xml:space="preserve">Eesmärk</w:t>
            </w:r>
          </w:p>
        </w:tc>
      </w:tr>
      <w:tr>
        <w:trPr>
          <w:cantSplit w:val="1"/>
        </w:trPr>
        <w:tc>
          <w:tcPr/>
          <w:p>
            <w:pPr>
              <w:pStyle w:val="Tabletext"/>
              <w:keepLines w:val="1"/>
              <w:keepNext w:val="1"/>
            </w:pPr>
            <w:r>
              <w:rPr>
                <w:rStyle w:val="VerbatimChar"/>
              </w:rPr>
              <w:t xml:space="preserve">ml_tree_result_id</w:t>
            </w:r>
          </w:p>
        </w:tc>
        <w:tc>
          <w:tcPr/>
          <w:p>
            <w:pPr>
              <w:pStyle w:val="Tabletext"/>
              <w:keepLines w:val="1"/>
              <w:keepNext w:val="1"/>
            </w:pPr>
            <w:r>
              <w:rPr>
                <w:rStyle w:val="VerbatimChar"/>
              </w:rPr>
              <w:t xml:space="preserve">int</w:t>
            </w:r>
          </w:p>
        </w:tc>
        <w:tc>
          <w:tcPr/>
          <w:p>
            <w:pPr>
              <w:pStyle w:val="Tabletext"/>
              <w:keepLines w:val="1"/>
              <w:keepNext w:val="1"/>
            </w:pPr>
            <w:r>
              <w:t xml:space="preserve">Treenimistulemuse viide</w:t>
            </w:r>
          </w:p>
        </w:tc>
      </w:tr>
      <w:tr>
        <w:trPr>
          <w:cantSplit w:val="1"/>
        </w:trPr>
        <w:tc>
          <w:tcPr/>
          <w:p>
            <w:pPr>
              <w:pStyle w:val="Tabletext"/>
              <w:keepLines w:val="1"/>
              <w:keepNext w:val="1"/>
            </w:pPr>
            <w:r>
              <w:rPr>
                <w:rStyle w:val="VerbatimChar"/>
              </w:rPr>
              <w:t xml:space="preserve">clf</w:t>
            </w:r>
          </w:p>
        </w:tc>
        <w:tc>
          <w:tcPr/>
          <w:p>
            <w:pPr>
              <w:pStyle w:val="Tabletext"/>
              <w:keepLines w:val="1"/>
              <w:keepNext w:val="1"/>
            </w:pPr>
            <w:r>
              <w:rPr>
                <w:rStyle w:val="VerbatimChar"/>
              </w:rPr>
              <w:t xml:space="preserve">DecisionTreeClassifier</w:t>
            </w:r>
          </w:p>
        </w:tc>
        <w:tc>
          <w:tcPr/>
          <w:p>
            <w:pPr>
              <w:pStyle w:val="Tabletext"/>
              <w:keepLines w:val="1"/>
              <w:keepNext w:val="1"/>
            </w:pPr>
            <w:r>
              <w:t xml:space="preserve">Treenitud otsustuspuu mudel</w:t>
            </w:r>
          </w:p>
        </w:tc>
      </w:tr>
      <w:tr>
        <w:trPr>
          <w:cantSplit w:val="1"/>
        </w:trPr>
        <w:tc>
          <w:tcPr/>
          <w:p>
            <w:pPr>
              <w:pStyle w:val="Tabletext"/>
              <w:keepLines w:val="1"/>
              <w:keepNext w:val="1"/>
            </w:pPr>
            <w:r>
              <w:rPr>
                <w:rStyle w:val="VerbatimChar"/>
              </w:rPr>
              <w:t xml:space="preserve">used_features</w:t>
            </w:r>
          </w:p>
        </w:tc>
        <w:tc>
          <w:tcPr/>
          <w:p>
            <w:pPr>
              <w:pStyle w:val="Tabletext"/>
              <w:keepLines w:val="1"/>
              <w:keepNext w:val="1"/>
            </w:pPr>
            <w:r>
              <w:rPr>
                <w:rStyle w:val="VerbatimChar"/>
              </w:rPr>
              <w:t xml:space="preserve">list[str]</w:t>
            </w:r>
          </w:p>
        </w:tc>
        <w:tc>
          <w:tcPr/>
          <w:p>
            <w:pPr>
              <w:pStyle w:val="Tabletext"/>
              <w:keepLines w:val="1"/>
              <w:keepNext w:val="1"/>
            </w:pPr>
            <w:r>
              <w:t xml:space="preserve">Mudeli tunnusgrupid</w:t>
            </w:r>
          </w:p>
        </w:tc>
      </w:tr>
      <w:tr>
        <w:trPr>
          <w:cantSplit w:val="1"/>
        </w:trPr>
        <w:tc>
          <w:tcPr/>
          <w:p>
            <w:pPr>
              <w:pStyle w:val="Tabletext"/>
              <w:keepLines w:val="1"/>
              <w:keepNext w:val="1"/>
            </w:pPr>
            <w:r>
              <w:rPr>
                <w:rStyle w:val="VerbatimChar"/>
              </w:rPr>
              <w:t xml:space="preserve">used_features_lookback</w:t>
            </w:r>
          </w:p>
        </w:tc>
        <w:tc>
          <w:tcPr/>
          <w:p>
            <w:pPr>
              <w:pStyle w:val="Tabletext"/>
              <w:keepLines w:val="1"/>
              <w:keepNext w:val="1"/>
            </w:pPr>
            <w:r>
              <w:rPr>
                <w:rStyle w:val="VerbatimChar"/>
              </w:rPr>
              <w:t xml:space="preserve">int</w:t>
            </w:r>
          </w:p>
        </w:tc>
        <w:tc>
          <w:tcPr/>
          <w:p>
            <w:pPr>
              <w:pStyle w:val="Tabletext"/>
              <w:keepLines w:val="1"/>
              <w:keepNext w:val="1"/>
            </w:pPr>
            <w:r>
              <w:t xml:space="preserve">Tagasivaate sügavus</w:t>
            </w:r>
          </w:p>
        </w:tc>
      </w:tr>
      <w:tr>
        <w:trPr>
          <w:cantSplit w:val="1"/>
        </w:trPr>
        <w:tc>
          <w:tcPr/>
          <w:p>
            <w:pPr>
              <w:pStyle w:val="Tabletext"/>
              <w:keepLines w:val="1"/>
              <w:keepNext w:val="1"/>
            </w:pPr>
            <w:r>
              <w:rPr>
                <w:rStyle w:val="VerbatimChar"/>
              </w:rPr>
              <w:t xml:space="preserve">transformation</w:t>
            </w:r>
          </w:p>
        </w:tc>
        <w:tc>
          <w:tcPr/>
          <w:p>
            <w:pPr>
              <w:pStyle w:val="Tabletext"/>
              <w:keepLines w:val="1"/>
              <w:keepNext w:val="1"/>
            </w:pPr>
            <w:r>
              <w:rPr>
                <w:rStyle w:val="VerbatimChar"/>
              </w:rPr>
              <w:t xml:space="preserve">str</w:t>
            </w:r>
          </w:p>
        </w:tc>
        <w:tc>
          <w:tcPr/>
          <w:p>
            <w:pPr>
              <w:pStyle w:val="Tabletext"/>
              <w:keepLines w:val="1"/>
              <w:keepNext w:val="1"/>
            </w:pPr>
            <w:r>
              <w:t xml:space="preserve">Teisenduse strateegia</w:t>
            </w:r>
          </w:p>
        </w:tc>
      </w:tr>
      <w:tr>
        <w:trPr>
          <w:cantSplit w:val="1"/>
        </w:trPr>
        <w:tc>
          <w:tcPr/>
          <w:p>
            <w:pPr>
              <w:pStyle w:val="Tabletext"/>
              <w:keepLines w:val="1"/>
              <w:keepNext w:val="1"/>
            </w:pPr>
            <w:r>
              <w:rPr>
                <w:rStyle w:val="VerbatimChar"/>
              </w:rPr>
              <w:t xml:space="preserve">precision_neg</w:t>
            </w:r>
          </w:p>
        </w:tc>
        <w:tc>
          <w:tcPr/>
          <w:p>
            <w:pPr>
              <w:pStyle w:val="Tabletext"/>
              <w:keepLines w:val="1"/>
              <w:keepNext w:val="1"/>
            </w:pPr>
            <w:r>
              <w:rPr>
                <w:rStyle w:val="VerbatimChar"/>
              </w:rPr>
              <w:t xml:space="preserve">float</w:t>
            </w:r>
          </w:p>
        </w:tc>
        <w:tc>
          <w:tcPr/>
          <w:p>
            <w:pPr>
              <w:pStyle w:val="Tabletext"/>
              <w:keepLines w:val="1"/>
              <w:keepNext w:val="1"/>
            </w:pPr>
            <w:r>
              <w:t xml:space="preserve">Negatiivse klassi täpsus</w:t>
            </w:r>
          </w:p>
        </w:tc>
      </w:tr>
      <w:tr>
        <w:trPr>
          <w:cantSplit w:val="1"/>
        </w:trPr>
        <w:tc>
          <w:tcPr/>
          <w:p>
            <w:pPr>
              <w:pStyle w:val="Tabletext"/>
              <w:keepLines w:val="1"/>
              <w:keepNext w:val="1"/>
            </w:pPr>
            <w:r>
              <w:rPr>
                <w:rStyle w:val="VerbatimChar"/>
              </w:rPr>
              <w:t xml:space="preserve">precision_pos</w:t>
            </w:r>
          </w:p>
        </w:tc>
        <w:tc>
          <w:tcPr/>
          <w:p>
            <w:pPr>
              <w:pStyle w:val="Tabletext"/>
              <w:keepLines w:val="1"/>
              <w:keepNext w:val="1"/>
            </w:pPr>
            <w:r>
              <w:rPr>
                <w:rStyle w:val="VerbatimChar"/>
              </w:rPr>
              <w:t xml:space="preserve">float</w:t>
            </w:r>
          </w:p>
        </w:tc>
        <w:tc>
          <w:tcPr/>
          <w:p>
            <w:pPr>
              <w:pStyle w:val="Tabletext"/>
              <w:keepLines w:val="1"/>
              <w:keepNext w:val="1"/>
            </w:pPr>
            <w:r>
              <w:t xml:space="preserve">Positiivse klassi täpsus</w:t>
            </w:r>
          </w:p>
        </w:tc>
      </w:tr>
    </w:tbl>
    <w:p>
      <w:pPr>
        <w:pStyle w:val="BodyText"/>
        <w:keepNext w:val="1"/>
      </w:pPr>
      <w:r>
        <w:t xml:space="preserve"> </w:t>
      </w:r>
    </w:p>
    <w:p>
      <w:pPr>
        <w:pStyle w:val="Caption"/>
        <w:keepNext w:val="1"/>
      </w:pPr>
      <w:r>
        <w:t xml:space="preserve">Tabel 6.4 Spetsialistide grupi struktuur</w:t>
      </w:r>
    </w:p>
    <w:tbl>
      <w:tblPr>
        <w:tblStyle w:val="Table"/>
        <w:tblW w:type="pct" w:w="5000"/>
        <w:tblLayout w:type="fixed"/>
        <w:tblLook w:firstRow="1" w:lastRow="0" w:firstColumn="0" w:lastColumn="0" w:noHBand="0" w:noVBand="0" w:val="0020"/>
        <w:tblCaption w:val="Tabel 6.4 Spetsialistide grupi struktuu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771"/>
        <w:gridCol w:w="1875"/>
        <w:gridCol w:w="4272"/>
      </w:tblGrid>
      <w:tr>
        <w:trPr>
          <w:tblHeader w:val="on"/>
          <w:cantSplit w:val="1"/>
        </w:trPr>
        <w:tc>
          <w:tcPr/>
          <w:p>
            <w:pPr>
              <w:pStyle w:val="Tabelhead"/>
              <w:keepLines w:val="1"/>
              <w:keepNext w:val="1"/>
            </w:pPr>
            <w:r>
              <w:t xml:space="preserve">Väli</w:t>
            </w:r>
          </w:p>
        </w:tc>
        <w:tc>
          <w:tcPr/>
          <w:p>
            <w:pPr>
              <w:pStyle w:val="Tabelhead"/>
              <w:keepLines w:val="1"/>
              <w:keepNext w:val="1"/>
            </w:pPr>
            <w:r>
              <w:t xml:space="preserve">Tüüp</w:t>
            </w:r>
          </w:p>
        </w:tc>
        <w:tc>
          <w:tcPr/>
          <w:p>
            <w:pPr>
              <w:pStyle w:val="Tabelhead"/>
              <w:keepLines w:val="1"/>
              <w:keepNext w:val="1"/>
            </w:pPr>
            <w:r>
              <w:t xml:space="preserve">Eesmärk</w:t>
            </w:r>
          </w:p>
        </w:tc>
      </w:tr>
      <w:tr>
        <w:trPr>
          <w:cantSplit w:val="1"/>
        </w:trPr>
        <w:tc>
          <w:tcPr/>
          <w:p>
            <w:pPr>
              <w:pStyle w:val="Tabletext"/>
              <w:keepLines w:val="1"/>
              <w:keepNext w:val="1"/>
            </w:pPr>
            <w:r>
              <w:rPr>
                <w:rStyle w:val="VerbatimChar"/>
              </w:rPr>
              <w:t xml:space="preserve">target_name</w:t>
            </w:r>
          </w:p>
        </w:tc>
        <w:tc>
          <w:tcPr/>
          <w:p>
            <w:pPr>
              <w:pStyle w:val="Tabletext"/>
              <w:keepLines w:val="1"/>
              <w:keepNext w:val="1"/>
            </w:pPr>
            <w:r>
              <w:rPr>
                <w:rStyle w:val="VerbatimChar"/>
              </w:rPr>
              <w:t xml:space="preserve">str</w:t>
            </w:r>
          </w:p>
        </w:tc>
        <w:tc>
          <w:tcPr/>
          <w:p>
            <w:pPr>
              <w:pStyle w:val="Tabletext"/>
              <w:keepLines w:val="1"/>
              <w:keepNext w:val="1"/>
            </w:pPr>
            <w:r>
              <w:t xml:space="preserve">Sihtmärgi identifikaator</w:t>
            </w:r>
          </w:p>
        </w:tc>
      </w:tr>
      <w:tr>
        <w:trPr>
          <w:cantSplit w:val="1"/>
        </w:trPr>
        <w:tc>
          <w:tcPr/>
          <w:p>
            <w:pPr>
              <w:pStyle w:val="Tabletext"/>
              <w:keepLines w:val="1"/>
              <w:keepNext w:val="1"/>
            </w:pPr>
            <w:r>
              <w:rPr>
                <w:rStyle w:val="VerbatimChar"/>
              </w:rPr>
              <w:t xml:space="preserve">neg_specialists</w:t>
            </w:r>
          </w:p>
        </w:tc>
        <w:tc>
          <w:tcPr/>
          <w:p>
            <w:pPr>
              <w:pStyle w:val="Tabletext"/>
              <w:keepLines w:val="1"/>
              <w:keepNext w:val="1"/>
            </w:pPr>
            <w:r>
              <w:rPr>
                <w:rStyle w:val="VerbatimChar"/>
              </w:rPr>
              <w:t xml:space="preserve">list[Specialist]</w:t>
            </w:r>
          </w:p>
        </w:tc>
        <w:tc>
          <w:tcPr/>
          <w:p>
            <w:pPr>
              <w:pStyle w:val="Tabletext"/>
              <w:keepLines w:val="1"/>
              <w:keepNext w:val="1"/>
            </w:pPr>
            <w:r>
              <w:t xml:space="preserve">Top-K spetsialistid</w:t>
            </w:r>
            <w:r>
              <w:t xml:space="preserve"> </w:t>
            </w:r>
            <w:r>
              <w:rPr>
                <w:rStyle w:val="VerbatimChar"/>
              </w:rPr>
              <w:t xml:space="preserve">precision_neg</w:t>
            </w:r>
            <w:r>
              <w:t xml:space="preserve"> </w:t>
            </w:r>
            <w:r>
              <w:t xml:space="preserve">järgi</w:t>
            </w:r>
          </w:p>
        </w:tc>
      </w:tr>
      <w:tr>
        <w:trPr>
          <w:cantSplit w:val="1"/>
        </w:trPr>
        <w:tc>
          <w:tcPr/>
          <w:p>
            <w:pPr>
              <w:pStyle w:val="Tabletext"/>
              <w:keepLines w:val="1"/>
              <w:keepNext w:val="1"/>
            </w:pPr>
            <w:r>
              <w:rPr>
                <w:rStyle w:val="VerbatimChar"/>
              </w:rPr>
              <w:t xml:space="preserve">pos_specialists</w:t>
            </w:r>
          </w:p>
        </w:tc>
        <w:tc>
          <w:tcPr/>
          <w:p>
            <w:pPr>
              <w:pStyle w:val="Tabletext"/>
              <w:keepLines w:val="1"/>
              <w:keepNext w:val="1"/>
            </w:pPr>
            <w:r>
              <w:rPr>
                <w:rStyle w:val="VerbatimChar"/>
              </w:rPr>
              <w:t xml:space="preserve">list[Specialist]</w:t>
            </w:r>
          </w:p>
        </w:tc>
        <w:tc>
          <w:tcPr/>
          <w:p>
            <w:pPr>
              <w:pStyle w:val="Tabletext"/>
              <w:keepLines w:val="1"/>
              <w:keepNext w:val="1"/>
            </w:pPr>
            <w:r>
              <w:t xml:space="preserve">Top-K spetsialistid</w:t>
            </w:r>
            <w:r>
              <w:t xml:space="preserve"> </w:t>
            </w:r>
            <w:r>
              <w:rPr>
                <w:rStyle w:val="VerbatimChar"/>
              </w:rPr>
              <w:t xml:space="preserve">precision_pos</w:t>
            </w:r>
            <w:r>
              <w:t xml:space="preserve"> </w:t>
            </w:r>
            <w:r>
              <w:t xml:space="preserve">järgi</w:t>
            </w:r>
          </w:p>
        </w:tc>
      </w:tr>
    </w:tbl>
    <w:p>
      <w:pPr>
        <w:pStyle w:val="BodyText"/>
      </w:pPr>
      <w:r>
        <w:t xml:space="preserve"> </w:t>
      </w:r>
    </w:p>
    <w:p>
      <w:pPr>
        <w:pStyle w:val="BodyText"/>
      </w:pPr>
      <w:r>
        <w:rPr>
          <w:b/>
          <w:bCs/>
        </w:rPr>
        <w:t xml:space="preserve">Kahekordne täpsuse optimeerimine</w:t>
      </w:r>
      <w:r>
        <w:t xml:space="preserve">: Kõrge negatiivne täpsus tagab usaldusväärse</w:t>
      </w:r>
      <w:r>
        <w:t xml:space="preserve"> </w:t>
      </w:r>
      <w:r>
        <w:t xml:space="preserve">“lävendi ületamist ei toimu”</w:t>
      </w:r>
      <w:r>
        <w:t xml:space="preserve"> </w:t>
      </w:r>
      <w:r>
        <w:t xml:space="preserve">ennustuse, kõrge positiivne täpsus tagab usaldusväärse</w:t>
      </w:r>
      <w:r>
        <w:t xml:space="preserve"> </w:t>
      </w:r>
      <w:r>
        <w:t xml:space="preserve">“lävendi ületamine toimub”</w:t>
      </w:r>
      <w:r>
        <w:t xml:space="preserve"> </w:t>
      </w:r>
      <w:r>
        <w:t xml:space="preserve">ennustuse. Tüüpiliselt K=3, kusjuures sama mudel võib ilmuda mõlemas loendis.</w:t>
      </w:r>
    </w:p>
    <w:p>
      <w:pPr>
        <w:pStyle w:val="BodyText"/>
      </w:pPr>
      <w:r>
        <w:rPr>
          <w:b/>
          <w:bCs/>
        </w:rPr>
        <w:t xml:space="preserve">Andmebaasist laadimine</w:t>
      </w:r>
      <w:r>
        <w:t xml:space="preserve">: Süsteem teeb kaks eraldi päringut PostgreSQL andmebaasi: esimene hangib top-K mudelid negatiivse täpsuse järgi, teine positiivse täpsuse järgi. Sama mudel võib ilmuda mõlemas loendis, kui see on silmapaistev mõlema mõõdiku osas - sellisel juhul mudel panustab mõlemasse ansambliprognoos.</w:t>
      </w:r>
    </w:p>
    <w:p>
      <w:pPr>
        <w:pStyle w:val="BodyText"/>
      </w:pPr>
      <w:r>
        <w:rPr>
          <w:b/>
          <w:bCs/>
        </w:rPr>
        <w:t xml:space="preserve">Mudeli deserialiseerimine</w:t>
      </w:r>
      <w:r>
        <w:t xml:space="preserve">: Treenitud scikit-learn mudelid on salvestatud PostgreSQL-is joblib-serialiseeritud baitidena. Joblib deserialiseerimine rekonstrueerib täieliku otsustuspuu struktuuri, sealhulgas jaotuslävendid ja lehtede ennustused.</w:t>
      </w:r>
    </w:p>
    <w:p>
      <w:pPr>
        <w:pStyle w:val="BodyText"/>
      </w:pPr>
      <w:r>
        <w:rPr>
          <w:b/>
          <w:bCs/>
        </w:rPr>
        <w:t xml:space="preserve">Tunnusindeksi kaardistamine</w:t>
      </w:r>
      <w:r>
        <w:t xml:space="preserve">: Tõhusa veeruvaliku võimaldamiseks ehitab süsteem eelnevalt indeksikaardi, mis võimaldab O(1) veergude indeksite otsingut mistahes tunnusgrupi jaoks.</w:t>
      </w:r>
    </w:p>
    <w:bookmarkEnd w:id="133"/>
    <w:bookmarkStart w:id="134" w:name="üksiku-spetsialisti-ennustamine"/>
    <w:p>
      <w:pPr>
        <w:pStyle w:val="Heading2"/>
        <w:keepNext w:val="1"/>
      </w:pPr>
      <w:r>
        <w:t xml:space="preserve">Üksiku spetsialisti ennustamine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73"/>
        <w:gridCol w:w="2469"/>
        <w:gridCol w:w="3576"/>
      </w:tblGrid>
      <w:tr>
        <w:trPr>
          <w:tblHeader w:val="on"/>
          <w:cantSplit w:val="1"/>
        </w:trPr>
        <w:tc>
          <w:tcPr/>
          <w:p>
            <w:pPr>
              <w:pStyle w:val="Tabelhead"/>
              <w:keepLines w:val="1"/>
              <w:keepNext w:val="1"/>
            </w:pPr>
            <w:r>
              <w:t xml:space="preserve">Samm</w:t>
            </w:r>
          </w:p>
        </w:tc>
        <w:tc>
          <w:tcPr/>
          <w:p>
            <w:pPr>
              <w:pStyle w:val="Tabelhead"/>
              <w:keepLines w:val="1"/>
              <w:keepNext w:val="1"/>
            </w:pPr>
            <w:r>
              <w:t xml:space="preserve">Sisend</w:t>
            </w:r>
          </w:p>
        </w:tc>
        <w:tc>
          <w:tcPr/>
          <w:p>
            <w:pPr>
              <w:pStyle w:val="Tabelhead"/>
              <w:keepLines w:val="1"/>
              <w:keepNext w:val="1"/>
            </w:pPr>
            <w:r>
              <w:t xml:space="preserve">Väljund</w:t>
            </w:r>
          </w:p>
        </w:tc>
      </w:tr>
      <w:tr>
        <w:trPr>
          <w:cantSplit w:val="1"/>
        </w:trPr>
        <w:tc>
          <w:tcPr/>
          <w:p>
            <w:pPr>
              <w:pStyle w:val="Tabletext"/>
              <w:keepLines w:val="1"/>
              <w:keepNext w:val="1"/>
            </w:pPr>
            <w:r>
              <w:t xml:space="preserve">Tunnuste eraldamine</w:t>
            </w:r>
          </w:p>
        </w:tc>
        <w:tc>
          <w:tcPr/>
          <w:p>
            <w:pPr>
              <w:pStyle w:val="Tabletext"/>
              <w:keepLines w:val="1"/>
              <w:keepNext w:val="1"/>
            </w:pPr>
            <w:r>
              <w:t xml:space="preserve">Tunnusgrupi nimed</w:t>
            </w:r>
          </w:p>
        </w:tc>
        <w:tc>
          <w:tcPr/>
          <w:p>
            <w:pPr>
              <w:pStyle w:val="Tabletext"/>
              <w:keepLines w:val="1"/>
              <w:keepNext w:val="1"/>
            </w:pPr>
            <w:r>
              <w:t xml:space="preserve">Valikuline maatriksi slice</w:t>
            </w:r>
          </w:p>
        </w:tc>
      </w:tr>
      <w:tr>
        <w:trPr>
          <w:cantSplit w:val="1"/>
        </w:trPr>
        <w:tc>
          <w:tcPr/>
          <w:p>
            <w:pPr>
              <w:pStyle w:val="Tabletext"/>
              <w:keepLines w:val="1"/>
              <w:keepNext w:val="1"/>
            </w:pPr>
            <w:r>
              <w:t xml:space="preserve">Teisenduse rakendamine</w:t>
            </w:r>
          </w:p>
        </w:tc>
        <w:tc>
          <w:tcPr/>
          <w:p>
            <w:pPr>
              <w:pStyle w:val="Tabletext"/>
              <w:keepLines w:val="1"/>
              <w:keepNext w:val="1"/>
            </w:pPr>
            <w:r>
              <w:t xml:space="preserve">Treeningkontekst + testandmed</w:t>
            </w:r>
          </w:p>
        </w:tc>
        <w:tc>
          <w:tcPr/>
          <w:p>
            <w:pPr>
              <w:pStyle w:val="Tabletext"/>
              <w:keepLines w:val="1"/>
              <w:keepNext w:val="1"/>
            </w:pPr>
            <w:r>
              <w:t xml:space="preserve">Z-skoor või Fibonacci-astmelised väärtused</w:t>
            </w:r>
          </w:p>
        </w:tc>
      </w:tr>
      <w:tr>
        <w:trPr>
          <w:cantSplit w:val="1"/>
        </w:trPr>
        <w:tc>
          <w:tcPr/>
          <w:p>
            <w:pPr>
              <w:pStyle w:val="Tabletext"/>
              <w:keepLines w:val="1"/>
              <w:keepNext w:val="1"/>
            </w:pPr>
            <w:r>
              <w:t xml:space="preserve">Ennustus</w:t>
            </w:r>
          </w:p>
        </w:tc>
        <w:tc>
          <w:tcPr/>
          <w:p>
            <w:pPr>
              <w:pStyle w:val="Tabletext"/>
              <w:keepLines w:val="1"/>
              <w:keepNext w:val="1"/>
            </w:pPr>
            <w:r>
              <w:t xml:space="preserve">Teisendatud tunnused</w:t>
            </w:r>
          </w:p>
        </w:tc>
        <w:tc>
          <w:tcPr/>
          <w:p>
            <w:pPr>
              <w:pStyle w:val="Tabletext"/>
              <w:keepLines w:val="1"/>
              <w:keepNext w:val="1"/>
            </w:pPr>
            <w:r>
              <w:t xml:space="preserve">Binaarne täisarv (0 või 1)</w:t>
            </w:r>
          </w:p>
        </w:tc>
      </w:tr>
    </w:tbl>
    <w:p>
      <w:pPr>
        <w:pStyle w:val="BodyText"/>
      </w:pPr>
      <w:r>
        <w:t xml:space="preserve"> </w:t>
      </w:r>
    </w:p>
    <w:p>
      <w:pPr>
        <w:pStyle w:val="BodyText"/>
      </w:pPr>
      <w:r>
        <w:rPr>
          <w:b/>
          <w:bCs/>
        </w:rPr>
        <w:t xml:space="preserve">Tunnusveergude eraldamine</w:t>
      </w:r>
      <w:r>
        <w:t xml:space="preserve">: Iga spetsialisti kasutatud tunnusgrupi nime jaoks leitakse indeksikaardist vastav veergude indeksite loend. Kui spetsialist kasutab tunnuseid</w:t>
      </w:r>
      <w:r>
        <w:t xml:space="preserve"> </w:t>
      </w:r>
      <w:r>
        <w:rPr>
          <w:rStyle w:val="VerbatimChar"/>
        </w:rPr>
        <w:t xml:space="preserve">["t_sum_vol", "o_sw_imb"]</w:t>
      </w:r>
      <w:r>
        <w:t xml:space="preserve"> </w:t>
      </w:r>
      <w:r>
        <w:t xml:space="preserve">tagasivaatega 12, eraldab see 26 veergu (13 ajalist nihet × 2 tunnusgruppi).</w:t>
      </w:r>
    </w:p>
    <w:p>
      <w:pPr>
        <w:pStyle w:val="BodyText"/>
      </w:pPr>
      <w:r>
        <w:rPr>
          <w:b/>
          <w:bCs/>
        </w:rPr>
        <w:t xml:space="preserve">Teisenduse rakendamine</w:t>
      </w:r>
      <w:r>
        <w:t xml:space="preserve">: Z-skoori normaliseerimise puhul arvutatakse puhvrist keskmine ja standardhälve, seejärel normaliseeritakse viimane vaatlus niiviisi, et andmed oleksid täpselt samas formaadis nagu olid treening andmed. Fibonacci-viivitusega astmeliste puhul luuakse momentumindikaatoreid üle ajalise dimensiooni, võrreldes praeguseid väärtusi mineviku väärtustega Fibonacci-järjestuse viidete põhjal (2, 3, 5, 8, 13 aknaid tagasi), nagu kirjeldatud peatükis 5.5. Teisenduse strateegia (</w:t>
      </w:r>
      <w:r>
        <w:rPr>
          <w:rStyle w:val="VerbatimChar"/>
        </w:rPr>
        <w:t xml:space="preserve">none</w:t>
      </w:r>
      <w:r>
        <w:t xml:space="preserve">,</w:t>
      </w:r>
      <w:r>
        <w:t xml:space="preserve"> </w:t>
      </w:r>
      <w:r>
        <w:rPr>
          <w:rStyle w:val="VerbatimChar"/>
        </w:rPr>
        <w:t xml:space="preserve">zscore</w:t>
      </w:r>
      <w:r>
        <w:t xml:space="preserve">,</w:t>
      </w:r>
      <w:r>
        <w:t xml:space="preserve"> </w:t>
      </w:r>
      <w:r>
        <w:rPr>
          <w:rStyle w:val="VerbatimChar"/>
        </w:rPr>
        <w:t xml:space="preserve">stepper_fibo</w:t>
      </w:r>
      <w:r>
        <w:t xml:space="preserve">,</w:t>
      </w:r>
      <w:r>
        <w:t xml:space="preserve"> </w:t>
      </w:r>
      <w:r>
        <w:rPr>
          <w:rStyle w:val="VerbatimChar"/>
        </w:rPr>
        <w:t xml:space="preserve">zscore_stepper_fibo</w:t>
      </w:r>
      <w:r>
        <w:t xml:space="preserve">) määratakse treeningu ajal vastavalt tabelis 5.3 kirjeldatud strateegia valikule.</w:t>
      </w:r>
    </w:p>
    <w:bookmarkEnd w:id="134"/>
    <w:bookmarkStart w:id="135" w:name="häälteenamuse-agregeerimine"/>
    <w:p>
      <w:pPr>
        <w:pStyle w:val="Heading2"/>
      </w:pPr>
      <w:r>
        <w:t xml:space="preserve">Häälteenamuse agregeerimine</w:t>
      </w:r>
    </w:p>
    <w:p>
      <w:pPr>
        <w:pStyle w:val="BodyText"/>
      </w:pPr>
      <w:r>
        <w:rPr>
          <w:b/>
          <w:bCs/>
        </w:rPr>
        <w:t xml:space="preserve">Häälte lugemine</w:t>
      </w:r>
      <w:r>
        <w:t xml:space="preserve">: Iga spetsialistide grupi kohta loendatakse, mitu spetsialisti ennustab klassi 0 ja mitu klassi 1. Võrdsete häälte korral vaikimisi klass 0 (konservatiivne kallutus).</w:t>
      </w:r>
    </w:p>
    <w:p>
      <w:pPr>
        <w:pStyle w:val="BodyText"/>
      </w:pPr>
      <w:r>
        <w:rPr>
          <w:b/>
          <w:bCs/>
        </w:rPr>
        <w:t xml:space="preserve">Täpsuskaalutud usaldusväärsus</w:t>
      </w:r>
      <w:r>
        <w:t xml:space="preserve">: Usaldusväärsus = nõustuvate spetsialistide täpsuste keskmine. Kui kolm spetsialisti täpsustega 0.8, 0.9, 0.7 ennustavad klassi 1, on usaldusväärsus 0.8.</w:t>
      </w:r>
    </w:p>
    <w:p>
      <w:pPr>
        <w:pStyle w:val="BodyText"/>
      </w:pPr>
      <w:r>
        <w:rPr>
          <w:b/>
          <w:bCs/>
        </w:rPr>
        <w:t xml:space="preserve">Kahekordse ansambli väljund</w:t>
      </w:r>
      <w:r>
        <w:t xml:space="preserve">: Iga sihtmärgi kohta genereerivad nii negatiivne kui positiivne ansambel sõltumatud ennustused, võimaldades riskiteadlikku tõlgendamist.</w:t>
      </w:r>
    </w:p>
    <w:bookmarkEnd w:id="135"/>
    <w:bookmarkStart w:id="136" w:name="lävipõhine-suunaline-süntees"/>
    <w:p>
      <w:pPr>
        <w:pStyle w:val="Heading2"/>
      </w:pPr>
      <w:r>
        <w:t xml:space="preserve">Lävipõhine suunaline süntees</w:t>
      </w:r>
    </w:p>
    <w:p>
      <w:pPr>
        <w:pStyle w:val="BodyText"/>
      </w:pPr>
      <w:r>
        <w:rPr>
          <w:b/>
          <w:bCs/>
        </w:rPr>
        <w:t xml:space="preserve">Sihtmärgi nime parsimine</w:t>
      </w:r>
      <w:r>
        <w:t xml:space="preserve">: Formaat target_{price_type}</w:t>
      </w:r>
      <w:r>
        <w:rPr>
          <w:i/>
          <w:iCs/>
        </w:rPr>
        <w:t xml:space="preserve">{direction}</w:t>
      </w:r>
      <w:r>
        <w:t xml:space="preserve">{threshold}p → target_high_up_0.09p.</w:t>
      </w:r>
    </w:p>
    <w:p>
      <w:pPr>
        <w:pStyle w:val="BodyText"/>
        <w:keepNext w:val="1"/>
      </w:pPr>
      <w:r>
        <w:rPr>
          <w:b/>
          <w:bCs/>
        </w:rPr>
        <w:t xml:space="preserve">Vahemiku tuletamine</w:t>
      </w:r>
      <w:r>
        <w:t xml:space="preserve">: Filtreeri asjakohased ennustused → sorteeri läve järgi → leia esimene/viimane positiivne lävi (nõustumine ≥50%, filtreerides madala usaldusväärsusega signaalid) → vahemiku piirid.</w:t>
      </w:r>
    </w:p>
    <w:p>
      <w:pPr>
        <w:pStyle w:val="Caption"/>
        <w:keepNext w:val="1"/>
      </w:pPr>
      <w:r>
        <w:t xml:space="preserve">Tabel 6.5 Suunalise klassifitseerimise loogika</w:t>
      </w:r>
    </w:p>
    <w:tbl>
      <w:tblPr>
        <w:tblStyle w:val="Table"/>
        <w:tblW w:type="pct" w:w="5000"/>
        <w:tblLayout w:type="fixed"/>
        <w:tblLook w:firstRow="1" w:lastRow="0" w:firstColumn="0" w:lastColumn="0" w:noHBand="0" w:noVBand="0" w:val="0020"/>
        <w:tblCaption w:val="Tabel 6.5 Suunalise klassifitseerimise loogik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377"/>
        <w:gridCol w:w="1377"/>
        <w:gridCol w:w="1147"/>
        <w:gridCol w:w="4017"/>
      </w:tblGrid>
      <w:tr>
        <w:trPr>
          <w:tblHeader w:val="on"/>
          <w:cantSplit w:val="1"/>
        </w:trPr>
        <w:tc>
          <w:tcPr/>
          <w:p>
            <w:pPr>
              <w:pStyle w:val="Tabelhead"/>
              <w:keepLines w:val="1"/>
              <w:keepNext w:val="1"/>
            </w:pPr>
            <w:r>
              <w:t xml:space="preserve">Üles vahemik</w:t>
            </w:r>
          </w:p>
        </w:tc>
        <w:tc>
          <w:tcPr/>
          <w:p>
            <w:pPr>
              <w:pStyle w:val="Tabelhead"/>
              <w:keepLines w:val="1"/>
              <w:keepNext w:val="1"/>
            </w:pPr>
            <w:r>
              <w:t xml:space="preserve">Alla vahemik</w:t>
            </w:r>
          </w:p>
        </w:tc>
        <w:tc>
          <w:tcPr/>
          <w:p>
            <w:pPr>
              <w:pStyle w:val="Tabelhead"/>
              <w:keepLines w:val="1"/>
              <w:keepNext w:val="1"/>
            </w:pPr>
            <w:r>
              <w:t xml:space="preserve">Suund</w:t>
            </w:r>
          </w:p>
        </w:tc>
        <w:tc>
          <w:tcPr/>
          <w:p>
            <w:pPr>
              <w:pStyle w:val="Tabelhead"/>
              <w:keepLines w:val="1"/>
              <w:keepNext w:val="1"/>
            </w:pPr>
            <w:r>
              <w:t xml:space="preserve">Tõlgendus</w:t>
            </w:r>
          </w:p>
        </w:tc>
      </w:tr>
      <w:tr>
        <w:trPr>
          <w:cantSplit w:val="1"/>
        </w:trPr>
        <w:tc>
          <w:tcPr/>
          <w:p>
            <w:pPr>
              <w:pStyle w:val="Tabletext"/>
              <w:keepLines w:val="1"/>
              <w:keepNext w:val="1"/>
            </w:pPr>
            <w:r>
              <w:t xml:space="preserve">Olemas</w:t>
            </w:r>
          </w:p>
        </w:tc>
        <w:tc>
          <w:tcPr/>
          <w:p>
            <w:pPr>
              <w:pStyle w:val="Tabletext"/>
              <w:keepLines w:val="1"/>
              <w:keepNext w:val="1"/>
            </w:pPr>
            <w:r>
              <w:t xml:space="preserve">Puudub</w:t>
            </w:r>
          </w:p>
        </w:tc>
        <w:tc>
          <w:tcPr/>
          <w:p>
            <w:pPr>
              <w:pStyle w:val="Tabletext"/>
              <w:keepLines w:val="1"/>
              <w:keepNext w:val="1"/>
            </w:pPr>
            <w:r>
              <w:t xml:space="preserve">“up”</w:t>
            </w:r>
          </w:p>
        </w:tc>
        <w:tc>
          <w:tcPr/>
          <w:p>
            <w:pPr>
              <w:pStyle w:val="Tabletext"/>
              <w:keepLines w:val="1"/>
              <w:keepNext w:val="1"/>
            </w:pPr>
            <w:r>
              <w:t xml:space="preserve">Tõusev liikumine</w:t>
            </w:r>
          </w:p>
        </w:tc>
      </w:tr>
      <w:tr>
        <w:trPr>
          <w:cantSplit w:val="1"/>
        </w:trPr>
        <w:tc>
          <w:tcPr/>
          <w:p>
            <w:pPr>
              <w:pStyle w:val="Tabletext"/>
              <w:keepLines w:val="1"/>
              <w:keepNext w:val="1"/>
            </w:pPr>
            <w:r>
              <w:t xml:space="preserve">Puudub</w:t>
            </w:r>
          </w:p>
        </w:tc>
        <w:tc>
          <w:tcPr/>
          <w:p>
            <w:pPr>
              <w:pStyle w:val="Tabletext"/>
              <w:keepLines w:val="1"/>
              <w:keepNext w:val="1"/>
            </w:pPr>
            <w:r>
              <w:t xml:space="preserve">Olemas</w:t>
            </w:r>
          </w:p>
        </w:tc>
        <w:tc>
          <w:tcPr/>
          <w:p>
            <w:pPr>
              <w:pStyle w:val="Tabletext"/>
              <w:keepLines w:val="1"/>
              <w:keepNext w:val="1"/>
            </w:pPr>
            <w:r>
              <w:t xml:space="preserve">“down”</w:t>
            </w:r>
          </w:p>
        </w:tc>
        <w:tc>
          <w:tcPr/>
          <w:p>
            <w:pPr>
              <w:pStyle w:val="Tabletext"/>
              <w:keepLines w:val="1"/>
              <w:keepNext w:val="1"/>
            </w:pPr>
            <w:r>
              <w:t xml:space="preserve">Langev liikumine</w:t>
            </w:r>
          </w:p>
        </w:tc>
      </w:tr>
      <w:tr>
        <w:trPr>
          <w:cantSplit w:val="1"/>
        </w:trPr>
        <w:tc>
          <w:tcPr/>
          <w:p>
            <w:pPr>
              <w:pStyle w:val="Tabletext"/>
              <w:keepLines w:val="1"/>
              <w:keepNext w:val="1"/>
            </w:pPr>
            <w:r>
              <w:t xml:space="preserve">Olemas</w:t>
            </w:r>
          </w:p>
        </w:tc>
        <w:tc>
          <w:tcPr/>
          <w:p>
            <w:pPr>
              <w:pStyle w:val="Tabletext"/>
              <w:keepLines w:val="1"/>
              <w:keepNext w:val="1"/>
            </w:pPr>
            <w:r>
              <w:t xml:space="preserve">Olemas</w:t>
            </w:r>
          </w:p>
        </w:tc>
        <w:tc>
          <w:tcPr/>
          <w:p>
            <w:pPr>
              <w:pStyle w:val="Tabletext"/>
              <w:keepLines w:val="1"/>
              <w:keepNext w:val="1"/>
            </w:pPr>
            <w:r>
              <w:t xml:space="preserve">“volatile”</w:t>
            </w:r>
          </w:p>
        </w:tc>
        <w:tc>
          <w:tcPr/>
          <w:p>
            <w:pPr>
              <w:pStyle w:val="Tabletext"/>
              <w:keepLines w:val="1"/>
              <w:keepNext w:val="1"/>
            </w:pPr>
            <w:r>
              <w:t xml:space="preserve">Suur liikumine, suund ebakindel</w:t>
            </w:r>
          </w:p>
        </w:tc>
      </w:tr>
      <w:tr>
        <w:trPr>
          <w:cantSplit w:val="1"/>
        </w:trPr>
        <w:tc>
          <w:tcPr/>
          <w:p>
            <w:pPr>
              <w:pStyle w:val="Tabletext"/>
              <w:keepLines w:val="1"/>
              <w:keepNext w:val="1"/>
            </w:pPr>
            <w:r>
              <w:t xml:space="preserve">Puudub</w:t>
            </w:r>
          </w:p>
        </w:tc>
        <w:tc>
          <w:tcPr/>
          <w:p>
            <w:pPr>
              <w:pStyle w:val="Tabletext"/>
              <w:keepLines w:val="1"/>
              <w:keepNext w:val="1"/>
            </w:pPr>
            <w:r>
              <w:t xml:space="preserve">Puudub</w:t>
            </w:r>
          </w:p>
        </w:tc>
        <w:tc>
          <w:tcPr/>
          <w:p>
            <w:pPr>
              <w:pStyle w:val="Tabletext"/>
              <w:keepLines w:val="1"/>
              <w:keepNext w:val="1"/>
            </w:pPr>
            <w:r>
              <w:t xml:space="preserve">“stable”</w:t>
            </w:r>
          </w:p>
        </w:tc>
        <w:tc>
          <w:tcPr/>
          <w:p>
            <w:pPr>
              <w:pStyle w:val="Tabletext"/>
              <w:keepLines w:val="1"/>
              <w:keepNext w:val="1"/>
            </w:pPr>
            <w:r>
              <w:t xml:space="preserve">Märkimisväärset liikumist ei oodata</w:t>
            </w:r>
          </w:p>
        </w:tc>
      </w:tr>
    </w:tbl>
    <w:p>
      <w:pPr>
        <w:pStyle w:val="BodyText"/>
        <w:keepNext w:val="1"/>
      </w:pPr>
      <w:r>
        <w:t xml:space="preserve"> </w:t>
      </w:r>
    </w:p>
    <w:p>
      <w:pPr>
        <w:pStyle w:val="Caption"/>
        <w:keepNext w:val="1"/>
      </w:pPr>
      <w:r>
        <w:t xml:space="preserve">Tabel 6.6 Usaldusväärsuse hindamine suuna järgi</w:t>
      </w:r>
    </w:p>
    <w:tbl>
      <w:tblPr>
        <w:tblStyle w:val="Table"/>
        <w:tblW w:type="auto" w:w="0"/>
        <w:tblLook w:firstRow="1" w:lastRow="0" w:firstColumn="0" w:lastColumn="0" w:noHBand="0" w:noVBand="0" w:val="0020"/>
        <w:tblCaption w:val="Tabel 6.6 Usaldusväärsuse hindamine suuna järgi"/>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cantSplit w:val="1"/>
        </w:trPr>
        <w:tc>
          <w:tcPr/>
          <w:p>
            <w:pPr>
              <w:pStyle w:val="Tabelhead"/>
              <w:keepLines w:val="1"/>
              <w:keepNext w:val="1"/>
            </w:pPr>
            <w:r>
              <w:t xml:space="preserve">Suund</w:t>
            </w:r>
          </w:p>
        </w:tc>
        <w:tc>
          <w:tcPr/>
          <w:p>
            <w:pPr>
              <w:pStyle w:val="Tabelhead"/>
              <w:keepLines w:val="1"/>
              <w:keepNext w:val="1"/>
            </w:pPr>
            <w:r>
              <w:t xml:space="preserve">Usaldusväärsuse arvutus</w:t>
            </w:r>
          </w:p>
        </w:tc>
      </w:tr>
      <w:tr>
        <w:trPr>
          <w:cantSplit w:val="1"/>
        </w:trPr>
        <w:tc>
          <w:tcPr/>
          <w:p>
            <w:pPr>
              <w:pStyle w:val="Tabletext"/>
              <w:keepLines w:val="1"/>
              <w:keepNext w:val="1"/>
            </w:pPr>
            <w:r>
              <w:t xml:space="preserve">Stable</w:t>
            </w:r>
          </w:p>
        </w:tc>
        <w:tc>
          <w:tcPr/>
          <w:p>
            <w:pPr>
              <w:pStyle w:val="Tabletext"/>
              <w:keepLines w:val="1"/>
              <w:keepNext w:val="1"/>
            </w:pPr>
            <w:r>
              <w:t xml:space="preserve">Keskmine negatiivne nõustumine</w:t>
            </w:r>
          </w:p>
        </w:tc>
      </w:tr>
      <w:tr>
        <w:trPr>
          <w:cantSplit w:val="1"/>
        </w:trPr>
        <w:tc>
          <w:tcPr/>
          <w:p>
            <w:pPr>
              <w:pStyle w:val="Tabletext"/>
              <w:keepLines w:val="1"/>
              <w:keepNext w:val="1"/>
            </w:pPr>
            <w:r>
              <w:t xml:space="preserve">Volatile</w:t>
            </w:r>
          </w:p>
        </w:tc>
        <w:tc>
          <w:tcPr/>
          <w:p>
            <w:pPr>
              <w:pStyle w:val="Tabletext"/>
              <w:keepLines w:val="1"/>
              <w:keepNext w:val="1"/>
            </w:pPr>
            <w:r>
              <w:t xml:space="preserve">Fikseeritud 0.5 (fundamentaalne ebakindlus suuna osas)</w:t>
            </w:r>
          </w:p>
        </w:tc>
      </w:tr>
      <w:tr>
        <w:trPr>
          <w:cantSplit w:val="1"/>
        </w:trPr>
        <w:tc>
          <w:tcPr/>
          <w:p>
            <w:pPr>
              <w:pStyle w:val="Tabletext"/>
              <w:keepLines w:val="1"/>
              <w:keepNext w:val="1"/>
            </w:pPr>
            <w:r>
              <w:t xml:space="preserve">Up/Down</w:t>
            </w:r>
          </w:p>
        </w:tc>
        <w:tc>
          <w:tcPr/>
          <w:p>
            <w:pPr>
              <w:pStyle w:val="Tabletext"/>
              <w:keepLines w:val="1"/>
              <w:keepNext w:val="1"/>
            </w:pPr>
            <w:r>
              <w:t xml:space="preserve">Keskmine positiivne usaldusväärsus suuna järgi</w:t>
            </w:r>
          </w:p>
        </w:tc>
      </w:tr>
    </w:tbl>
    <w:p>
      <w:pPr>
        <w:pStyle w:val="BodyText"/>
      </w:pPr>
      <w:r>
        <w:t xml:space="preserve"> </w:t>
      </w:r>
    </w:p>
    <w:bookmarkEnd w:id="136"/>
    <w:bookmarkStart w:id="137" w:name="reaalajas-ennustamise-orkestratsioon"/>
    <w:p>
      <w:pPr>
        <w:pStyle w:val="Heading2"/>
      </w:pPr>
      <w:r>
        <w:t xml:space="preserve">Reaalajas ennustamise orkestratsioon</w:t>
      </w:r>
    </w:p>
    <w:p>
      <w:pPr>
        <w:pStyle w:val="BodyText"/>
      </w:pPr>
      <w:r>
        <w:rPr>
          <w:b/>
          <w:bCs/>
        </w:rPr>
        <w:t xml:space="preserve">Voogedastuse uuendused</w:t>
      </w:r>
      <w:r>
        <w:t xml:space="preserve">: Andmed saabuvad tagasikutsemeetodite kaudu eraldi tehingu ja orderi akende jaoks. Tagastusväärtus näitab akna valmimist, võimaldades ülesvoolu koodil käivitada ennustusi ainult siis, kui uued andmed on saadaval.</w:t>
      </w:r>
    </w:p>
    <w:p>
      <w:pPr>
        <w:pStyle w:val="BodyText"/>
      </w:pPr>
      <w:r>
        <w:t xml:space="preserve">Põhiline ennustusmeetod:</w:t>
      </w:r>
    </w:p>
    <w:p>
      <w:pPr>
        <w:pStyle w:val="ListNumbered"/>
      </w:pPr>
      <w:r>
        <w:t xml:space="preserve">Piisavuse kontroll (puhvri suurus ≥ tagasivaate sügavus + 1)</w:t>
      </w:r>
    </w:p>
    <w:p>
      <w:pPr>
        <w:pStyle w:val="ListNumbered"/>
      </w:pPr>
      <w:r>
        <w:t xml:space="preserve">Puhvri lõikamine (viimased N akent, kus N ≤ maksimaalse treeningu andmete pikkusega, vaikimisi 2000, pakkudes piisavat konteksti transformatsioonidele)</w:t>
      </w:r>
    </w:p>
    <w:p>
      <w:pPr>
        <w:pStyle w:val="ListNumbered"/>
      </w:pPr>
      <w:r>
        <w:t xml:space="preserve">Ajaline joondamine (k-nihke liitmised luues tagasivaateveerud)</w:t>
      </w:r>
    </w:p>
    <w:p>
      <w:pPr>
        <w:pStyle w:val="ListNumbered"/>
      </w:pPr>
      <w:r>
        <w:t xml:space="preserve">NumPy massiiviks lamendamine</w:t>
      </w:r>
    </w:p>
    <w:p>
      <w:pPr>
        <w:pStyle w:val="ListNumbered"/>
      </w:pPr>
      <w:r>
        <w:t xml:space="preserve">Ennustuste genereerimine iga sihtmärgi jaoks</w:t>
      </w:r>
    </w:p>
    <w:p>
      <w:pPr>
        <w:pStyle w:val="ListNumbered"/>
      </w:pPr>
      <w:r>
        <w:t xml:space="preserve">Kokkuvõtte kombineerimine</w:t>
      </w:r>
    </w:p>
    <w:p>
      <w:pPr>
        <w:pStyle w:val="BodyText"/>
      </w:pPr>
      <w:r>
        <w:rPr>
          <w:b/>
          <w:bCs/>
        </w:rPr>
        <w:t xml:space="preserve">Ennustushorisont</w:t>
      </w:r>
      <w:r>
        <w:t xml:space="preserve">: Ennustuse aeg arvutatakse akna lõpuajast liites juurde kolmekordse akna suuruse (90 sekundit 30-sekundiliste akende puhul), mis vastab treeningu sihtmärgi horisondile (lõdvendatud sobitamine üle akende 1-3).</w:t>
      </w:r>
    </w:p>
    <w:bookmarkEnd w:id="137"/>
    <w:bookmarkStart w:id="138" w:name="ennustuse-väljundformaat"/>
    <w:p>
      <w:pPr>
        <w:pStyle w:val="Heading2"/>
        <w:keepNext w:val="1"/>
      </w:pPr>
      <w:r>
        <w:t xml:space="preserve">Ennustuse väljundformaat</w:t>
      </w:r>
    </w:p>
    <w:p>
      <w:pPr>
        <w:pStyle w:val="Caption"/>
        <w:keepNext w:val="1"/>
      </w:pPr>
      <w:r>
        <w:t xml:space="preserve">Tabel 6.7 Sihtmärgi ennustuse struktuur (</w:t>
      </w:r>
      <w:r>
        <w:rPr>
          <w:rStyle w:val="VerbatimChar"/>
        </w:rPr>
        <w:t xml:space="preserve">TargetPrediction</w:t>
      </w:r>
      <w:r>
        <w:t xml:space="preserve">)</w:t>
      </w:r>
    </w:p>
    <w:tbl>
      <w:tblPr>
        <w:tblStyle w:val="Table"/>
        <w:tblW w:type="pct" w:w="5000"/>
        <w:tblLayout w:type="fixed"/>
        <w:tblLook w:firstRow="1" w:lastRow="0" w:firstColumn="0" w:lastColumn="0" w:noHBand="0" w:noVBand="0" w:val="0020"/>
        <w:tblCaption w:val="Tabel 6.7 Sihtmärgi ennustuse struktuur (TargetPrediction)"/>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1257"/>
        <w:gridCol w:w="4022"/>
      </w:tblGrid>
      <w:tr>
        <w:trPr>
          <w:tblHeader w:val="on"/>
          <w:cantSplit w:val="1"/>
        </w:trPr>
        <w:tc>
          <w:tcPr/>
          <w:p>
            <w:pPr>
              <w:pStyle w:val="Tabelhead"/>
              <w:keepLines w:val="1"/>
              <w:keepNext w:val="1"/>
            </w:pPr>
            <w:r>
              <w:t xml:space="preserve">Väli</w:t>
            </w:r>
          </w:p>
        </w:tc>
        <w:tc>
          <w:tcPr/>
          <w:p>
            <w:pPr>
              <w:pStyle w:val="Tabelhead"/>
              <w:keepLines w:val="1"/>
              <w:keepNext w:val="1"/>
            </w:pPr>
            <w:r>
              <w:t xml:space="preserve">Tüüp</w:t>
            </w:r>
          </w:p>
        </w:tc>
        <w:tc>
          <w:tcPr/>
          <w:p>
            <w:pPr>
              <w:pStyle w:val="Tabelhead"/>
              <w:keepLines w:val="1"/>
              <w:keepNext w:val="1"/>
            </w:pPr>
            <w:r>
              <w:t xml:space="preserve">Eesmärk</w:t>
            </w:r>
          </w:p>
        </w:tc>
      </w:tr>
      <w:tr>
        <w:trPr>
          <w:cantSplit w:val="1"/>
        </w:trPr>
        <w:tc>
          <w:tcPr/>
          <w:p>
            <w:pPr>
              <w:pStyle w:val="Tabletext"/>
              <w:keepLines w:val="1"/>
              <w:keepNext w:val="1"/>
            </w:pPr>
            <w:r>
              <w:rPr>
                <w:rStyle w:val="VerbatimChar"/>
              </w:rPr>
              <w:t xml:space="preserve">prediction_for_timestamp</w:t>
            </w:r>
          </w:p>
        </w:tc>
        <w:tc>
          <w:tcPr/>
          <w:p>
            <w:pPr>
              <w:pStyle w:val="Tabletext"/>
              <w:keepLines w:val="1"/>
              <w:keepNext w:val="1"/>
            </w:pPr>
            <w:r>
              <w:rPr>
                <w:rStyle w:val="VerbatimChar"/>
              </w:rPr>
              <w:t xml:space="preserve">datetime</w:t>
            </w:r>
          </w:p>
        </w:tc>
        <w:tc>
          <w:tcPr/>
          <w:p>
            <w:pPr>
              <w:pStyle w:val="Tabletext"/>
              <w:keepLines w:val="1"/>
              <w:keepNext w:val="1"/>
            </w:pPr>
            <w:r>
              <w:t xml:space="preserve">Ennustuse sihtaeg</w:t>
            </w:r>
          </w:p>
        </w:tc>
      </w:tr>
      <w:tr>
        <w:trPr>
          <w:cantSplit w:val="1"/>
        </w:trPr>
        <w:tc>
          <w:tcPr/>
          <w:p>
            <w:pPr>
              <w:pStyle w:val="Tabletext"/>
              <w:keepLines w:val="1"/>
              <w:keepNext w:val="1"/>
            </w:pPr>
            <w:r>
              <w:rPr>
                <w:rStyle w:val="VerbatimChar"/>
              </w:rPr>
              <w:t xml:space="preserve">target_name</w:t>
            </w:r>
          </w:p>
        </w:tc>
        <w:tc>
          <w:tcPr/>
          <w:p>
            <w:pPr>
              <w:pStyle w:val="Tabletext"/>
              <w:keepLines w:val="1"/>
              <w:keepNext w:val="1"/>
            </w:pPr>
            <w:r>
              <w:rPr>
                <w:rStyle w:val="VerbatimChar"/>
              </w:rPr>
              <w:t xml:space="preserve">str</w:t>
            </w:r>
          </w:p>
        </w:tc>
        <w:tc>
          <w:tcPr/>
          <w:p>
            <w:pPr>
              <w:pStyle w:val="Tabletext"/>
              <w:keepLines w:val="1"/>
              <w:keepNext w:val="1"/>
            </w:pPr>
            <w:r>
              <w:t xml:space="preserve">Sihtmärgi identifikaator</w:t>
            </w:r>
          </w:p>
        </w:tc>
      </w:tr>
      <w:tr>
        <w:trPr>
          <w:cantSplit w:val="1"/>
        </w:trPr>
        <w:tc>
          <w:tcPr/>
          <w:p>
            <w:pPr>
              <w:pStyle w:val="Tabletext"/>
              <w:keepLines w:val="1"/>
              <w:keepNext w:val="1"/>
            </w:pPr>
            <w:r>
              <w:rPr>
                <w:rStyle w:val="VerbatimChar"/>
              </w:rPr>
              <w:t xml:space="preserve">neg_prediction</w:t>
            </w:r>
          </w:p>
        </w:tc>
        <w:tc>
          <w:tcPr/>
          <w:p>
            <w:pPr>
              <w:pStyle w:val="Tabletext"/>
              <w:keepLines w:val="1"/>
              <w:keepNext w:val="1"/>
            </w:pPr>
            <w:r>
              <w:rPr>
                <w:rStyle w:val="VerbatimChar"/>
              </w:rPr>
              <w:t xml:space="preserve">int</w:t>
            </w:r>
          </w:p>
        </w:tc>
        <w:tc>
          <w:tcPr/>
          <w:p>
            <w:pPr>
              <w:pStyle w:val="Tabletext"/>
              <w:keepLines w:val="1"/>
              <w:keepNext w:val="1"/>
            </w:pPr>
            <w:r>
              <w:t xml:space="preserve">Negatiivse ansambli ennustus</w:t>
            </w:r>
          </w:p>
        </w:tc>
      </w:tr>
      <w:tr>
        <w:trPr>
          <w:cantSplit w:val="1"/>
        </w:trPr>
        <w:tc>
          <w:tcPr/>
          <w:p>
            <w:pPr>
              <w:pStyle w:val="Tabletext"/>
              <w:keepLines w:val="1"/>
              <w:keepNext w:val="1"/>
            </w:pPr>
            <w:r>
              <w:rPr>
                <w:rStyle w:val="VerbatimChar"/>
              </w:rPr>
              <w:t xml:space="preserve">neg_confidence</w:t>
            </w:r>
          </w:p>
        </w:tc>
        <w:tc>
          <w:tcPr/>
          <w:p>
            <w:pPr>
              <w:pStyle w:val="Tabletext"/>
              <w:keepLines w:val="1"/>
              <w:keepNext w:val="1"/>
            </w:pPr>
            <w:r>
              <w:rPr>
                <w:rStyle w:val="VerbatimChar"/>
              </w:rPr>
              <w:t xml:space="preserve">float</w:t>
            </w:r>
          </w:p>
        </w:tc>
        <w:tc>
          <w:tcPr/>
          <w:p>
            <w:pPr>
              <w:pStyle w:val="Tabletext"/>
              <w:keepLines w:val="1"/>
              <w:keepNext w:val="1"/>
            </w:pPr>
            <w:r>
              <w:t xml:space="preserve">Negatiivse ansambli usaldusväärsus</w:t>
            </w:r>
          </w:p>
        </w:tc>
      </w:tr>
      <w:tr>
        <w:trPr>
          <w:cantSplit w:val="1"/>
        </w:trPr>
        <w:tc>
          <w:tcPr/>
          <w:p>
            <w:pPr>
              <w:pStyle w:val="Tabletext"/>
              <w:keepLines w:val="1"/>
              <w:keepNext w:val="1"/>
            </w:pPr>
            <w:r>
              <w:rPr>
                <w:rStyle w:val="VerbatimChar"/>
              </w:rPr>
              <w:t xml:space="preserve">neg_model_agreement</w:t>
            </w:r>
          </w:p>
        </w:tc>
        <w:tc>
          <w:tcPr/>
          <w:p>
            <w:pPr>
              <w:pStyle w:val="Tabletext"/>
              <w:keepLines w:val="1"/>
              <w:keepNext w:val="1"/>
            </w:pPr>
            <w:r>
              <w:rPr>
                <w:rStyle w:val="VerbatimChar"/>
              </w:rPr>
              <w:t xml:space="preserve">float</w:t>
            </w:r>
          </w:p>
        </w:tc>
        <w:tc>
          <w:tcPr/>
          <w:p>
            <w:pPr>
              <w:pStyle w:val="Tabletext"/>
              <w:keepLines w:val="1"/>
              <w:keepNext w:val="1"/>
            </w:pPr>
            <w:r>
              <w:t xml:space="preserve">Negatiivse ansambli nõustumine</w:t>
            </w:r>
          </w:p>
        </w:tc>
      </w:tr>
      <w:tr>
        <w:trPr>
          <w:cantSplit w:val="1"/>
        </w:trPr>
        <w:tc>
          <w:tcPr/>
          <w:p>
            <w:pPr>
              <w:pStyle w:val="Tabletext"/>
              <w:keepLines w:val="1"/>
              <w:keepNext w:val="1"/>
            </w:pPr>
            <w:r>
              <w:rPr>
                <w:rStyle w:val="VerbatimChar"/>
              </w:rPr>
              <w:t xml:space="preserve">pos_prediction</w:t>
            </w:r>
          </w:p>
        </w:tc>
        <w:tc>
          <w:tcPr/>
          <w:p>
            <w:pPr>
              <w:pStyle w:val="Tabletext"/>
              <w:keepLines w:val="1"/>
              <w:keepNext w:val="1"/>
            </w:pPr>
            <w:r>
              <w:rPr>
                <w:rStyle w:val="VerbatimChar"/>
              </w:rPr>
              <w:t xml:space="preserve">int</w:t>
            </w:r>
          </w:p>
        </w:tc>
        <w:tc>
          <w:tcPr/>
          <w:p>
            <w:pPr>
              <w:pStyle w:val="Tabletext"/>
              <w:keepLines w:val="1"/>
              <w:keepNext w:val="1"/>
            </w:pPr>
            <w:r>
              <w:t xml:space="preserve">Positiivse ansambli ennustus</w:t>
            </w:r>
          </w:p>
        </w:tc>
      </w:tr>
      <w:tr>
        <w:trPr>
          <w:cantSplit w:val="1"/>
        </w:trPr>
        <w:tc>
          <w:tcPr/>
          <w:p>
            <w:pPr>
              <w:pStyle w:val="Tabletext"/>
              <w:keepLines w:val="1"/>
              <w:keepNext w:val="1"/>
            </w:pPr>
            <w:r>
              <w:rPr>
                <w:rStyle w:val="VerbatimChar"/>
              </w:rPr>
              <w:t xml:space="preserve">pos_confidence</w:t>
            </w:r>
          </w:p>
        </w:tc>
        <w:tc>
          <w:tcPr/>
          <w:p>
            <w:pPr>
              <w:pStyle w:val="Tabletext"/>
              <w:keepLines w:val="1"/>
              <w:keepNext w:val="1"/>
            </w:pPr>
            <w:r>
              <w:rPr>
                <w:rStyle w:val="VerbatimChar"/>
              </w:rPr>
              <w:t xml:space="preserve">float</w:t>
            </w:r>
          </w:p>
        </w:tc>
        <w:tc>
          <w:tcPr/>
          <w:p>
            <w:pPr>
              <w:pStyle w:val="Tabletext"/>
              <w:keepLines w:val="1"/>
              <w:keepNext w:val="1"/>
            </w:pPr>
            <w:r>
              <w:t xml:space="preserve">Positiivse ansambli usaldusväärsus</w:t>
            </w:r>
          </w:p>
        </w:tc>
      </w:tr>
      <w:tr>
        <w:trPr>
          <w:cantSplit w:val="1"/>
        </w:trPr>
        <w:tc>
          <w:tcPr/>
          <w:p>
            <w:pPr>
              <w:pStyle w:val="Tabletext"/>
              <w:keepLines w:val="1"/>
              <w:keepNext w:val="1"/>
            </w:pPr>
            <w:r>
              <w:rPr>
                <w:rStyle w:val="VerbatimChar"/>
              </w:rPr>
              <w:t xml:space="preserve">pos_model_agreement</w:t>
            </w:r>
          </w:p>
        </w:tc>
        <w:tc>
          <w:tcPr/>
          <w:p>
            <w:pPr>
              <w:pStyle w:val="Tabletext"/>
              <w:keepLines w:val="1"/>
              <w:keepNext w:val="1"/>
            </w:pPr>
            <w:r>
              <w:rPr>
                <w:rStyle w:val="VerbatimChar"/>
              </w:rPr>
              <w:t xml:space="preserve">float</w:t>
            </w:r>
          </w:p>
        </w:tc>
        <w:tc>
          <w:tcPr/>
          <w:p>
            <w:pPr>
              <w:pStyle w:val="Tabletext"/>
              <w:keepLines w:val="1"/>
              <w:keepNext w:val="1"/>
            </w:pPr>
            <w:r>
              <w:t xml:space="preserve">Positiivse ansambli nõustumine</w:t>
            </w:r>
          </w:p>
        </w:tc>
      </w:tr>
    </w:tbl>
    <w:p>
      <w:pPr>
        <w:pStyle w:val="BodyText"/>
        <w:keepNext w:val="1"/>
      </w:pPr>
      <w:r>
        <w:t xml:space="preserve"> </w:t>
      </w:r>
    </w:p>
    <w:p>
      <w:pPr>
        <w:pStyle w:val="Caption"/>
        <w:keepNext w:val="1"/>
      </w:pPr>
      <w:r>
        <w:t xml:space="preserve">Tabel 6.8 Ennustuse kokkuvõtte struktuur (</w:t>
      </w:r>
      <w:r>
        <w:rPr>
          <w:rStyle w:val="VerbatimChar"/>
        </w:rPr>
        <w:t xml:space="preserve">PredictionSummary</w:t>
      </w:r>
      <w:r>
        <w:t xml:space="preserve">)</w:t>
      </w:r>
    </w:p>
    <w:tbl>
      <w:tblPr>
        <w:tblStyle w:val="Table"/>
        <w:tblW w:type="pct" w:w="5000"/>
        <w:tblLayout w:type="fixed"/>
        <w:tblLook w:firstRow="1" w:lastRow="0" w:firstColumn="0" w:lastColumn="0" w:noHBand="0" w:noVBand="0" w:val="0020"/>
        <w:tblCaption w:val="Tabel 6.8 Ennustuse kokkuvõtte struktuur (PredictionSummary)"/>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04"/>
        <w:gridCol w:w="3308"/>
        <w:gridCol w:w="2807"/>
      </w:tblGrid>
      <w:tr>
        <w:trPr>
          <w:tblHeader w:val="on"/>
          <w:cantSplit w:val="1"/>
        </w:trPr>
        <w:tc>
          <w:tcPr/>
          <w:p>
            <w:pPr>
              <w:pStyle w:val="Tabelhead"/>
              <w:keepLines w:val="1"/>
              <w:keepNext w:val="1"/>
            </w:pPr>
            <w:r>
              <w:t xml:space="preserve">Väli</w:t>
            </w:r>
          </w:p>
        </w:tc>
        <w:tc>
          <w:tcPr/>
          <w:p>
            <w:pPr>
              <w:pStyle w:val="Tabelhead"/>
              <w:keepLines w:val="1"/>
              <w:keepNext w:val="1"/>
            </w:pPr>
            <w:r>
              <w:t xml:space="preserve">Tüüp</w:t>
            </w:r>
          </w:p>
        </w:tc>
        <w:tc>
          <w:tcPr/>
          <w:p>
            <w:pPr>
              <w:pStyle w:val="Tabelhead"/>
              <w:keepLines w:val="1"/>
              <w:keepNext w:val="1"/>
            </w:pPr>
            <w:r>
              <w:t xml:space="preserve">Eesmärk</w:t>
            </w:r>
          </w:p>
        </w:tc>
      </w:tr>
      <w:tr>
        <w:trPr>
          <w:cantSplit w:val="1"/>
        </w:trPr>
        <w:tc>
          <w:tcPr/>
          <w:p>
            <w:pPr>
              <w:pStyle w:val="Tabletext"/>
              <w:keepLines w:val="1"/>
              <w:keepNext w:val="1"/>
            </w:pPr>
            <w:r>
              <w:rPr>
                <w:rStyle w:val="VerbatimChar"/>
              </w:rPr>
              <w:t xml:space="preserve">prediction_for_timestamp</w:t>
            </w:r>
          </w:p>
        </w:tc>
        <w:tc>
          <w:tcPr/>
          <w:p>
            <w:pPr>
              <w:pStyle w:val="Tabletext"/>
              <w:keepLines w:val="1"/>
              <w:keepNext w:val="1"/>
            </w:pPr>
            <w:r>
              <w:rPr>
                <w:rStyle w:val="VerbatimChar"/>
              </w:rPr>
              <w:t xml:space="preserve">datetime</w:t>
            </w:r>
          </w:p>
        </w:tc>
        <w:tc>
          <w:tcPr/>
          <w:p>
            <w:pPr>
              <w:pStyle w:val="Tabletext"/>
              <w:keepLines w:val="1"/>
              <w:keepNext w:val="1"/>
            </w:pPr>
            <w:r>
              <w:t xml:space="preserve">Ennustuse sihtaeg</w:t>
            </w:r>
          </w:p>
        </w:tc>
      </w:tr>
      <w:tr>
        <w:trPr>
          <w:cantSplit w:val="1"/>
        </w:trPr>
        <w:tc>
          <w:tcPr/>
          <w:p>
            <w:pPr>
              <w:pStyle w:val="Tabletext"/>
              <w:keepLines w:val="1"/>
              <w:keepNext w:val="1"/>
            </w:pPr>
            <w:r>
              <w:rPr>
                <w:rStyle w:val="VerbatimChar"/>
              </w:rPr>
              <w:t xml:space="preserve">predictions</w:t>
            </w:r>
          </w:p>
        </w:tc>
        <w:tc>
          <w:tcPr/>
          <w:p>
            <w:pPr>
              <w:pStyle w:val="Tabletext"/>
              <w:keepLines w:val="1"/>
              <w:keepNext w:val="1"/>
            </w:pPr>
            <w:r>
              <w:rPr>
                <w:rStyle w:val="VerbatimChar"/>
              </w:rPr>
              <w:t xml:space="preserve">dict[str, TargetPrediction]</w:t>
            </w:r>
          </w:p>
        </w:tc>
        <w:tc>
          <w:tcPr/>
          <w:p>
            <w:pPr>
              <w:pStyle w:val="Tabletext"/>
              <w:keepLines w:val="1"/>
              <w:keepNext w:val="1"/>
            </w:pPr>
            <w:r>
              <w:t xml:space="preserve">Kõik sihtmärgi ennustused</w:t>
            </w:r>
          </w:p>
        </w:tc>
      </w:tr>
      <w:tr>
        <w:trPr>
          <w:cantSplit w:val="1"/>
        </w:trPr>
        <w:tc>
          <w:tcPr/>
          <w:p>
            <w:pPr>
              <w:pStyle w:val="Tabletext"/>
              <w:keepLines w:val="1"/>
              <w:keepNext w:val="1"/>
            </w:pPr>
            <w:r>
              <w:rPr>
                <w:rStyle w:val="VerbatimChar"/>
              </w:rPr>
              <w:t xml:space="preserve">high_up_range</w:t>
            </w:r>
          </w:p>
        </w:tc>
        <w:tc>
          <w:tcPr/>
          <w:p>
            <w:pPr>
              <w:pStyle w:val="Tabletext"/>
              <w:keepLines w:val="1"/>
              <w:keepNext w:val="1"/>
            </w:pPr>
            <w:r>
              <w:rPr>
                <w:rStyle w:val="VerbatimChar"/>
              </w:rPr>
              <w:t xml:space="preserve">tuple[float, float] \| None</w:t>
            </w:r>
          </w:p>
        </w:tc>
        <w:tc>
          <w:tcPr/>
          <w:p>
            <w:pPr>
              <w:pStyle w:val="Tabletext"/>
              <w:keepLines w:val="1"/>
              <w:keepNext w:val="1"/>
            </w:pPr>
            <w:r>
              <w:t xml:space="preserve">Kõrgpunkti tõusu vahemik</w:t>
            </w:r>
          </w:p>
        </w:tc>
      </w:tr>
      <w:tr>
        <w:trPr>
          <w:cantSplit w:val="1"/>
        </w:trPr>
        <w:tc>
          <w:tcPr/>
          <w:p>
            <w:pPr>
              <w:pStyle w:val="Tabletext"/>
              <w:keepLines w:val="1"/>
              <w:keepNext w:val="1"/>
            </w:pPr>
            <w:r>
              <w:rPr>
                <w:rStyle w:val="VerbatimChar"/>
              </w:rPr>
              <w:t xml:space="preserve">high_down_range</w:t>
            </w:r>
          </w:p>
        </w:tc>
        <w:tc>
          <w:tcPr/>
          <w:p>
            <w:pPr>
              <w:pStyle w:val="Tabletext"/>
              <w:keepLines w:val="1"/>
              <w:keepNext w:val="1"/>
            </w:pPr>
            <w:r>
              <w:rPr>
                <w:rStyle w:val="VerbatimChar"/>
              </w:rPr>
              <w:t xml:space="preserve">tuple[float, float] \| None</w:t>
            </w:r>
          </w:p>
        </w:tc>
        <w:tc>
          <w:tcPr/>
          <w:p>
            <w:pPr>
              <w:pStyle w:val="Tabletext"/>
              <w:keepLines w:val="1"/>
              <w:keepNext w:val="1"/>
            </w:pPr>
            <w:r>
              <w:t xml:space="preserve">Kõrgpunkti languse vahemik</w:t>
            </w:r>
          </w:p>
        </w:tc>
      </w:tr>
      <w:tr>
        <w:trPr>
          <w:cantSplit w:val="1"/>
        </w:trPr>
        <w:tc>
          <w:tcPr/>
          <w:p>
            <w:pPr>
              <w:pStyle w:val="Tabletext"/>
              <w:keepLines w:val="1"/>
              <w:keepNext w:val="1"/>
            </w:pPr>
            <w:r>
              <w:rPr>
                <w:rStyle w:val="VerbatimChar"/>
              </w:rPr>
              <w:t xml:space="preserve">high_direction</w:t>
            </w:r>
          </w:p>
        </w:tc>
        <w:tc>
          <w:tcPr/>
          <w:p>
            <w:pPr>
              <w:pStyle w:val="Tabletext"/>
              <w:keepLines w:val="1"/>
              <w:keepNext w:val="1"/>
            </w:pPr>
            <w:r>
              <w:rPr>
                <w:rStyle w:val="VerbatimChar"/>
              </w:rPr>
              <w:t xml:space="preserve">Literal["up","down","volatile","stable"]</w:t>
            </w:r>
          </w:p>
        </w:tc>
        <w:tc>
          <w:tcPr/>
          <w:p>
            <w:pPr>
              <w:pStyle w:val="Tabletext"/>
              <w:keepLines w:val="1"/>
              <w:keepNext w:val="1"/>
            </w:pPr>
            <w:r>
              <w:t xml:space="preserve">Kõrgpunkti suund</w:t>
            </w:r>
          </w:p>
        </w:tc>
      </w:tr>
      <w:tr>
        <w:trPr>
          <w:cantSplit w:val="1"/>
        </w:trPr>
        <w:tc>
          <w:tcPr/>
          <w:p>
            <w:pPr>
              <w:pStyle w:val="Tabletext"/>
              <w:keepLines w:val="1"/>
              <w:keepNext w:val="1"/>
            </w:pPr>
            <w:r>
              <w:rPr>
                <w:rStyle w:val="VerbatimChar"/>
              </w:rPr>
              <w:t xml:space="preserve">high_confidence</w:t>
            </w:r>
          </w:p>
        </w:tc>
        <w:tc>
          <w:tcPr/>
          <w:p>
            <w:pPr>
              <w:pStyle w:val="Tabletext"/>
              <w:keepLines w:val="1"/>
              <w:keepNext w:val="1"/>
            </w:pPr>
            <w:r>
              <w:rPr>
                <w:rStyle w:val="VerbatimChar"/>
              </w:rPr>
              <w:t xml:space="preserve">float</w:t>
            </w:r>
          </w:p>
        </w:tc>
        <w:tc>
          <w:tcPr/>
          <w:p>
            <w:pPr>
              <w:pStyle w:val="Tabletext"/>
              <w:keepLines w:val="1"/>
              <w:keepNext w:val="1"/>
            </w:pPr>
            <w:r>
              <w:t xml:space="preserve">Kõrgpunkti usaldusväärsus</w:t>
            </w:r>
          </w:p>
        </w:tc>
      </w:tr>
      <w:tr>
        <w:trPr>
          <w:cantSplit w:val="1"/>
        </w:trPr>
        <w:tc>
          <w:tcPr/>
          <w:p>
            <w:pPr>
              <w:pStyle w:val="Tabletext"/>
              <w:keepLines w:val="1"/>
              <w:keepNext w:val="1"/>
            </w:pPr>
            <w:r>
              <w:rPr>
                <w:rStyle w:val="VerbatimChar"/>
              </w:rPr>
              <w:t xml:space="preserve">low_up_range</w:t>
            </w:r>
          </w:p>
        </w:tc>
        <w:tc>
          <w:tcPr/>
          <w:p>
            <w:pPr>
              <w:pStyle w:val="Tabletext"/>
              <w:keepLines w:val="1"/>
              <w:keepNext w:val="1"/>
            </w:pPr>
            <w:r>
              <w:rPr>
                <w:rStyle w:val="VerbatimChar"/>
              </w:rPr>
              <w:t xml:space="preserve">tuple[float, float] \| None</w:t>
            </w:r>
          </w:p>
        </w:tc>
        <w:tc>
          <w:tcPr/>
          <w:p>
            <w:pPr>
              <w:pStyle w:val="Tabletext"/>
              <w:keepLines w:val="1"/>
              <w:keepNext w:val="1"/>
            </w:pPr>
            <w:r>
              <w:t xml:space="preserve">Madalpunkti tõusu vahemik</w:t>
            </w:r>
          </w:p>
        </w:tc>
      </w:tr>
      <w:tr>
        <w:trPr>
          <w:cantSplit w:val="1"/>
        </w:trPr>
        <w:tc>
          <w:tcPr/>
          <w:p>
            <w:pPr>
              <w:pStyle w:val="Tabletext"/>
              <w:keepLines w:val="1"/>
              <w:keepNext w:val="1"/>
            </w:pPr>
            <w:r>
              <w:rPr>
                <w:rStyle w:val="VerbatimChar"/>
              </w:rPr>
              <w:t xml:space="preserve">low_down_range</w:t>
            </w:r>
          </w:p>
        </w:tc>
        <w:tc>
          <w:tcPr/>
          <w:p>
            <w:pPr>
              <w:pStyle w:val="Tabletext"/>
              <w:keepLines w:val="1"/>
              <w:keepNext w:val="1"/>
            </w:pPr>
            <w:r>
              <w:rPr>
                <w:rStyle w:val="VerbatimChar"/>
              </w:rPr>
              <w:t xml:space="preserve">tuple[float, float] \| None</w:t>
            </w:r>
          </w:p>
        </w:tc>
        <w:tc>
          <w:tcPr/>
          <w:p>
            <w:pPr>
              <w:pStyle w:val="Tabletext"/>
              <w:keepLines w:val="1"/>
              <w:keepNext w:val="1"/>
            </w:pPr>
            <w:r>
              <w:t xml:space="preserve">Madalpunkti languse vahemik</w:t>
            </w:r>
          </w:p>
        </w:tc>
      </w:tr>
      <w:tr>
        <w:trPr>
          <w:cantSplit w:val="1"/>
        </w:trPr>
        <w:tc>
          <w:tcPr/>
          <w:p>
            <w:pPr>
              <w:pStyle w:val="Tabletext"/>
              <w:keepLines w:val="1"/>
              <w:keepNext w:val="1"/>
            </w:pPr>
            <w:r>
              <w:rPr>
                <w:rStyle w:val="VerbatimChar"/>
              </w:rPr>
              <w:t xml:space="preserve">low_direction</w:t>
            </w:r>
          </w:p>
        </w:tc>
        <w:tc>
          <w:tcPr/>
          <w:p>
            <w:pPr>
              <w:pStyle w:val="Tabletext"/>
              <w:keepLines w:val="1"/>
              <w:keepNext w:val="1"/>
            </w:pPr>
            <w:r>
              <w:rPr>
                <w:rStyle w:val="VerbatimChar"/>
              </w:rPr>
              <w:t xml:space="preserve">Literal["up","down","volatile","stable"]</w:t>
            </w:r>
          </w:p>
        </w:tc>
        <w:tc>
          <w:tcPr/>
          <w:p>
            <w:pPr>
              <w:pStyle w:val="Tabletext"/>
              <w:keepLines w:val="1"/>
              <w:keepNext w:val="1"/>
            </w:pPr>
            <w:r>
              <w:t xml:space="preserve">Madalpunkti suund</w:t>
            </w:r>
          </w:p>
        </w:tc>
      </w:tr>
      <w:tr>
        <w:trPr>
          <w:cantSplit w:val="1"/>
        </w:trPr>
        <w:tc>
          <w:tcPr/>
          <w:p>
            <w:pPr>
              <w:pStyle w:val="Tabletext"/>
              <w:keepLines w:val="1"/>
              <w:keepNext w:val="1"/>
            </w:pPr>
            <w:r>
              <w:rPr>
                <w:rStyle w:val="VerbatimChar"/>
              </w:rPr>
              <w:t xml:space="preserve">low_confidence</w:t>
            </w:r>
          </w:p>
        </w:tc>
        <w:tc>
          <w:tcPr/>
          <w:p>
            <w:pPr>
              <w:pStyle w:val="Tabletext"/>
              <w:keepLines w:val="1"/>
              <w:keepNext w:val="1"/>
            </w:pPr>
            <w:r>
              <w:rPr>
                <w:rStyle w:val="VerbatimChar"/>
              </w:rPr>
              <w:t xml:space="preserve">float</w:t>
            </w:r>
          </w:p>
        </w:tc>
        <w:tc>
          <w:tcPr/>
          <w:p>
            <w:pPr>
              <w:pStyle w:val="Tabletext"/>
              <w:keepLines w:val="1"/>
              <w:keepNext w:val="1"/>
            </w:pPr>
            <w:r>
              <w:t xml:space="preserve">Madalpunkti usaldusväärsus</w:t>
            </w:r>
          </w:p>
        </w:tc>
      </w:tr>
    </w:tbl>
    <w:p>
      <w:pPr>
        <w:pStyle w:val="BodyText"/>
      </w:pPr>
      <w:r>
        <w:t xml:space="preserve"> </w:t>
      </w:r>
    </w:p>
    <w:p>
      <w:pPr>
        <w:pStyle w:val="BodyText"/>
      </w:pPr>
      <w:r>
        <w:rPr>
          <w:b/>
          <w:bCs/>
        </w:rPr>
        <w:t xml:space="preserve">Näidisväljund</w:t>
      </w:r>
      <w:r>
        <w:t xml:space="preserve">:</w:t>
      </w:r>
      <w:r>
        <w:t xml:space="preserve"> </w:t>
      </w:r>
      <w:r>
        <w:t xml:space="preserve">“Kõrgpunkt tõenäoliselt tõuseb 0.05-0.14% 78% usaldusväärsusega.”</w:t>
      </w:r>
    </w:p>
    <w:bookmarkEnd w:id="138"/>
    <w:bookmarkStart w:id="139" w:name="integratsioon-kauplemissüsteemidega"/>
    <w:p>
      <w:pPr>
        <w:pStyle w:val="Heading2"/>
        <w:keepNext w:val="1"/>
      </w:pPr>
      <w:r>
        <w:t xml:space="preserve">Integratsioon kauplemissüsteemidega</w:t>
      </w:r>
    </w:p>
    <w:p>
      <w:pPr>
        <w:pStyle w:val="Caption"/>
        <w:keepNext w:val="1"/>
      </w:pPr>
      <w:r>
        <w:t xml:space="preserve">Tabel 6.10 Ennustuste tõlgendamine kauplemissignaalideks</w:t>
      </w:r>
    </w:p>
    <w:tbl>
      <w:tblPr>
        <w:tblStyle w:val="Table"/>
        <w:tblW w:type="auto" w:w="0"/>
        <w:tblLook w:firstRow="1" w:lastRow="0" w:firstColumn="0" w:lastColumn="0" w:noHBand="0" w:noVBand="0" w:val="0020"/>
        <w:tblCaption w:val="Tabel 6.10 Ennustuste tõlgendamine kauplemissignaalidek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cantSplit w:val="1"/>
        </w:trPr>
        <w:tc>
          <w:tcPr/>
          <w:p>
            <w:pPr>
              <w:pStyle w:val="Tabelhead"/>
              <w:keepLines w:val="1"/>
              <w:keepNext w:val="1"/>
            </w:pPr>
            <w:r>
              <w:t xml:space="preserve">Suund</w:t>
            </w:r>
          </w:p>
        </w:tc>
        <w:tc>
          <w:tcPr/>
          <w:p>
            <w:pPr>
              <w:pStyle w:val="Tabelhead"/>
              <w:keepLines w:val="1"/>
              <w:keepNext w:val="1"/>
            </w:pPr>
            <w:r>
              <w:t xml:space="preserve">Usaldusväärsus</w:t>
            </w:r>
          </w:p>
        </w:tc>
        <w:tc>
          <w:tcPr/>
          <w:p>
            <w:pPr>
              <w:pStyle w:val="Tabelhead"/>
              <w:keepLines w:val="1"/>
              <w:keepNext w:val="1"/>
            </w:pPr>
            <w:r>
              <w:t xml:space="preserve">Tegevus</w:t>
            </w:r>
          </w:p>
        </w:tc>
      </w:tr>
      <w:tr>
        <w:trPr>
          <w:cantSplit w:val="1"/>
        </w:trPr>
        <w:tc>
          <w:tcPr/>
          <w:p>
            <w:pPr>
              <w:pStyle w:val="Tabletext"/>
              <w:keepLines w:val="1"/>
              <w:keepNext w:val="1"/>
            </w:pPr>
            <w:r>
              <w:t xml:space="preserve">“up”</w:t>
            </w:r>
          </w:p>
        </w:tc>
        <w:tc>
          <w:tcPr/>
          <w:p>
            <w:pPr>
              <w:pStyle w:val="Tabletext"/>
              <w:keepLines w:val="1"/>
              <w:keepNext w:val="1"/>
            </w:pPr>
            <w:r>
              <w:t xml:space="preserve">&gt; 0.7</w:t>
            </w:r>
          </w:p>
        </w:tc>
        <w:tc>
          <w:tcPr/>
          <w:p>
            <w:pPr>
              <w:pStyle w:val="Tabletext"/>
              <w:keepLines w:val="1"/>
              <w:keepNext w:val="1"/>
            </w:pPr>
            <w:r>
              <w:t xml:space="preserve">Kaaluda pikka positsiooni</w:t>
            </w:r>
          </w:p>
        </w:tc>
      </w:tr>
      <w:tr>
        <w:trPr>
          <w:cantSplit w:val="1"/>
        </w:trPr>
        <w:tc>
          <w:tcPr/>
          <w:p>
            <w:pPr>
              <w:pStyle w:val="Tabletext"/>
              <w:keepLines w:val="1"/>
              <w:keepNext w:val="1"/>
            </w:pPr>
            <w:r>
              <w:t xml:space="preserve">“down”</w:t>
            </w:r>
          </w:p>
        </w:tc>
        <w:tc>
          <w:tcPr/>
          <w:p>
            <w:pPr>
              <w:pStyle w:val="Tabletext"/>
              <w:keepLines w:val="1"/>
              <w:keepNext w:val="1"/>
            </w:pPr>
            <w:r>
              <w:t xml:space="preserve">&gt; 0.7</w:t>
            </w:r>
          </w:p>
        </w:tc>
        <w:tc>
          <w:tcPr/>
          <w:p>
            <w:pPr>
              <w:pStyle w:val="Tabletext"/>
              <w:keepLines w:val="1"/>
              <w:keepNext w:val="1"/>
            </w:pPr>
            <w:r>
              <w:t xml:space="preserve">Kaaluda lühikest positsiooni</w:t>
            </w:r>
          </w:p>
        </w:tc>
      </w:tr>
      <w:tr>
        <w:trPr>
          <w:cantSplit w:val="1"/>
        </w:trPr>
        <w:tc>
          <w:tcPr/>
          <w:p>
            <w:pPr>
              <w:pStyle w:val="Tabletext"/>
              <w:keepLines w:val="1"/>
              <w:keepNext w:val="1"/>
            </w:pPr>
            <w:r>
              <w:t xml:space="preserve">“stable”</w:t>
            </w:r>
          </w:p>
        </w:tc>
        <w:tc>
          <w:tcPr/>
          <w:p>
            <w:pPr>
              <w:pStyle w:val="Tabletext"/>
              <w:keepLines w:val="1"/>
              <w:keepNext w:val="1"/>
            </w:pPr>
            <w:r>
              <w:t xml:space="preserve">&gt; 0.6</w:t>
            </w:r>
          </w:p>
        </w:tc>
        <w:tc>
          <w:tcPr/>
          <w:p>
            <w:pPr>
              <w:pStyle w:val="Tabletext"/>
              <w:keepLines w:val="1"/>
              <w:keepNext w:val="1"/>
            </w:pPr>
            <w:r>
              <w:t xml:space="preserve">Hoida või vähendada ekspositsiooni</w:t>
            </w:r>
          </w:p>
        </w:tc>
      </w:tr>
      <w:tr>
        <w:trPr>
          <w:cantSplit w:val="1"/>
        </w:trPr>
        <w:tc>
          <w:tcPr/>
          <w:p>
            <w:pPr>
              <w:pStyle w:val="Tabletext"/>
              <w:keepLines w:val="1"/>
              <w:keepNext w:val="1"/>
            </w:pPr>
            <w:r>
              <w:t xml:space="preserve">“volatile”</w:t>
            </w:r>
          </w:p>
        </w:tc>
        <w:tc>
          <w:tcPr/>
          <w:p>
            <w:pPr>
              <w:pStyle w:val="Tabletext"/>
              <w:keepLines w:val="1"/>
              <w:keepNext w:val="1"/>
            </w:pPr>
            <w:r>
              <w:t xml:space="preserve">ükskõik</w:t>
            </w:r>
          </w:p>
        </w:tc>
        <w:tc>
          <w:tcPr/>
          <w:p>
            <w:pPr>
              <w:pStyle w:val="Tabletext"/>
              <w:keepLines w:val="1"/>
              <w:keepNext w:val="1"/>
            </w:pPr>
            <w:r>
              <w:t xml:space="preserve">Suurendada ettevaatlikkust</w:t>
            </w:r>
          </w:p>
        </w:tc>
      </w:tr>
    </w:tbl>
    <w:p>
      <w:pPr>
        <w:pStyle w:val="BodyText"/>
      </w:pPr>
      <w:r>
        <w:t xml:space="preserve"> </w:t>
      </w:r>
    </w:p>
    <w:p>
      <w:pPr>
        <w:pStyle w:val="BodyText"/>
      </w:pPr>
      <w:r>
        <w:t xml:space="preserve">Usaldusväärsuse lävid on empiirilistel heuristilistel vaatlustel põhinevad soovitused, mis nõuavad valideerimist konkreetses kauplemiskontekstis.</w:t>
      </w:r>
    </w:p>
    <w:p>
      <w:pPr>
        <w:pStyle w:val="BodyText"/>
      </w:pPr>
      <w:r>
        <w:rPr>
          <w:b/>
          <w:bCs/>
        </w:rPr>
        <w:t xml:space="preserve">Vahemiku kasutamine</w:t>
      </w:r>
      <w:r>
        <w:t xml:space="preserve">: Väljundis olevad</w:t>
      </w:r>
      <w:r>
        <w:t xml:space="preserve"> </w:t>
      </w:r>
      <w:r>
        <w:rPr>
          <w:rStyle w:val="VerbatimChar"/>
        </w:rPr>
        <w:t xml:space="preserve">high_up_range</w:t>
      </w:r>
      <w:r>
        <w:t xml:space="preserve"> </w:t>
      </w:r>
      <w:r>
        <w:t xml:space="preserve">ja</w:t>
      </w:r>
      <w:r>
        <w:t xml:space="preserve"> </w:t>
      </w:r>
      <w:r>
        <w:rPr>
          <w:rStyle w:val="VerbatimChar"/>
        </w:rPr>
        <w:t xml:space="preserve">low_down_range</w:t>
      </w:r>
      <w:r>
        <w:t xml:space="preserve"> </w:t>
      </w:r>
      <w:r>
        <w:t xml:space="preserve">näidikud informeerivad positsiooni suurust. Kui ennustatud suund on</w:t>
      </w:r>
      <w:r>
        <w:t xml:space="preserve"> </w:t>
      </w:r>
      <w:r>
        <w:t xml:space="preserve">“up”</w:t>
      </w:r>
      <w:r>
        <w:t xml:space="preserve"> </w:t>
      </w:r>
      <w:r>
        <w:t xml:space="preserve">ja üles vahemik eksisteerib, saab vahemiku alumise ja ülemise piiri põhjal arvutada oodatava liikumise keskmisena ning kasutada seda positsiooni suuruse määramisel proportsionaalselt volatiilsuse sihtmärgiga.</w:t>
      </w:r>
    </w:p>
    <w:p>
      <w:pPr>
        <w:pStyle w:val="BodyText"/>
      </w:pPr>
      <w:r>
        <w:rPr>
          <w:b/>
          <w:bCs/>
        </w:rPr>
        <w:t xml:space="preserve">Usaldusväärsuse kalibreerimine</w:t>
      </w:r>
      <w:r>
        <w:t xml:space="preserve">: 75% usaldusväärsusega ennustused peaksid olema õiged 75% ajast. Süstemaatiline üle- või ala-usaldusväärsus nõuab täpsusmõõdikute ümberkalibreerimist.</w:t>
      </w:r>
    </w:p>
    <w:p>
      <w:pPr>
        <w:pStyle w:val="BodyText"/>
      </w:pPr>
      <w:r>
        <w:rPr>
          <w:b/>
          <w:bCs/>
        </w:rPr>
        <w:t xml:space="preserve">Tulevikutöö</w:t>
      </w:r>
      <w:r>
        <w:t xml:space="preserve">: Käesoleva töö raames pole ennustuste väljundeid integreeritud tegeliku kauplemissüsteemiga ega testitud reaalajas turutingimustes. Tulevikus tuleks valideerida ennustuste kasumlikkust backtest-simulatsioonidega, hinnata tehingukulude mõju, optimeerida positsiooni suuruse määramise strateegiaid ning testida süsteemi robustsust erinevatel turutingimustel ja volatiilsuse perioodidel.</w:t>
      </w:r>
    </w:p>
    <w:bookmarkEnd w:id="139"/>
    <w:bookmarkStart w:id="140" w:name="kokkuvõte-2"/>
    <w:p>
      <w:pPr>
        <w:pStyle w:val="Heading2"/>
      </w:pPr>
      <w:r>
        <w:t xml:space="preserve">Kokkuvõte</w:t>
      </w:r>
    </w:p>
    <w:p>
      <w:pPr>
        <w:pStyle w:val="BodyText"/>
      </w:pPr>
      <w:r>
        <w:t xml:space="preserve">Peatükk esitas reaalajas ennustussüsteemi, mis muundab võrguühenduseta treenitud otsustuspuud voogedastuspõhiseks järelduskonveieriks. Arhitektuur lahendab tootmismasinõppe juurutamise väljakutseid läbi kolme põhimehhanismi:</w:t>
      </w:r>
    </w:p>
    <w:p>
      <w:pPr>
        <w:pStyle w:val="BodyText"/>
      </w:pPr>
      <w:r>
        <w:rPr>
          <w:b/>
          <w:bCs/>
        </w:rPr>
        <w:t xml:space="preserve">Kaheallikaline sünkroniseerimine</w:t>
      </w:r>
      <w:r>
        <w:t xml:space="preserve"> </w:t>
      </w:r>
      <w:r>
        <w:t xml:space="preserve">kasutab ootel sõnastikke tehingute ja orderiraamatu akende koordineerimiseks, tagades ajalise joonduse hoolimata asünkroonsest saabumisest. Tunnuspuhver haldab fikseeritud suurusega mälu libiseva akna kaudu, võimaldades pidevat töötlemist ilma mälu ammendumiseta.</w:t>
      </w:r>
    </w:p>
    <w:p>
      <w:pPr>
        <w:pStyle w:val="BodyText"/>
      </w:pPr>
      <w:r>
        <w:rPr>
          <w:b/>
          <w:bCs/>
        </w:rPr>
        <w:t xml:space="preserve">Ekspertide segu inspireeritud ansambliarhitektuur</w:t>
      </w:r>
      <w:r>
        <w:t xml:space="preserve"> </w:t>
      </w:r>
      <w:r>
        <w:t xml:space="preserve">kombineerib täpsusele spetsialiseeritud mudeligruppe. Igal sihtmärgil on kaks spetsialistide komplekti: negatiivse täpsuse eksperdid vähendavad valepositiivseid, positiivse täpsuse eksperdid maksimeerivad sihtmärgi avastamist. Häälteenamuse agregeerimine koos täpsuskaalutud usaldusväärsusega toodab kalibreeritud usaldusväärsuse hinnanguid, mis kajastavad empiirilist täpsust.</w:t>
      </w:r>
    </w:p>
    <w:p>
      <w:pPr>
        <w:pStyle w:val="BodyText"/>
      </w:pPr>
      <w:r>
        <w:rPr>
          <w:b/>
          <w:bCs/>
        </w:rPr>
        <w:t xml:space="preserve">Lävipõhine suunaline süntees</w:t>
      </w:r>
      <w:r>
        <w:t xml:space="preserve"> </w:t>
      </w:r>
      <w:r>
        <w:t xml:space="preserve">kombineerib mitu binaarset klassifikatsiooni tegutsetavateks hinnamuutuste signaalideks. Süsteem parsib läve ületamise ennustused vahemikeks ja suundadeks (</w:t>
      </w:r>
      <w:r>
        <w:t xml:space="preserve">“up”</w:t>
      </w:r>
      <w:r>
        <w:t xml:space="preserve">,</w:t>
      </w:r>
      <w:r>
        <w:t xml:space="preserve"> </w:t>
      </w:r>
      <w:r>
        <w:t xml:space="preserve">“down”</w:t>
      </w:r>
      <w:r>
        <w:t xml:space="preserve">,</w:t>
      </w:r>
      <w:r>
        <w:t xml:space="preserve"> </w:t>
      </w:r>
      <w:r>
        <w:t xml:space="preserve">“volatile”</w:t>
      </w:r>
      <w:r>
        <w:t xml:space="preserve">,</w:t>
      </w:r>
      <w:r>
        <w:t xml:space="preserve"> </w:t>
      </w:r>
      <w:r>
        <w:t xml:space="preserve">“stable”</w:t>
      </w:r>
      <w:r>
        <w:t xml:space="preserve">), võimaldades otsest integratsiooni kauplemissüsteemidega ilma täiendava tõlgenduseta.</w:t>
      </w:r>
    </w:p>
    <w:p>
      <w:pPr>
        <w:pStyle w:val="BodyText"/>
      </w:pPr>
      <w:r>
        <w:t xml:space="preserve">Süsteem järgib MoE põhimõtteid: spetsialistide grupid toimivad ekspertidena, täpsuspõhine valik toimib suunamismehhanismina ning häälteenamus agregeerib ekspertide väljundeid robustseks lõplikuks ennustuseks.</w:t>
      </w:r>
    </w:p>
    <w:bookmarkEnd w:id="140"/>
    <w:bookmarkEnd w:id="141"/>
    <w:bookmarkStart w:id="142" w:name="viited"/>
    <w:p>
      <w:pPr>
        <w:pStyle w:val="Heading1"/>
      </w:pPr>
      <w:r>
        <w:t xml:space="preserve">Viited</w:t>
      </w:r>
    </w:p>
    <w:p>
      <w:pPr>
        <w:pStyle w:val="BodyText"/>
      </w:pPr>
      <w:r>
        <w:t xml:space="preserve">[1] Schults, E. RocksDB analüüsi tööriistad: dump tööriist (scripts/rocksdb.js) ja JSONL-SQLite konverter (scripts/jsonl-to-sqlite.py). [Online] https://github.com/schulmacher/krupton (14.12.2025)</w:t>
      </w:r>
    </w:p>
    <w:p>
      <w:pPr>
        <w:pStyle w:val="BodyText"/>
      </w:pPr>
      <w:r>
        <w:t xml:space="preserve">[2] Schults, E. Kafka vs RocksDB+ZeroMQ jõudluse võrdlus (scripts/benchmark-kafka-vs-rocksdb-zeromq.js). [Online] https://github.com/schulmacher/krupton (14.12.2025)</w:t>
      </w:r>
    </w:p>
    <w:p>
      <w:pPr>
        <w:pStyle w:val="BodyText"/>
      </w:pPr>
      <w:r>
        <w:t xml:space="preserve">[3] Schults, E. Internal Bridge teisendaja läbilaskevõime benchmark (apps/internal-bridge/scripts/benchmark-transformer-throughput.ts). [Online] https://github.com/schulmacher/krupton (14.12.2025)</w:t>
      </w:r>
    </w:p>
    <w:p>
      <w:pPr>
        <w:pStyle w:val="BodyText"/>
      </w:pPr>
      <w:r>
        <w:t xml:space="preserve">[4] Computing Variance Online: Welford’s Algorithm. [Online] https://thinkingthread.com/2020/09/05/computing-variance-online/ (14.12.2025)</w:t>
      </w:r>
    </w:p>
    <w:p>
      <w:pPr>
        <w:pStyle w:val="BodyText"/>
      </w:pPr>
      <w:r>
        <w:t xml:space="preserve">[5] Schults, E. Rõngaspuhvri vs multiprocessing.Queue jõudluse võrdlus (apps/py-predictor/test/benchmark_rink_buffer_vs_ipc.py). [Online] https://github.com/schulmacher/krupton (14.12.2025)</w:t>
      </w:r>
    </w:p>
    <w:p>
      <w:pPr>
        <w:pStyle w:val="BodyText"/>
      </w:pPr>
      <w:r>
        <w:t xml:space="preserve">[6] R. A. Jacobs, M. I. Jordan, S. J. Nowlan, G. E. Hinton,</w:t>
      </w:r>
      <w:r>
        <w:t xml:space="preserve"> </w:t>
      </w:r>
      <w:r>
        <w:t xml:space="preserve">“Adaptive Mixtures of Local Experts,”</w:t>
      </w:r>
      <w:r>
        <w:t xml:space="preserve"> </w:t>
      </w:r>
      <w:r>
        <w:rPr>
          <w:i/>
          <w:iCs/>
        </w:rPr>
        <w:t xml:space="preserve">Neural Computation</w:t>
      </w:r>
      <w:r>
        <w:t xml:space="preserve">, vol. 3, no. 1, pp. 79-87, 1991.</w:t>
      </w:r>
    </w:p>
    <w:p>
      <w:pPr>
        <w:pStyle w:val="BodyText"/>
      </w:pPr>
      <w:r>
        <w:t xml:space="preserve">[7] M. I. Jordan, R. A. Jacobs,</w:t>
      </w:r>
      <w:r>
        <w:t xml:space="preserve"> </w:t>
      </w:r>
      <w:r>
        <w:t xml:space="preserve">“Hierarchical Mixtures of Experts and the EM Algorithm,”</w:t>
      </w:r>
      <w:r>
        <w:t xml:space="preserve"> </w:t>
      </w:r>
      <w:r>
        <w:rPr>
          <w:i/>
          <w:iCs/>
        </w:rPr>
        <w:t xml:space="preserve">Neural Information Processing Systems</w:t>
      </w:r>
      <w:r>
        <w:t xml:space="preserve">, 1993. [Online] https://www.cs.toronto.edu/~hinton/absps/hme.pdf</w:t>
      </w:r>
    </w:p>
    <w:p>
      <w:pPr>
        <w:pStyle w:val="BodyText"/>
      </w:pPr>
      <w:r>
        <w:t xml:space="preserve">[8] N. Shazeer et al.,</w:t>
      </w:r>
      <w:r>
        <w:t xml:space="preserve"> </w:t>
      </w:r>
      <w:r>
        <w:t xml:space="preserve">“Outrageously Large Neural Networks: The Sparsely-Gated Mixture-of-Experts Layer,”</w:t>
      </w:r>
      <w:r>
        <w:t xml:space="preserve"> </w:t>
      </w:r>
      <w:r>
        <w:rPr>
          <w:i/>
          <w:iCs/>
        </w:rPr>
        <w:t xml:space="preserve">arXiv:1701.06538</w:t>
      </w:r>
      <w:r>
        <w:t xml:space="preserve">, 2017.</w:t>
      </w:r>
    </w:p>
    <w:p>
      <w:pPr>
        <w:pStyle w:val="BodyText"/>
      </w:pPr>
      <w:r>
        <w:t xml:space="preserve">[9] Q. Song et al.,</w:t>
      </w:r>
      <w:r>
        <w:t xml:space="preserve"> </w:t>
      </w:r>
      <w:r>
        <w:t xml:space="preserve">“HyperMoE: Towards Better Mixture of Experts via Transferring Among Experts,”</w:t>
      </w:r>
      <w:r>
        <w:t xml:space="preserve"> </w:t>
      </w:r>
      <w:r>
        <w:rPr>
          <w:i/>
          <w:iCs/>
        </w:rPr>
        <w:t xml:space="preserve">arXiv:2402.12656</w:t>
      </w:r>
      <w:r>
        <w:t xml:space="preserve">, 2024.</w:t>
      </w:r>
    </w:p>
    <w:p>
      <w:pPr>
        <w:pStyle w:val="BodyText"/>
      </w:pPr>
      <w:r>
        <w:t xml:space="preserve">[10] S. E. Yuksel, J. N. Wilson, P. D. Gader,</w:t>
      </w:r>
      <w:r>
        <w:t xml:space="preserve"> </w:t>
      </w:r>
      <w:r>
        <w:t xml:space="preserve">“Twenty Years of Mixture of Experts,”</w:t>
      </w:r>
      <w:r>
        <w:t xml:space="preserve"> </w:t>
      </w:r>
      <w:r>
        <w:rPr>
          <w:i/>
          <w:iCs/>
        </w:rPr>
        <w:t xml:space="preserve">IEEE Transactions on Neural Networks and Learning Systems</w:t>
      </w:r>
      <w:r>
        <w:t xml:space="preserve">, vol. 23, no. 8, pp. 1177-1193, 2012.</w:t>
      </w:r>
    </w:p>
    <w:bookmarkEnd w:id="142"/>
    <w:sectPr w:rsidR="007561DA" w:rsidRPr="00C34A77" w:rsidSect="00FC746E">
      <w:footerReference r:id="rId9" w:type="default"/>
      <w:footerReference r:id="rId10" w:type="first"/>
      <w:pgSz w:code="9" w:h="16840" w:w="11907"/>
      <w:pgMar w:bottom="1418" w:footer="709" w:gutter="0" w:header="709" w:left="1701"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6AE0E" w14:textId="7A578166" w:rsidR="007561DA" w:rsidRPr="006E5826" w:rsidRDefault="007561DA" w:rsidP="002D0786">
    <w:pPr>
      <w:pStyle w:val="Footer"/>
      <w:tabs>
        <w:tab w:val="clear" w:pos="6237"/>
        <w:tab w:val="clear" w:pos="9360"/>
      </w:tabs>
      <w:jc w:val="center"/>
      <w:rPr>
        <w:szCs w:val="20"/>
        <w:lang w:val="et-EE"/>
      </w:rPr>
    </w:pPr>
    <w:r w:rsidRPr="006E5826">
      <w:rPr>
        <w:szCs w:val="20"/>
      </w:rPr>
      <w:t>Kohtla-J</w:t>
    </w:r>
    <w:r w:rsidRPr="006E5826">
      <w:rPr>
        <w:szCs w:val="20"/>
        <w:lang w:val="et-EE"/>
      </w:rPr>
      <w:t xml:space="preserve">ärve, </w:t>
    </w:r>
    <w:r w:rsidRPr="006E5826">
      <w:rPr>
        <w:szCs w:val="20"/>
        <w:lang w:val="et-EE"/>
      </w:rPr>
      <w:fldChar w:fldCharType="begin"/>
    </w:r>
    <w:r w:rsidRPr="006E5826">
      <w:rPr>
        <w:szCs w:val="20"/>
        <w:lang w:val="et-EE"/>
      </w:rPr>
      <w:instrText xml:space="preserve"> DATE  \@ "yyyy"  \* MERGEFORMAT </w:instrText>
    </w:r>
    <w:r w:rsidRPr="006E5826">
      <w:rPr>
        <w:szCs w:val="20"/>
        <w:lang w:val="et-EE"/>
      </w:rPr>
      <w:fldChar w:fldCharType="separate"/>
    </w:r>
    <w:r w:rsidR="002162D3">
      <w:rPr>
        <w:noProof/>
        <w:szCs w:val="20"/>
        <w:lang w:val="et-EE"/>
      </w:rPr>
      <w:t>2025</w:t>
    </w:r>
    <w:r w:rsidRPr="006E5826">
      <w:rPr>
        <w:szCs w:val="20"/>
        <w:lang w:val="et-E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F489" w14:textId="77777777" w:rsidR="007561DA" w:rsidRPr="00497177" w:rsidRDefault="007561DA" w:rsidP="006275EC">
    <w:pPr>
      <w:pStyle w:val="Footer"/>
      <w:jc w:val="center"/>
      <w:rPr>
        <w:szCs w:val="24"/>
      </w:rPr>
    </w:pPr>
    <w:r w:rsidRPr="00497177">
      <w:rPr>
        <w:szCs w:val="24"/>
      </w:rPr>
      <w:t>Kohtla-Järve,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7E4E2" w14:textId="2D250282" w:rsidR="00CA6339" w:rsidRPr="005C7044" w:rsidRDefault="00CA6339" w:rsidP="005C7044">
    <w:pPr>
      <w:pStyle w:val="Footer"/>
      <w:jc w:val="center"/>
      <w:rPr>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487418"/>
      <w:docPartObj>
        <w:docPartGallery w:val="Page Numbers (Bottom of Page)"/>
        <w:docPartUnique/>
      </w:docPartObj>
    </w:sdtPr>
    <w:sdtEndPr>
      <w:rPr>
        <w:noProof/>
        <w:sz w:val="20"/>
        <w:szCs w:val="18"/>
      </w:rPr>
    </w:sdtEndPr>
    <w:sdtContent>
      <w:p w14:paraId="3D1A5F29" w14:textId="00244CA9" w:rsidR="005C7044" w:rsidRPr="005C7044" w:rsidRDefault="005C7044" w:rsidP="005C7044">
        <w:pPr>
          <w:pStyle w:val="Footer"/>
          <w:jc w:val="center"/>
          <w:rPr>
            <w:sz w:val="20"/>
            <w:szCs w:val="18"/>
          </w:rPr>
        </w:pPr>
        <w:r w:rsidRPr="005C7044">
          <w:rPr>
            <w:sz w:val="20"/>
            <w:szCs w:val="18"/>
          </w:rPr>
          <w:fldChar w:fldCharType="begin"/>
        </w:r>
        <w:r w:rsidRPr="005C7044">
          <w:rPr>
            <w:sz w:val="20"/>
            <w:szCs w:val="18"/>
          </w:rPr>
          <w:instrText xml:space="preserve"> PAGE   \* MERGEFORMAT </w:instrText>
        </w:r>
        <w:r w:rsidRPr="005C7044">
          <w:rPr>
            <w:sz w:val="20"/>
            <w:szCs w:val="18"/>
          </w:rPr>
          <w:fldChar w:fldCharType="separate"/>
        </w:r>
        <w:r w:rsidRPr="005C7044">
          <w:rPr>
            <w:noProof/>
            <w:sz w:val="20"/>
            <w:szCs w:val="18"/>
          </w:rPr>
          <w:t>2</w:t>
        </w:r>
        <w:r w:rsidRPr="005C7044">
          <w:rPr>
            <w:noProof/>
            <w:sz w:val="20"/>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E9A734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84E59C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9FA2E4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A4C2C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4A749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1E0F37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B249DC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9D8910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3481EE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23CAF3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2B03760"/>
    <w:multiLevelType w:val="hybridMultilevel"/>
    <w:tmpl w:val="5B702CD2"/>
    <w:lvl w:ilvl="0" w:tplc="0425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1">
    <w:nsid w:val="03BD0F4A"/>
    <w:multiLevelType w:val="hybridMultilevel"/>
    <w:tmpl w:val="00F03C82"/>
    <w:lvl w:ilvl="0" w:tplc="99664386">
      <w:start w:val="1"/>
      <w:numFmt w:val="decimal"/>
      <w:pStyle w:val="References"/>
      <w:lvlText w:val="%1."/>
      <w:lvlJc w:val="left"/>
      <w:pPr>
        <w:ind w:hanging="360" w:left="360"/>
      </w:pPr>
    </w:lvl>
    <w:lvl w:ilvl="1" w:tentative="1" w:tplc="04250019">
      <w:start w:val="1"/>
      <w:numFmt w:val="lowerLetter"/>
      <w:lvlText w:val="%2."/>
      <w:lvlJc w:val="left"/>
      <w:pPr>
        <w:ind w:hanging="360" w:left="1080"/>
      </w:pPr>
    </w:lvl>
    <w:lvl w:ilvl="2" w:tentative="1" w:tplc="0425001B">
      <w:start w:val="1"/>
      <w:numFmt w:val="lowerRoman"/>
      <w:lvlText w:val="%3."/>
      <w:lvlJc w:val="right"/>
      <w:pPr>
        <w:ind w:hanging="180" w:left="1800"/>
      </w:pPr>
    </w:lvl>
    <w:lvl w:ilvl="3" w:tentative="1" w:tplc="0425000F">
      <w:start w:val="1"/>
      <w:numFmt w:val="decimal"/>
      <w:lvlText w:val="%4."/>
      <w:lvlJc w:val="left"/>
      <w:pPr>
        <w:ind w:hanging="360" w:left="2520"/>
      </w:pPr>
    </w:lvl>
    <w:lvl w:ilvl="4" w:tentative="1" w:tplc="04250019">
      <w:start w:val="1"/>
      <w:numFmt w:val="lowerLetter"/>
      <w:lvlText w:val="%5."/>
      <w:lvlJc w:val="left"/>
      <w:pPr>
        <w:ind w:hanging="360" w:left="3240"/>
      </w:pPr>
    </w:lvl>
    <w:lvl w:ilvl="5" w:tentative="1" w:tplc="0425001B">
      <w:start w:val="1"/>
      <w:numFmt w:val="lowerRoman"/>
      <w:lvlText w:val="%6."/>
      <w:lvlJc w:val="right"/>
      <w:pPr>
        <w:ind w:hanging="180" w:left="3960"/>
      </w:pPr>
    </w:lvl>
    <w:lvl w:ilvl="6" w:tentative="1" w:tplc="0425000F">
      <w:start w:val="1"/>
      <w:numFmt w:val="decimal"/>
      <w:lvlText w:val="%7."/>
      <w:lvlJc w:val="left"/>
      <w:pPr>
        <w:ind w:hanging="360" w:left="4680"/>
      </w:pPr>
    </w:lvl>
    <w:lvl w:ilvl="7" w:tentative="1" w:tplc="04250019">
      <w:start w:val="1"/>
      <w:numFmt w:val="lowerLetter"/>
      <w:lvlText w:val="%8."/>
      <w:lvlJc w:val="left"/>
      <w:pPr>
        <w:ind w:hanging="360" w:left="5400"/>
      </w:pPr>
    </w:lvl>
    <w:lvl w:ilvl="8" w:tentative="1" w:tplc="0425001B">
      <w:start w:val="1"/>
      <w:numFmt w:val="lowerRoman"/>
      <w:lvlText w:val="%9."/>
      <w:lvlJc w:val="right"/>
      <w:pPr>
        <w:ind w:hanging="180" w:left="6120"/>
      </w:pPr>
    </w:lvl>
  </w:abstractNum>
  <w:abstractNum w15:restartNumberingAfterBreak="0" w:abstractNumId="12">
    <w:nsid w:val="0B922086"/>
    <w:multiLevelType w:val="multilevel"/>
    <w:tmpl w:val="BAB89494"/>
    <w:lvl w:ilvl="0">
      <w:start w:val="1"/>
      <w:numFmt w:val="decimal"/>
      <w:lvlText w:val="%1."/>
      <w:lvlJc w:val="left"/>
      <w:pPr>
        <w:ind w:firstLine="19" w:left="0"/>
      </w:pPr>
      <w:rPr>
        <w:rFonts w:cs="Times New Roman"/>
      </w:rPr>
    </w:lvl>
    <w:lvl w:ilvl="1">
      <w:start w:val="1"/>
      <w:numFmt w:val="decimal"/>
      <w:isLgl/>
      <w:suff w:val="space"/>
      <w:lvlText w:val="%1.%2."/>
      <w:lvlJc w:val="left"/>
      <w:pPr>
        <w:ind w:firstLine="113" w:left="0"/>
      </w:pPr>
      <w:rPr>
        <w:rFonts w:cs="Times New Roman"/>
      </w:rPr>
    </w:lvl>
    <w:lvl w:ilvl="2">
      <w:start w:val="1"/>
      <w:numFmt w:val="decimal"/>
      <w:isLgl/>
      <w:lvlText w:val="%1.%2.%3."/>
      <w:lvlJc w:val="left"/>
      <w:pPr>
        <w:ind w:hanging="720" w:left="739"/>
      </w:pPr>
      <w:rPr>
        <w:rFonts w:cs="Times New Roman"/>
      </w:rPr>
    </w:lvl>
    <w:lvl w:ilvl="3">
      <w:start w:val="1"/>
      <w:numFmt w:val="decimal"/>
      <w:isLgl/>
      <w:lvlText w:val="%1.%2.%3.%4."/>
      <w:lvlJc w:val="left"/>
      <w:pPr>
        <w:ind w:hanging="720" w:left="739"/>
      </w:pPr>
      <w:rPr>
        <w:rFonts w:cs="Times New Roman"/>
      </w:rPr>
    </w:lvl>
    <w:lvl w:ilvl="4">
      <w:start w:val="1"/>
      <w:numFmt w:val="decimal"/>
      <w:isLgl/>
      <w:lvlText w:val="%1.%2.%3.%4.%5."/>
      <w:lvlJc w:val="left"/>
      <w:pPr>
        <w:ind w:hanging="1080" w:left="1099"/>
      </w:pPr>
      <w:rPr>
        <w:rFonts w:cs="Times New Roman"/>
      </w:rPr>
    </w:lvl>
    <w:lvl w:ilvl="5">
      <w:start w:val="1"/>
      <w:numFmt w:val="decimal"/>
      <w:isLgl/>
      <w:lvlText w:val="%1.%2.%3.%4.%5.%6."/>
      <w:lvlJc w:val="left"/>
      <w:pPr>
        <w:ind w:hanging="1080" w:left="1099"/>
      </w:pPr>
      <w:rPr>
        <w:rFonts w:cs="Times New Roman"/>
      </w:rPr>
    </w:lvl>
    <w:lvl w:ilvl="6">
      <w:start w:val="1"/>
      <w:numFmt w:val="decimal"/>
      <w:isLgl/>
      <w:lvlText w:val="%1.%2.%3.%4.%5.%6.%7."/>
      <w:lvlJc w:val="left"/>
      <w:pPr>
        <w:ind w:hanging="1440" w:left="1459"/>
      </w:pPr>
      <w:rPr>
        <w:rFonts w:cs="Times New Roman"/>
      </w:rPr>
    </w:lvl>
    <w:lvl w:ilvl="7">
      <w:start w:val="1"/>
      <w:numFmt w:val="decimal"/>
      <w:isLgl/>
      <w:lvlText w:val="%1.%2.%3.%4.%5.%6.%7.%8."/>
      <w:lvlJc w:val="left"/>
      <w:pPr>
        <w:ind w:hanging="1440" w:left="1459"/>
      </w:pPr>
      <w:rPr>
        <w:rFonts w:cs="Times New Roman"/>
      </w:rPr>
    </w:lvl>
    <w:lvl w:ilvl="8">
      <w:start w:val="1"/>
      <w:numFmt w:val="decimal"/>
      <w:isLgl/>
      <w:lvlText w:val="%1.%2.%3.%4.%5.%6.%7.%8.%9."/>
      <w:lvlJc w:val="left"/>
      <w:pPr>
        <w:ind w:hanging="1800" w:left="1819"/>
      </w:pPr>
      <w:rPr>
        <w:rFonts w:cs="Times New Roman"/>
      </w:rPr>
    </w:lvl>
  </w:abstractNum>
  <w:abstractNum w15:restartNumberingAfterBreak="0" w:abstractNumId="13">
    <w:nsid w:val="106C392F"/>
    <w:multiLevelType w:val="multilevel"/>
    <w:tmpl w:val="874AA586"/>
    <w:lvl w:ilvl="0">
      <w:start w:val="1"/>
      <w:numFmt w:val="decimal"/>
      <w:lvlText w:val="Lisa %1 "/>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15:restartNumberingAfterBreak="0" w:abstractNumId="14">
    <w:nsid w:val="16224634"/>
    <w:multiLevelType w:val="hybridMultilevel"/>
    <w:tmpl w:val="A42E1794"/>
    <w:lvl w:ilvl="0" w:tplc="CB46EE28">
      <w:start w:val="1"/>
      <w:numFmt w:val="bullet"/>
      <w:pStyle w:val="List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1AE904F2"/>
    <w:multiLevelType w:val="multilevel"/>
    <w:tmpl w:val="B3707010"/>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6">
    <w:nsid w:val="1E042C9B"/>
    <w:multiLevelType w:val="multilevel"/>
    <w:tmpl w:val="E1AAF81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317F1445"/>
    <w:multiLevelType w:val="hybridMultilevel"/>
    <w:tmpl w:val="A0267EE8"/>
    <w:lvl w:ilvl="0" w:tplc="0409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8">
    <w:nsid w:val="34723D21"/>
    <w:multiLevelType w:val="hybridMultilevel"/>
    <w:tmpl w:val="4AFC1D88"/>
    <w:lvl w:ilvl="0" w:tplc="4D4245EA">
      <w:start w:val="1"/>
      <w:numFmt w:val="decimal"/>
      <w:pStyle w:val="Headinglisa"/>
      <w:lvlText w:val="Lisa %1 "/>
      <w:lvlJc w:val="left"/>
      <w:pPr>
        <w:ind w:hanging="360" w:left="720"/>
      </w:pPr>
      <w:rPr>
        <w:rFonts w:hint="default"/>
        <w:b/>
      </w:r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9">
    <w:nsid w:val="412027A1"/>
    <w:multiLevelType w:val="multilevel"/>
    <w:tmpl w:val="84B20B9E"/>
    <w:lvl w:ilvl="0">
      <w:start w:val="1"/>
      <w:numFmt w:val="decimal"/>
      <w:pStyle w:val="Lisatekst"/>
      <w:suff w:val="space"/>
      <w:lvlText w:val="%1."/>
      <w:lvlJc w:val="left"/>
      <w:pPr>
        <w:ind w:firstLine="0" w:left="0"/>
      </w:pPr>
      <w:rPr>
        <w:b/>
      </w:r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suff w:val="space"/>
      <w:lvlText w:val="%1.%2.%3.%4"/>
      <w:lvlJc w:val="left"/>
      <w:pPr>
        <w:ind w:firstLine="0" w:left="0"/>
      </w:pPr>
    </w:lvl>
    <w:lvl w:ilvl="4">
      <w:start w:val="1"/>
      <w:numFmt w:val="decimal"/>
      <w:suff w:val="space"/>
      <w:lvlText w:val="%1.%2.%3.%4.%5"/>
      <w:lvlJc w:val="left"/>
      <w:pPr>
        <w:ind w:firstLine="0" w:left="0"/>
      </w:pPr>
    </w:lvl>
    <w:lvl w:ilvl="5">
      <w:start w:val="1"/>
      <w:numFmt w:val="decimal"/>
      <w:suff w:val="space"/>
      <w:lvlText w:val="%1.%2.%3.%4.%5.%6"/>
      <w:lvlJc w:val="left"/>
      <w:pPr>
        <w:ind w:firstLine="0" w:left="0"/>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20">
    <w:nsid w:val="44B93294"/>
    <w:multiLevelType w:val="singleLevel"/>
    <w:tmpl w:val="350C6D62"/>
    <w:lvl w:ilvl="0">
      <w:start w:val="1"/>
      <w:numFmt w:val="decimal"/>
      <w:pStyle w:val="Headingappendices"/>
      <w:lvlText w:val="Lisa %1"/>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abstractNum>
  <w:abstractNum w15:restartNumberingAfterBreak="0" w:abstractNumId="21">
    <w:nsid w:val="48510619"/>
    <w:multiLevelType w:val="multilevel"/>
    <w:tmpl w:val="623C1720"/>
    <w:lvl w:ilvl="0">
      <w:start w:val="1"/>
      <w:numFmt w:val="decimal"/>
      <w:pStyle w:val="ListNumbered"/>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486C1D50"/>
    <w:multiLevelType w:val="multilevel"/>
    <w:tmpl w:val="4DD2CEC8"/>
    <w:styleLink w:val="Style1"/>
    <w:lvl w:ilvl="0">
      <w:start w:val="1"/>
      <w:numFmt w:val="decimal"/>
      <w:lvlText w:val="Lisa %1 ."/>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bullet"/>
      <w:lvlText w:val=""/>
      <w:lvlJc w:val="left"/>
      <w:pPr>
        <w:ind w:firstLine="0" w:left="0"/>
      </w:pPr>
      <w:rPr>
        <w:rFonts w:hint="default"/>
      </w:rPr>
    </w:lvl>
    <w:lvl w:ilvl="2">
      <w:start w:val="1"/>
      <w:numFmt w:val="bullet"/>
      <w:lvlText w:val=""/>
      <w:lvlJc w:val="left"/>
      <w:pPr>
        <w:ind w:firstLine="0" w:left="0"/>
      </w:pPr>
      <w:rPr>
        <w:rFonts w:hint="default"/>
      </w:rPr>
    </w:lvl>
    <w:lvl w:ilvl="3">
      <w:start w:val="1"/>
      <w:numFmt w:val="bullet"/>
      <w:lvlText w:val=""/>
      <w:lvlJc w:val="left"/>
      <w:pPr>
        <w:ind w:firstLine="0" w:left="0"/>
      </w:pPr>
      <w:rPr>
        <w:rFonts w:hint="default"/>
      </w:rPr>
    </w:lvl>
    <w:lvl w:ilvl="4">
      <w:start w:val="1"/>
      <w:numFmt w:val="bullet"/>
      <w:lvlText w:val=""/>
      <w:lvlJc w:val="left"/>
      <w:pPr>
        <w:ind w:firstLine="0" w:left="0"/>
      </w:pPr>
      <w:rPr>
        <w:rFonts w:hint="default"/>
      </w:rPr>
    </w:lvl>
    <w:lvl w:ilvl="5">
      <w:start w:val="1"/>
      <w:numFmt w:val="bullet"/>
      <w:lvlText w:val=""/>
      <w:lvlJc w:val="left"/>
      <w:pPr>
        <w:ind w:firstLine="0" w:left="0"/>
      </w:pPr>
      <w:rPr>
        <w:rFonts w:hint="default"/>
      </w:rPr>
    </w:lvl>
    <w:lvl w:ilvl="6">
      <w:start w:val="1"/>
      <w:numFmt w:val="bullet"/>
      <w:lvlText w:val=""/>
      <w:lvlJc w:val="left"/>
      <w:pPr>
        <w:ind w:firstLine="0" w:left="0"/>
      </w:pPr>
      <w:rPr>
        <w:rFonts w:hint="default"/>
      </w:rPr>
    </w:lvl>
    <w:lvl w:ilvl="7">
      <w:start w:val="1"/>
      <w:numFmt w:val="bullet"/>
      <w:lvlText w:val=""/>
      <w:lvlJc w:val="left"/>
      <w:pPr>
        <w:ind w:firstLine="0" w:left="0"/>
      </w:pPr>
      <w:rPr>
        <w:rFonts w:hint="default"/>
      </w:rPr>
    </w:lvl>
    <w:lvl w:ilvl="8">
      <w:start w:val="1"/>
      <w:numFmt w:val="bullet"/>
      <w:lvlText w:val=""/>
      <w:lvlJc w:val="left"/>
      <w:pPr>
        <w:ind w:firstLine="0" w:left="0"/>
      </w:pPr>
      <w:rPr>
        <w:rFonts w:hint="default"/>
      </w:rPr>
    </w:lvl>
  </w:abstractNum>
  <w:abstractNum w15:restartNumberingAfterBreak="0" w:abstractNumId="23">
    <w:nsid w:val="518059CD"/>
    <w:multiLevelType w:val="hybridMultilevel"/>
    <w:tmpl w:val="26DE6AD8"/>
    <w:lvl w:ilvl="0" w:tplc="E6B08880">
      <w:start w:val="1"/>
      <w:numFmt w:val="bullet"/>
      <w:pStyle w:val="Listid"/>
      <w:lvlText w:val=""/>
      <w:lvlJc w:val="left"/>
      <w:pPr>
        <w:ind w:hanging="360" w:left="720"/>
      </w:pPr>
      <w:rPr>
        <w:rFonts w:ascii="Symbol" w:hAnsi="Symbol" w:hint="default"/>
      </w:rPr>
    </w:lvl>
    <w:lvl w:ilvl="1" w:tentative="1" w:tplc="04250019">
      <w:start w:val="1"/>
      <w:numFmt w:val="bullet"/>
      <w:lvlText w:val="o"/>
      <w:lvlJc w:val="left"/>
      <w:pPr>
        <w:ind w:hanging="360" w:left="1440"/>
      </w:pPr>
      <w:rPr>
        <w:rFonts w:ascii="Courier New" w:cs="Courier New" w:hAnsi="Courier New" w:hint="default"/>
      </w:rPr>
    </w:lvl>
    <w:lvl w:ilvl="2" w:tentative="1" w:tplc="0425001B">
      <w:start w:val="1"/>
      <w:numFmt w:val="bullet"/>
      <w:lvlText w:val=""/>
      <w:lvlJc w:val="left"/>
      <w:pPr>
        <w:ind w:hanging="360" w:left="2160"/>
      </w:pPr>
      <w:rPr>
        <w:rFonts w:ascii="Wingdings" w:hAnsi="Wingdings" w:hint="default"/>
      </w:rPr>
    </w:lvl>
    <w:lvl w:ilvl="3" w:tentative="1" w:tplc="0425000F">
      <w:start w:val="1"/>
      <w:numFmt w:val="bullet"/>
      <w:lvlText w:val=""/>
      <w:lvlJc w:val="left"/>
      <w:pPr>
        <w:ind w:hanging="360" w:left="2880"/>
      </w:pPr>
      <w:rPr>
        <w:rFonts w:ascii="Symbol" w:hAnsi="Symbol" w:hint="default"/>
      </w:rPr>
    </w:lvl>
    <w:lvl w:ilvl="4" w:tentative="1" w:tplc="04250019">
      <w:start w:val="1"/>
      <w:numFmt w:val="bullet"/>
      <w:lvlText w:val="o"/>
      <w:lvlJc w:val="left"/>
      <w:pPr>
        <w:ind w:hanging="360" w:left="3600"/>
      </w:pPr>
      <w:rPr>
        <w:rFonts w:ascii="Courier New" w:cs="Courier New" w:hAnsi="Courier New" w:hint="default"/>
      </w:rPr>
    </w:lvl>
    <w:lvl w:ilvl="5" w:tentative="1" w:tplc="0425001B">
      <w:start w:val="1"/>
      <w:numFmt w:val="bullet"/>
      <w:lvlText w:val=""/>
      <w:lvlJc w:val="left"/>
      <w:pPr>
        <w:ind w:hanging="360" w:left="4320"/>
      </w:pPr>
      <w:rPr>
        <w:rFonts w:ascii="Wingdings" w:hAnsi="Wingdings" w:hint="default"/>
      </w:rPr>
    </w:lvl>
    <w:lvl w:ilvl="6" w:tentative="1" w:tplc="0425000F">
      <w:start w:val="1"/>
      <w:numFmt w:val="bullet"/>
      <w:lvlText w:val=""/>
      <w:lvlJc w:val="left"/>
      <w:pPr>
        <w:ind w:hanging="360" w:left="5040"/>
      </w:pPr>
      <w:rPr>
        <w:rFonts w:ascii="Symbol" w:hAnsi="Symbol" w:hint="default"/>
      </w:rPr>
    </w:lvl>
    <w:lvl w:ilvl="7" w:tentative="1" w:tplc="04250019">
      <w:start w:val="1"/>
      <w:numFmt w:val="bullet"/>
      <w:lvlText w:val="o"/>
      <w:lvlJc w:val="left"/>
      <w:pPr>
        <w:ind w:hanging="360" w:left="5760"/>
      </w:pPr>
      <w:rPr>
        <w:rFonts w:ascii="Courier New" w:cs="Courier New" w:hAnsi="Courier New" w:hint="default"/>
      </w:rPr>
    </w:lvl>
    <w:lvl w:ilvl="8" w:tentative="1" w:tplc="0425001B">
      <w:start w:val="1"/>
      <w:numFmt w:val="bullet"/>
      <w:lvlText w:val=""/>
      <w:lvlJc w:val="left"/>
      <w:pPr>
        <w:ind w:hanging="360" w:left="6480"/>
      </w:pPr>
      <w:rPr>
        <w:rFonts w:ascii="Wingdings" w:hAnsi="Wingdings" w:hint="default"/>
      </w:rPr>
    </w:lvl>
  </w:abstractNum>
  <w:abstractNum w15:restartNumberingAfterBreak="0" w:abstractNumId="24">
    <w:nsid w:val="52B8331A"/>
    <w:multiLevelType w:val="multilevel"/>
    <w:tmpl w:val="ECCCF520"/>
    <w:lvl w:ilvl="0">
      <w:start w:val="1"/>
      <w:numFmt w:val="decimal"/>
      <w:lvlText w:val="%1."/>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5">
    <w:nsid w:val="61641666"/>
    <w:multiLevelType w:val="multilevel"/>
    <w:tmpl w:val="065EB9C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6">
    <w:nsid w:val="63237471"/>
    <w:multiLevelType w:val="hybridMultilevel"/>
    <w:tmpl w:val="D9566D82"/>
    <w:lvl w:ilvl="0" w:tplc="0425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27">
    <w:nsid w:val="63ED5106"/>
    <w:multiLevelType w:val="multilevel"/>
    <w:tmpl w:val="39F289C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77490FFA"/>
    <w:multiLevelType w:val="hybridMultilevel"/>
    <w:tmpl w:val="1A70885C"/>
    <w:lvl w:ilvl="0" w:tplc="5EB6D3B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79115F0E"/>
    <w:multiLevelType w:val="multilevel"/>
    <w:tmpl w:val="E1AAF81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0">
    <w:nsid w:val="792E362E"/>
    <w:multiLevelType w:val="multilevel"/>
    <w:tmpl w:val="65087922"/>
    <w:lvl w:ilvl="0">
      <w:start w:val="1"/>
      <w:numFmt w:val="bullet"/>
      <w:lvlText w:val="●"/>
      <w:lvlJc w:val="left"/>
      <w:pPr>
        <w:ind w:hanging="360" w:left="360"/>
      </w:pPr>
      <w:rPr>
        <w:rFonts w:ascii="Verdana" w:cs="Noto Sans Symbols" w:eastAsia="Noto Sans Symbols" w:hAnsi="Verdana" w:hint="default"/>
        <w:color w:val="auto"/>
        <w:sz w:val="20"/>
        <w:szCs w:val="20"/>
      </w:rPr>
    </w:lvl>
    <w:lvl w:ilvl="1">
      <w:start w:val="1"/>
      <w:numFmt w:val="decimal"/>
      <w:lvlText w:val="%2."/>
      <w:lvlJc w:val="left"/>
      <w:pPr>
        <w:ind w:hanging="360" w:left="502"/>
      </w:pPr>
      <w:rPr>
        <w:color w:val="auto"/>
      </w:rPr>
    </w:lvl>
    <w:lvl w:ilvl="2">
      <w:start w:val="1"/>
      <w:numFmt w:val="lowerRoman"/>
      <w:lvlText w:val="%3."/>
      <w:lvlJc w:val="right"/>
      <w:pPr>
        <w:ind w:hanging="180" w:left="2220"/>
      </w:pPr>
    </w:lvl>
    <w:lvl w:ilvl="3">
      <w:start w:val="1"/>
      <w:numFmt w:val="decimal"/>
      <w:lvlText w:val="%4."/>
      <w:lvlJc w:val="left"/>
      <w:pPr>
        <w:ind w:hanging="360" w:left="2940"/>
      </w:pPr>
    </w:lvl>
    <w:lvl w:ilvl="4">
      <w:start w:val="1"/>
      <w:numFmt w:val="lowerLetter"/>
      <w:lvlText w:val="%5."/>
      <w:lvlJc w:val="left"/>
      <w:pPr>
        <w:ind w:hanging="360" w:left="3660"/>
      </w:pPr>
    </w:lvl>
    <w:lvl w:ilvl="5">
      <w:start w:val="1"/>
      <w:numFmt w:val="lowerRoman"/>
      <w:lvlText w:val="%6."/>
      <w:lvlJc w:val="right"/>
      <w:pPr>
        <w:ind w:hanging="180" w:left="4380"/>
      </w:pPr>
    </w:lvl>
    <w:lvl w:ilvl="6">
      <w:start w:val="1"/>
      <w:numFmt w:val="decimal"/>
      <w:lvlText w:val="%7."/>
      <w:lvlJc w:val="left"/>
      <w:pPr>
        <w:ind w:hanging="360" w:left="5100"/>
      </w:pPr>
    </w:lvl>
    <w:lvl w:ilvl="7">
      <w:start w:val="1"/>
      <w:numFmt w:val="lowerLetter"/>
      <w:lvlText w:val="%8."/>
      <w:lvlJc w:val="left"/>
      <w:pPr>
        <w:ind w:hanging="360" w:left="5820"/>
      </w:pPr>
    </w:lvl>
    <w:lvl w:ilvl="8">
      <w:start w:val="1"/>
      <w:numFmt w:val="lowerRoman"/>
      <w:lvlText w:val="%9."/>
      <w:lvlJc w:val="right"/>
      <w:pPr>
        <w:ind w:hanging="180" w:left="65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5256933"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0680293" w:numId="2">
    <w:abstractNumId w:val="28"/>
  </w:num>
  <w:num w16cid:durableId="1043168994" w:numId="3">
    <w:abstractNumId w:val="12"/>
  </w:num>
  <w:num w16cid:durableId="1172263493" w:numId="4">
    <w:abstractNumId w:val="24"/>
  </w:num>
  <w:num w16cid:durableId="1700475649" w:numId="5">
    <w:abstractNumId w:val="27"/>
  </w:num>
  <w:num w16cid:durableId="893001116" w:numId="6">
    <w:abstractNumId w:val="10"/>
  </w:num>
  <w:num w16cid:durableId="1277256431" w:numId="7">
    <w:abstractNumId w:val="13"/>
  </w:num>
  <w:num w16cid:durableId="792093441" w:numId="8">
    <w:abstractNumId w:val="23"/>
  </w:num>
  <w:num w16cid:durableId="506557396" w:numId="9">
    <w:abstractNumId w:val="30"/>
  </w:num>
  <w:num w16cid:durableId="953252854" w:numId="10">
    <w:abstractNumId w:val="18"/>
  </w:num>
  <w:num w16cid:durableId="1317226633" w:numId="11">
    <w:abstractNumId w:val="22"/>
  </w:num>
  <w:num w16cid:durableId="866017853" w:numId="12">
    <w:abstractNumId w:val="20"/>
  </w:num>
  <w:num w16cid:durableId="1978563692" w:numId="13">
    <w:abstractNumId w:val="9"/>
  </w:num>
  <w:num w16cid:durableId="1781487580" w:numId="14">
    <w:abstractNumId w:val="7"/>
  </w:num>
  <w:num w16cid:durableId="1190297256" w:numId="15">
    <w:abstractNumId w:val="6"/>
  </w:num>
  <w:num w16cid:durableId="1788155476" w:numId="16">
    <w:abstractNumId w:val="5"/>
  </w:num>
  <w:num w16cid:durableId="1975670395" w:numId="17">
    <w:abstractNumId w:val="4"/>
  </w:num>
  <w:num w16cid:durableId="606043151" w:numId="18">
    <w:abstractNumId w:val="8"/>
  </w:num>
  <w:num w16cid:durableId="300842199" w:numId="19">
    <w:abstractNumId w:val="3"/>
  </w:num>
  <w:num w16cid:durableId="148255450" w:numId="20">
    <w:abstractNumId w:val="2"/>
  </w:num>
  <w:num w16cid:durableId="960500480" w:numId="21">
    <w:abstractNumId w:val="1"/>
  </w:num>
  <w:num w16cid:durableId="1929657655" w:numId="22">
    <w:abstractNumId w:val="0"/>
  </w:num>
  <w:num w16cid:durableId="2096510439" w:numId="23">
    <w:abstractNumId w:val="14"/>
  </w:num>
  <w:num w16cid:durableId="1735425596" w:numId="24">
    <w:abstractNumId w:val="29"/>
  </w:num>
  <w:num w16cid:durableId="251593812" w:numId="25">
    <w:abstractNumId w:val="25"/>
  </w:num>
  <w:num w16cid:durableId="690766301" w:numId="26">
    <w:abstractNumId w:val="21"/>
  </w:num>
  <w:num w16cid:durableId="1932426762" w:numId="27">
    <w:abstractNumId w:val="16"/>
  </w:num>
  <w:num w16cid:durableId="1248659116" w:numId="28">
    <w:abstractNumId w:val="17"/>
  </w:num>
  <w:num w16cid:durableId="481118563" w:numId="29">
    <w:abstractNumId w:val="11"/>
  </w:num>
  <w:num w16cid:durableId="920138008" w:numId="30">
    <w:abstractNumId w:val="15"/>
  </w:num>
  <w:num w16cid:durableId="1547527950" w:numId="31">
    <w:abstractNumId w:val="2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4536"/>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3C"/>
    <w:rsid w:val="000028EC"/>
    <w:rsid w:val="000043C6"/>
    <w:rsid w:val="00006336"/>
    <w:rsid w:val="0001204E"/>
    <w:rsid w:val="00016A2A"/>
    <w:rsid w:val="00026B9C"/>
    <w:rsid w:val="00031492"/>
    <w:rsid w:val="00031CD5"/>
    <w:rsid w:val="00032507"/>
    <w:rsid w:val="00033797"/>
    <w:rsid w:val="000349D2"/>
    <w:rsid w:val="0003716A"/>
    <w:rsid w:val="00044BF0"/>
    <w:rsid w:val="000457C3"/>
    <w:rsid w:val="00050563"/>
    <w:rsid w:val="000516D9"/>
    <w:rsid w:val="00053440"/>
    <w:rsid w:val="00057FA2"/>
    <w:rsid w:val="000601E0"/>
    <w:rsid w:val="00062641"/>
    <w:rsid w:val="000643C3"/>
    <w:rsid w:val="0006602D"/>
    <w:rsid w:val="00070207"/>
    <w:rsid w:val="00071A77"/>
    <w:rsid w:val="000722BD"/>
    <w:rsid w:val="00073F52"/>
    <w:rsid w:val="00076E25"/>
    <w:rsid w:val="00077C0C"/>
    <w:rsid w:val="000819FD"/>
    <w:rsid w:val="0008389B"/>
    <w:rsid w:val="000852A7"/>
    <w:rsid w:val="00087238"/>
    <w:rsid w:val="00087AA2"/>
    <w:rsid w:val="000910C0"/>
    <w:rsid w:val="000953DB"/>
    <w:rsid w:val="000A2F6D"/>
    <w:rsid w:val="000A3E14"/>
    <w:rsid w:val="000B0202"/>
    <w:rsid w:val="000C02E7"/>
    <w:rsid w:val="000C1988"/>
    <w:rsid w:val="000C3493"/>
    <w:rsid w:val="000C5FCF"/>
    <w:rsid w:val="000C617F"/>
    <w:rsid w:val="000D190B"/>
    <w:rsid w:val="000E459F"/>
    <w:rsid w:val="000E45CD"/>
    <w:rsid w:val="000E6420"/>
    <w:rsid w:val="000F1160"/>
    <w:rsid w:val="000F15F0"/>
    <w:rsid w:val="000F59AF"/>
    <w:rsid w:val="0010055A"/>
    <w:rsid w:val="001028EB"/>
    <w:rsid w:val="001050CC"/>
    <w:rsid w:val="00106247"/>
    <w:rsid w:val="00115873"/>
    <w:rsid w:val="001170D7"/>
    <w:rsid w:val="001175DC"/>
    <w:rsid w:val="00120D7D"/>
    <w:rsid w:val="00121A23"/>
    <w:rsid w:val="00121BCD"/>
    <w:rsid w:val="00121CC9"/>
    <w:rsid w:val="001254A9"/>
    <w:rsid w:val="001266DE"/>
    <w:rsid w:val="00127D2E"/>
    <w:rsid w:val="00133A70"/>
    <w:rsid w:val="00137AD6"/>
    <w:rsid w:val="00137CDE"/>
    <w:rsid w:val="00137F28"/>
    <w:rsid w:val="00143245"/>
    <w:rsid w:val="00143F2F"/>
    <w:rsid w:val="00153574"/>
    <w:rsid w:val="00155DBB"/>
    <w:rsid w:val="00155F8F"/>
    <w:rsid w:val="00161891"/>
    <w:rsid w:val="001651C8"/>
    <w:rsid w:val="0016742E"/>
    <w:rsid w:val="0016753F"/>
    <w:rsid w:val="00172A08"/>
    <w:rsid w:val="00172EEF"/>
    <w:rsid w:val="00173369"/>
    <w:rsid w:val="00173EA0"/>
    <w:rsid w:val="0018708F"/>
    <w:rsid w:val="00190F93"/>
    <w:rsid w:val="00192153"/>
    <w:rsid w:val="00192840"/>
    <w:rsid w:val="001A068D"/>
    <w:rsid w:val="001A2A58"/>
    <w:rsid w:val="001A39AA"/>
    <w:rsid w:val="001A699F"/>
    <w:rsid w:val="001A6B12"/>
    <w:rsid w:val="001A717B"/>
    <w:rsid w:val="001B53C5"/>
    <w:rsid w:val="001B76BF"/>
    <w:rsid w:val="001B78CC"/>
    <w:rsid w:val="001C2DB4"/>
    <w:rsid w:val="001C598C"/>
    <w:rsid w:val="001D5995"/>
    <w:rsid w:val="001E047B"/>
    <w:rsid w:val="001E418B"/>
    <w:rsid w:val="001E4E9F"/>
    <w:rsid w:val="001E7944"/>
    <w:rsid w:val="001F144E"/>
    <w:rsid w:val="001F1838"/>
    <w:rsid w:val="001F2259"/>
    <w:rsid w:val="001F4298"/>
    <w:rsid w:val="001F4F71"/>
    <w:rsid w:val="0020080E"/>
    <w:rsid w:val="00201200"/>
    <w:rsid w:val="002044C0"/>
    <w:rsid w:val="00205138"/>
    <w:rsid w:val="002072ED"/>
    <w:rsid w:val="002108F2"/>
    <w:rsid w:val="00211B2D"/>
    <w:rsid w:val="0021276C"/>
    <w:rsid w:val="00212A2E"/>
    <w:rsid w:val="00212BA3"/>
    <w:rsid w:val="002134E5"/>
    <w:rsid w:val="00215BC2"/>
    <w:rsid w:val="002162D3"/>
    <w:rsid w:val="00216599"/>
    <w:rsid w:val="002173F5"/>
    <w:rsid w:val="00217F29"/>
    <w:rsid w:val="002238AA"/>
    <w:rsid w:val="00224663"/>
    <w:rsid w:val="002267DE"/>
    <w:rsid w:val="0022753B"/>
    <w:rsid w:val="00232EC7"/>
    <w:rsid w:val="002337A7"/>
    <w:rsid w:val="002371D8"/>
    <w:rsid w:val="00237676"/>
    <w:rsid w:val="002425F7"/>
    <w:rsid w:val="00242AFE"/>
    <w:rsid w:val="00244B47"/>
    <w:rsid w:val="0024756B"/>
    <w:rsid w:val="0025123A"/>
    <w:rsid w:val="00252DCD"/>
    <w:rsid w:val="0025680A"/>
    <w:rsid w:val="00260665"/>
    <w:rsid w:val="0026087E"/>
    <w:rsid w:val="00267671"/>
    <w:rsid w:val="002704BF"/>
    <w:rsid w:val="00271699"/>
    <w:rsid w:val="00273A77"/>
    <w:rsid w:val="00277E17"/>
    <w:rsid w:val="00283B0B"/>
    <w:rsid w:val="00285C54"/>
    <w:rsid w:val="002875ED"/>
    <w:rsid w:val="00294DD0"/>
    <w:rsid w:val="002A2C13"/>
    <w:rsid w:val="002A6155"/>
    <w:rsid w:val="002A7B02"/>
    <w:rsid w:val="002B02F3"/>
    <w:rsid w:val="002B502B"/>
    <w:rsid w:val="002B6055"/>
    <w:rsid w:val="002C7460"/>
    <w:rsid w:val="002D0786"/>
    <w:rsid w:val="002D1288"/>
    <w:rsid w:val="002D2049"/>
    <w:rsid w:val="002D371F"/>
    <w:rsid w:val="002D6BD6"/>
    <w:rsid w:val="002D70CD"/>
    <w:rsid w:val="002E062E"/>
    <w:rsid w:val="002E329F"/>
    <w:rsid w:val="002E3EC5"/>
    <w:rsid w:val="002E613C"/>
    <w:rsid w:val="002F2E5A"/>
    <w:rsid w:val="002F4B3A"/>
    <w:rsid w:val="002F5FFF"/>
    <w:rsid w:val="002F6ABF"/>
    <w:rsid w:val="00301937"/>
    <w:rsid w:val="003058B2"/>
    <w:rsid w:val="003105F1"/>
    <w:rsid w:val="00312D64"/>
    <w:rsid w:val="003147C7"/>
    <w:rsid w:val="00314B1C"/>
    <w:rsid w:val="003156AF"/>
    <w:rsid w:val="00315B2C"/>
    <w:rsid w:val="00317170"/>
    <w:rsid w:val="00326202"/>
    <w:rsid w:val="00330E84"/>
    <w:rsid w:val="0033604C"/>
    <w:rsid w:val="00340DB6"/>
    <w:rsid w:val="00342616"/>
    <w:rsid w:val="00342CC2"/>
    <w:rsid w:val="00344802"/>
    <w:rsid w:val="00347D02"/>
    <w:rsid w:val="0035219B"/>
    <w:rsid w:val="003546E7"/>
    <w:rsid w:val="00354CCB"/>
    <w:rsid w:val="0035621C"/>
    <w:rsid w:val="003573CE"/>
    <w:rsid w:val="0036003B"/>
    <w:rsid w:val="00360053"/>
    <w:rsid w:val="00360310"/>
    <w:rsid w:val="00361E81"/>
    <w:rsid w:val="00362776"/>
    <w:rsid w:val="00364278"/>
    <w:rsid w:val="00365C06"/>
    <w:rsid w:val="00370D3B"/>
    <w:rsid w:val="00370FF6"/>
    <w:rsid w:val="00374715"/>
    <w:rsid w:val="00377855"/>
    <w:rsid w:val="003809D9"/>
    <w:rsid w:val="003809E4"/>
    <w:rsid w:val="0038165D"/>
    <w:rsid w:val="00382076"/>
    <w:rsid w:val="00385B03"/>
    <w:rsid w:val="00385C74"/>
    <w:rsid w:val="00391534"/>
    <w:rsid w:val="00397FAF"/>
    <w:rsid w:val="003A0CB0"/>
    <w:rsid w:val="003A105F"/>
    <w:rsid w:val="003A38AE"/>
    <w:rsid w:val="003A39A8"/>
    <w:rsid w:val="003A5F80"/>
    <w:rsid w:val="003B5C8F"/>
    <w:rsid w:val="003B7BED"/>
    <w:rsid w:val="003B7EE3"/>
    <w:rsid w:val="003C571F"/>
    <w:rsid w:val="003C7ADA"/>
    <w:rsid w:val="003D5908"/>
    <w:rsid w:val="003E06EF"/>
    <w:rsid w:val="003E616A"/>
    <w:rsid w:val="003E7818"/>
    <w:rsid w:val="003F12F4"/>
    <w:rsid w:val="003F1494"/>
    <w:rsid w:val="003F17CB"/>
    <w:rsid w:val="003F1C82"/>
    <w:rsid w:val="003F486B"/>
    <w:rsid w:val="003F6388"/>
    <w:rsid w:val="003F7418"/>
    <w:rsid w:val="003F7FF2"/>
    <w:rsid w:val="004006A6"/>
    <w:rsid w:val="00401A58"/>
    <w:rsid w:val="004078DF"/>
    <w:rsid w:val="004100E1"/>
    <w:rsid w:val="0041013D"/>
    <w:rsid w:val="00411A41"/>
    <w:rsid w:val="00411DA0"/>
    <w:rsid w:val="0041438B"/>
    <w:rsid w:val="004156C7"/>
    <w:rsid w:val="00423446"/>
    <w:rsid w:val="0042532C"/>
    <w:rsid w:val="0043052F"/>
    <w:rsid w:val="00435F5E"/>
    <w:rsid w:val="00446120"/>
    <w:rsid w:val="004468E7"/>
    <w:rsid w:val="004532DB"/>
    <w:rsid w:val="00454885"/>
    <w:rsid w:val="0045686E"/>
    <w:rsid w:val="004573EC"/>
    <w:rsid w:val="004574EE"/>
    <w:rsid w:val="00461C32"/>
    <w:rsid w:val="004622CC"/>
    <w:rsid w:val="0046354A"/>
    <w:rsid w:val="00463581"/>
    <w:rsid w:val="00470E13"/>
    <w:rsid w:val="0047143C"/>
    <w:rsid w:val="004731F9"/>
    <w:rsid w:val="00474817"/>
    <w:rsid w:val="004800B5"/>
    <w:rsid w:val="00480FBE"/>
    <w:rsid w:val="00481FC5"/>
    <w:rsid w:val="00482C09"/>
    <w:rsid w:val="00483D23"/>
    <w:rsid w:val="00484B22"/>
    <w:rsid w:val="00486876"/>
    <w:rsid w:val="00486F7A"/>
    <w:rsid w:val="004872EE"/>
    <w:rsid w:val="0049116A"/>
    <w:rsid w:val="004911EE"/>
    <w:rsid w:val="00492442"/>
    <w:rsid w:val="004926F7"/>
    <w:rsid w:val="00492D63"/>
    <w:rsid w:val="00495B6B"/>
    <w:rsid w:val="00496A14"/>
    <w:rsid w:val="00497177"/>
    <w:rsid w:val="004A1074"/>
    <w:rsid w:val="004A7DE2"/>
    <w:rsid w:val="004B3EE5"/>
    <w:rsid w:val="004B48A9"/>
    <w:rsid w:val="004B4E53"/>
    <w:rsid w:val="004C15EF"/>
    <w:rsid w:val="004C1A61"/>
    <w:rsid w:val="004C1FC8"/>
    <w:rsid w:val="004C2B12"/>
    <w:rsid w:val="004C4950"/>
    <w:rsid w:val="004C6523"/>
    <w:rsid w:val="004D1829"/>
    <w:rsid w:val="004D19D8"/>
    <w:rsid w:val="004D35B9"/>
    <w:rsid w:val="004D442D"/>
    <w:rsid w:val="004E1564"/>
    <w:rsid w:val="004E3EA5"/>
    <w:rsid w:val="004E5628"/>
    <w:rsid w:val="004E6989"/>
    <w:rsid w:val="004E76A0"/>
    <w:rsid w:val="004F2474"/>
    <w:rsid w:val="00506CD1"/>
    <w:rsid w:val="00507296"/>
    <w:rsid w:val="00510307"/>
    <w:rsid w:val="00511269"/>
    <w:rsid w:val="00512760"/>
    <w:rsid w:val="00512E31"/>
    <w:rsid w:val="00514F4B"/>
    <w:rsid w:val="00521686"/>
    <w:rsid w:val="0052393E"/>
    <w:rsid w:val="00523A8D"/>
    <w:rsid w:val="0053354B"/>
    <w:rsid w:val="005352D7"/>
    <w:rsid w:val="0053697C"/>
    <w:rsid w:val="00541156"/>
    <w:rsid w:val="00542050"/>
    <w:rsid w:val="00543561"/>
    <w:rsid w:val="005435EC"/>
    <w:rsid w:val="00546808"/>
    <w:rsid w:val="00547BAB"/>
    <w:rsid w:val="00550C07"/>
    <w:rsid w:val="00553C8E"/>
    <w:rsid w:val="00556FF8"/>
    <w:rsid w:val="005631FE"/>
    <w:rsid w:val="005650E1"/>
    <w:rsid w:val="005654C1"/>
    <w:rsid w:val="0057089D"/>
    <w:rsid w:val="00582511"/>
    <w:rsid w:val="00587BA7"/>
    <w:rsid w:val="00592E64"/>
    <w:rsid w:val="00596FF0"/>
    <w:rsid w:val="005A2779"/>
    <w:rsid w:val="005A585F"/>
    <w:rsid w:val="005A6E9B"/>
    <w:rsid w:val="005B0487"/>
    <w:rsid w:val="005B2E0C"/>
    <w:rsid w:val="005B653F"/>
    <w:rsid w:val="005B68D5"/>
    <w:rsid w:val="005C7044"/>
    <w:rsid w:val="005C769F"/>
    <w:rsid w:val="005D3171"/>
    <w:rsid w:val="005E0E0F"/>
    <w:rsid w:val="005E17ED"/>
    <w:rsid w:val="005E4EC4"/>
    <w:rsid w:val="005E5428"/>
    <w:rsid w:val="005E685E"/>
    <w:rsid w:val="005F28DE"/>
    <w:rsid w:val="005F3FE3"/>
    <w:rsid w:val="005F71F3"/>
    <w:rsid w:val="00600C4D"/>
    <w:rsid w:val="0060481B"/>
    <w:rsid w:val="00604D53"/>
    <w:rsid w:val="00607980"/>
    <w:rsid w:val="00607B12"/>
    <w:rsid w:val="00610330"/>
    <w:rsid w:val="00610BB3"/>
    <w:rsid w:val="00611F94"/>
    <w:rsid w:val="006219FB"/>
    <w:rsid w:val="00624783"/>
    <w:rsid w:val="006257A6"/>
    <w:rsid w:val="006258E1"/>
    <w:rsid w:val="006275EC"/>
    <w:rsid w:val="006319BE"/>
    <w:rsid w:val="006320F0"/>
    <w:rsid w:val="00646728"/>
    <w:rsid w:val="00650CE8"/>
    <w:rsid w:val="00651FDF"/>
    <w:rsid w:val="0065236A"/>
    <w:rsid w:val="00656725"/>
    <w:rsid w:val="00661C87"/>
    <w:rsid w:val="00665676"/>
    <w:rsid w:val="00667A4F"/>
    <w:rsid w:val="00670EC5"/>
    <w:rsid w:val="00671CAA"/>
    <w:rsid w:val="00672CD4"/>
    <w:rsid w:val="006730E3"/>
    <w:rsid w:val="00677199"/>
    <w:rsid w:val="00677E74"/>
    <w:rsid w:val="00680DC0"/>
    <w:rsid w:val="00680FB6"/>
    <w:rsid w:val="006827AB"/>
    <w:rsid w:val="00685EB0"/>
    <w:rsid w:val="00690F1B"/>
    <w:rsid w:val="0069156A"/>
    <w:rsid w:val="00692573"/>
    <w:rsid w:val="006932A6"/>
    <w:rsid w:val="00695615"/>
    <w:rsid w:val="00695CED"/>
    <w:rsid w:val="00696261"/>
    <w:rsid w:val="0069760C"/>
    <w:rsid w:val="006A0E8A"/>
    <w:rsid w:val="006A226C"/>
    <w:rsid w:val="006A63D1"/>
    <w:rsid w:val="006A7F7B"/>
    <w:rsid w:val="006B15AB"/>
    <w:rsid w:val="006C2E8C"/>
    <w:rsid w:val="006C593F"/>
    <w:rsid w:val="006C7901"/>
    <w:rsid w:val="006D34BC"/>
    <w:rsid w:val="006D7688"/>
    <w:rsid w:val="006E2D82"/>
    <w:rsid w:val="006E3B34"/>
    <w:rsid w:val="006E4F29"/>
    <w:rsid w:val="006E5497"/>
    <w:rsid w:val="006E5826"/>
    <w:rsid w:val="006E77DA"/>
    <w:rsid w:val="006F1069"/>
    <w:rsid w:val="006F6980"/>
    <w:rsid w:val="007007CA"/>
    <w:rsid w:val="00700EA5"/>
    <w:rsid w:val="00701273"/>
    <w:rsid w:val="00705620"/>
    <w:rsid w:val="007075D5"/>
    <w:rsid w:val="00712FF7"/>
    <w:rsid w:val="007131FF"/>
    <w:rsid w:val="007208C0"/>
    <w:rsid w:val="00730891"/>
    <w:rsid w:val="00730CFB"/>
    <w:rsid w:val="0073658E"/>
    <w:rsid w:val="00737C19"/>
    <w:rsid w:val="007400C4"/>
    <w:rsid w:val="00740BCB"/>
    <w:rsid w:val="0074169B"/>
    <w:rsid w:val="0074385A"/>
    <w:rsid w:val="00744717"/>
    <w:rsid w:val="00745484"/>
    <w:rsid w:val="00745753"/>
    <w:rsid w:val="0074783E"/>
    <w:rsid w:val="0075089A"/>
    <w:rsid w:val="00750C56"/>
    <w:rsid w:val="00751452"/>
    <w:rsid w:val="007561DA"/>
    <w:rsid w:val="007563C9"/>
    <w:rsid w:val="0076329D"/>
    <w:rsid w:val="007632CE"/>
    <w:rsid w:val="00767900"/>
    <w:rsid w:val="00774165"/>
    <w:rsid w:val="00774E93"/>
    <w:rsid w:val="00776DB3"/>
    <w:rsid w:val="0078147B"/>
    <w:rsid w:val="00782097"/>
    <w:rsid w:val="00783D08"/>
    <w:rsid w:val="00784573"/>
    <w:rsid w:val="00784DD3"/>
    <w:rsid w:val="00787467"/>
    <w:rsid w:val="00795072"/>
    <w:rsid w:val="007A0A5B"/>
    <w:rsid w:val="007A3837"/>
    <w:rsid w:val="007A6834"/>
    <w:rsid w:val="007B060F"/>
    <w:rsid w:val="007B2F8E"/>
    <w:rsid w:val="007B3F25"/>
    <w:rsid w:val="007B74F1"/>
    <w:rsid w:val="007C03F3"/>
    <w:rsid w:val="007C5EBF"/>
    <w:rsid w:val="007D1B10"/>
    <w:rsid w:val="007D3C24"/>
    <w:rsid w:val="007D5C75"/>
    <w:rsid w:val="007E1800"/>
    <w:rsid w:val="007E640C"/>
    <w:rsid w:val="007E785C"/>
    <w:rsid w:val="007F0AA2"/>
    <w:rsid w:val="007F2F86"/>
    <w:rsid w:val="007F38B3"/>
    <w:rsid w:val="007F5D5C"/>
    <w:rsid w:val="008002AB"/>
    <w:rsid w:val="008018D1"/>
    <w:rsid w:val="00803CF9"/>
    <w:rsid w:val="008062AC"/>
    <w:rsid w:val="00807A96"/>
    <w:rsid w:val="00810D1F"/>
    <w:rsid w:val="00815536"/>
    <w:rsid w:val="0081738B"/>
    <w:rsid w:val="00817FA5"/>
    <w:rsid w:val="008205D7"/>
    <w:rsid w:val="00823083"/>
    <w:rsid w:val="008269FD"/>
    <w:rsid w:val="00826B43"/>
    <w:rsid w:val="0083231A"/>
    <w:rsid w:val="0083369D"/>
    <w:rsid w:val="0083514B"/>
    <w:rsid w:val="00843CD0"/>
    <w:rsid w:val="00846F40"/>
    <w:rsid w:val="00847A7B"/>
    <w:rsid w:val="0085213B"/>
    <w:rsid w:val="00853A4B"/>
    <w:rsid w:val="008558CA"/>
    <w:rsid w:val="00857DC5"/>
    <w:rsid w:val="008610E7"/>
    <w:rsid w:val="008628B1"/>
    <w:rsid w:val="0086615A"/>
    <w:rsid w:val="00872A4C"/>
    <w:rsid w:val="00872B1C"/>
    <w:rsid w:val="008773EB"/>
    <w:rsid w:val="00881180"/>
    <w:rsid w:val="008906E1"/>
    <w:rsid w:val="00891795"/>
    <w:rsid w:val="008951DA"/>
    <w:rsid w:val="008A0723"/>
    <w:rsid w:val="008A166F"/>
    <w:rsid w:val="008A27B6"/>
    <w:rsid w:val="008A2BF4"/>
    <w:rsid w:val="008A3A8D"/>
    <w:rsid w:val="008A4D19"/>
    <w:rsid w:val="008B3266"/>
    <w:rsid w:val="008C52AC"/>
    <w:rsid w:val="008C709D"/>
    <w:rsid w:val="008D10D1"/>
    <w:rsid w:val="008D13AC"/>
    <w:rsid w:val="008D48F6"/>
    <w:rsid w:val="008E07D7"/>
    <w:rsid w:val="008E51C1"/>
    <w:rsid w:val="008E63F9"/>
    <w:rsid w:val="008E72B1"/>
    <w:rsid w:val="008F1316"/>
    <w:rsid w:val="008F4A8F"/>
    <w:rsid w:val="008F742D"/>
    <w:rsid w:val="0090163F"/>
    <w:rsid w:val="00901E46"/>
    <w:rsid w:val="0090379A"/>
    <w:rsid w:val="0091148B"/>
    <w:rsid w:val="00912A53"/>
    <w:rsid w:val="009135B9"/>
    <w:rsid w:val="0092097D"/>
    <w:rsid w:val="00923B3C"/>
    <w:rsid w:val="00924B2E"/>
    <w:rsid w:val="00930A57"/>
    <w:rsid w:val="00932319"/>
    <w:rsid w:val="009377F4"/>
    <w:rsid w:val="00940234"/>
    <w:rsid w:val="00941C34"/>
    <w:rsid w:val="00942125"/>
    <w:rsid w:val="00943FC3"/>
    <w:rsid w:val="009510BE"/>
    <w:rsid w:val="00951A22"/>
    <w:rsid w:val="009522F6"/>
    <w:rsid w:val="0095489E"/>
    <w:rsid w:val="0096073B"/>
    <w:rsid w:val="009654CE"/>
    <w:rsid w:val="0096770B"/>
    <w:rsid w:val="00973B48"/>
    <w:rsid w:val="009778FB"/>
    <w:rsid w:val="0098059C"/>
    <w:rsid w:val="0098266F"/>
    <w:rsid w:val="009839DD"/>
    <w:rsid w:val="009846B9"/>
    <w:rsid w:val="00987E1E"/>
    <w:rsid w:val="00990C74"/>
    <w:rsid w:val="00991173"/>
    <w:rsid w:val="009966D4"/>
    <w:rsid w:val="00997FB2"/>
    <w:rsid w:val="009A1142"/>
    <w:rsid w:val="009A284B"/>
    <w:rsid w:val="009A28A9"/>
    <w:rsid w:val="009A42FE"/>
    <w:rsid w:val="009B2A29"/>
    <w:rsid w:val="009B2A8E"/>
    <w:rsid w:val="009B3950"/>
    <w:rsid w:val="009B41D6"/>
    <w:rsid w:val="009B50D1"/>
    <w:rsid w:val="009C486B"/>
    <w:rsid w:val="009C6F87"/>
    <w:rsid w:val="009D0391"/>
    <w:rsid w:val="009D050C"/>
    <w:rsid w:val="009E0898"/>
    <w:rsid w:val="009E3F7A"/>
    <w:rsid w:val="009E51A9"/>
    <w:rsid w:val="009E7C60"/>
    <w:rsid w:val="009F3E71"/>
    <w:rsid w:val="009F50FD"/>
    <w:rsid w:val="009F6992"/>
    <w:rsid w:val="009F6E84"/>
    <w:rsid w:val="00A00B85"/>
    <w:rsid w:val="00A03D40"/>
    <w:rsid w:val="00A04A35"/>
    <w:rsid w:val="00A05081"/>
    <w:rsid w:val="00A16A34"/>
    <w:rsid w:val="00A22D28"/>
    <w:rsid w:val="00A248EC"/>
    <w:rsid w:val="00A265A1"/>
    <w:rsid w:val="00A268D6"/>
    <w:rsid w:val="00A30D38"/>
    <w:rsid w:val="00A30F4A"/>
    <w:rsid w:val="00A3237E"/>
    <w:rsid w:val="00A33478"/>
    <w:rsid w:val="00A34CB9"/>
    <w:rsid w:val="00A3676F"/>
    <w:rsid w:val="00A37479"/>
    <w:rsid w:val="00A42813"/>
    <w:rsid w:val="00A45724"/>
    <w:rsid w:val="00A466D8"/>
    <w:rsid w:val="00A52549"/>
    <w:rsid w:val="00A5274F"/>
    <w:rsid w:val="00A545B7"/>
    <w:rsid w:val="00A555CC"/>
    <w:rsid w:val="00A5774C"/>
    <w:rsid w:val="00A6208D"/>
    <w:rsid w:val="00A848B5"/>
    <w:rsid w:val="00A87B4C"/>
    <w:rsid w:val="00A94DAB"/>
    <w:rsid w:val="00A964E3"/>
    <w:rsid w:val="00AA0C59"/>
    <w:rsid w:val="00AA5D08"/>
    <w:rsid w:val="00AB0D11"/>
    <w:rsid w:val="00AB239E"/>
    <w:rsid w:val="00AB42B9"/>
    <w:rsid w:val="00AB5AA2"/>
    <w:rsid w:val="00AB5C31"/>
    <w:rsid w:val="00AB615C"/>
    <w:rsid w:val="00AB622F"/>
    <w:rsid w:val="00AB640E"/>
    <w:rsid w:val="00AB73C9"/>
    <w:rsid w:val="00AC0006"/>
    <w:rsid w:val="00AC61C6"/>
    <w:rsid w:val="00AD1095"/>
    <w:rsid w:val="00AD18BC"/>
    <w:rsid w:val="00AD683E"/>
    <w:rsid w:val="00AD7EA9"/>
    <w:rsid w:val="00AE14B1"/>
    <w:rsid w:val="00AE25CD"/>
    <w:rsid w:val="00AE25EF"/>
    <w:rsid w:val="00AE300E"/>
    <w:rsid w:val="00AE37A7"/>
    <w:rsid w:val="00AE3C20"/>
    <w:rsid w:val="00AE3CF9"/>
    <w:rsid w:val="00AF0421"/>
    <w:rsid w:val="00AF588E"/>
    <w:rsid w:val="00B02CC6"/>
    <w:rsid w:val="00B038FC"/>
    <w:rsid w:val="00B05BF4"/>
    <w:rsid w:val="00B074E3"/>
    <w:rsid w:val="00B121AD"/>
    <w:rsid w:val="00B14FAC"/>
    <w:rsid w:val="00B21899"/>
    <w:rsid w:val="00B24218"/>
    <w:rsid w:val="00B273AB"/>
    <w:rsid w:val="00B3598D"/>
    <w:rsid w:val="00B36259"/>
    <w:rsid w:val="00B37F63"/>
    <w:rsid w:val="00B45146"/>
    <w:rsid w:val="00B451E5"/>
    <w:rsid w:val="00B519CB"/>
    <w:rsid w:val="00B5246C"/>
    <w:rsid w:val="00B52509"/>
    <w:rsid w:val="00B53336"/>
    <w:rsid w:val="00B5425C"/>
    <w:rsid w:val="00B554D3"/>
    <w:rsid w:val="00B57643"/>
    <w:rsid w:val="00B57DA4"/>
    <w:rsid w:val="00B6146D"/>
    <w:rsid w:val="00B62EF3"/>
    <w:rsid w:val="00B641F6"/>
    <w:rsid w:val="00B6557B"/>
    <w:rsid w:val="00B65D8A"/>
    <w:rsid w:val="00B6774A"/>
    <w:rsid w:val="00B67E68"/>
    <w:rsid w:val="00B704D1"/>
    <w:rsid w:val="00B746E2"/>
    <w:rsid w:val="00B747A7"/>
    <w:rsid w:val="00B754F8"/>
    <w:rsid w:val="00B82169"/>
    <w:rsid w:val="00B83F89"/>
    <w:rsid w:val="00B977FB"/>
    <w:rsid w:val="00BA09D3"/>
    <w:rsid w:val="00BA1D2F"/>
    <w:rsid w:val="00BA23B8"/>
    <w:rsid w:val="00BA63E4"/>
    <w:rsid w:val="00BA6673"/>
    <w:rsid w:val="00BA71C4"/>
    <w:rsid w:val="00BB2713"/>
    <w:rsid w:val="00BB73DA"/>
    <w:rsid w:val="00BB7C63"/>
    <w:rsid w:val="00BB7CE4"/>
    <w:rsid w:val="00BC0478"/>
    <w:rsid w:val="00BC172E"/>
    <w:rsid w:val="00BC4225"/>
    <w:rsid w:val="00BC5FA7"/>
    <w:rsid w:val="00BD41EC"/>
    <w:rsid w:val="00BD44FD"/>
    <w:rsid w:val="00BD50B6"/>
    <w:rsid w:val="00BD652B"/>
    <w:rsid w:val="00BE04D5"/>
    <w:rsid w:val="00BE1FB3"/>
    <w:rsid w:val="00BE260D"/>
    <w:rsid w:val="00BE3176"/>
    <w:rsid w:val="00BE5715"/>
    <w:rsid w:val="00BF1060"/>
    <w:rsid w:val="00BF1BE0"/>
    <w:rsid w:val="00BF6054"/>
    <w:rsid w:val="00BF7020"/>
    <w:rsid w:val="00BF7900"/>
    <w:rsid w:val="00C0057F"/>
    <w:rsid w:val="00C00B16"/>
    <w:rsid w:val="00C010FE"/>
    <w:rsid w:val="00C011FF"/>
    <w:rsid w:val="00C01415"/>
    <w:rsid w:val="00C03032"/>
    <w:rsid w:val="00C062F8"/>
    <w:rsid w:val="00C109D1"/>
    <w:rsid w:val="00C11A2D"/>
    <w:rsid w:val="00C12838"/>
    <w:rsid w:val="00C160E4"/>
    <w:rsid w:val="00C178BA"/>
    <w:rsid w:val="00C2500F"/>
    <w:rsid w:val="00C32A03"/>
    <w:rsid w:val="00C34A77"/>
    <w:rsid w:val="00C413F4"/>
    <w:rsid w:val="00C4492A"/>
    <w:rsid w:val="00C50173"/>
    <w:rsid w:val="00C518ED"/>
    <w:rsid w:val="00C52A59"/>
    <w:rsid w:val="00C54C37"/>
    <w:rsid w:val="00C55097"/>
    <w:rsid w:val="00C56970"/>
    <w:rsid w:val="00C5748B"/>
    <w:rsid w:val="00C60850"/>
    <w:rsid w:val="00C6119B"/>
    <w:rsid w:val="00C62134"/>
    <w:rsid w:val="00C63630"/>
    <w:rsid w:val="00C65172"/>
    <w:rsid w:val="00C656C5"/>
    <w:rsid w:val="00C71BE5"/>
    <w:rsid w:val="00C71F2F"/>
    <w:rsid w:val="00C74790"/>
    <w:rsid w:val="00C76366"/>
    <w:rsid w:val="00C84357"/>
    <w:rsid w:val="00C861BD"/>
    <w:rsid w:val="00C869B8"/>
    <w:rsid w:val="00C91B4C"/>
    <w:rsid w:val="00C91D05"/>
    <w:rsid w:val="00CA30BD"/>
    <w:rsid w:val="00CA5176"/>
    <w:rsid w:val="00CA6339"/>
    <w:rsid w:val="00CA6D1A"/>
    <w:rsid w:val="00CA7BD0"/>
    <w:rsid w:val="00CB10E3"/>
    <w:rsid w:val="00CB379C"/>
    <w:rsid w:val="00CB4088"/>
    <w:rsid w:val="00CB54B7"/>
    <w:rsid w:val="00CB6667"/>
    <w:rsid w:val="00CB7ABE"/>
    <w:rsid w:val="00CC00C5"/>
    <w:rsid w:val="00CC1757"/>
    <w:rsid w:val="00CC1BF1"/>
    <w:rsid w:val="00CC2E94"/>
    <w:rsid w:val="00CC3267"/>
    <w:rsid w:val="00CC6D1C"/>
    <w:rsid w:val="00CD36E8"/>
    <w:rsid w:val="00CD464D"/>
    <w:rsid w:val="00CE5E36"/>
    <w:rsid w:val="00CE6D1A"/>
    <w:rsid w:val="00CF0034"/>
    <w:rsid w:val="00CF0280"/>
    <w:rsid w:val="00CF1E2E"/>
    <w:rsid w:val="00CF42DD"/>
    <w:rsid w:val="00CF5A2C"/>
    <w:rsid w:val="00D0057C"/>
    <w:rsid w:val="00D005A3"/>
    <w:rsid w:val="00D0159A"/>
    <w:rsid w:val="00D03D75"/>
    <w:rsid w:val="00D04B84"/>
    <w:rsid w:val="00D0623E"/>
    <w:rsid w:val="00D117D9"/>
    <w:rsid w:val="00D16F4D"/>
    <w:rsid w:val="00D20E5D"/>
    <w:rsid w:val="00D20EAD"/>
    <w:rsid w:val="00D2448E"/>
    <w:rsid w:val="00D2677E"/>
    <w:rsid w:val="00D27983"/>
    <w:rsid w:val="00D304E8"/>
    <w:rsid w:val="00D33C98"/>
    <w:rsid w:val="00D36ACD"/>
    <w:rsid w:val="00D3757F"/>
    <w:rsid w:val="00D42B81"/>
    <w:rsid w:val="00D4507A"/>
    <w:rsid w:val="00D4574D"/>
    <w:rsid w:val="00D46E8B"/>
    <w:rsid w:val="00D505B4"/>
    <w:rsid w:val="00D52230"/>
    <w:rsid w:val="00D529B1"/>
    <w:rsid w:val="00D52F32"/>
    <w:rsid w:val="00D534A3"/>
    <w:rsid w:val="00D53CCD"/>
    <w:rsid w:val="00D54C4E"/>
    <w:rsid w:val="00D55F24"/>
    <w:rsid w:val="00D6080C"/>
    <w:rsid w:val="00D62FC9"/>
    <w:rsid w:val="00D666FD"/>
    <w:rsid w:val="00D6716F"/>
    <w:rsid w:val="00D735DA"/>
    <w:rsid w:val="00D765DA"/>
    <w:rsid w:val="00D83C8E"/>
    <w:rsid w:val="00D90F9B"/>
    <w:rsid w:val="00D93F2D"/>
    <w:rsid w:val="00D95512"/>
    <w:rsid w:val="00DA1514"/>
    <w:rsid w:val="00DA2B2C"/>
    <w:rsid w:val="00DA2C56"/>
    <w:rsid w:val="00DA3773"/>
    <w:rsid w:val="00DB0DEC"/>
    <w:rsid w:val="00DB33B5"/>
    <w:rsid w:val="00DB77FD"/>
    <w:rsid w:val="00DC29E6"/>
    <w:rsid w:val="00DC4F06"/>
    <w:rsid w:val="00DC50E8"/>
    <w:rsid w:val="00DD3133"/>
    <w:rsid w:val="00DD3883"/>
    <w:rsid w:val="00DD4612"/>
    <w:rsid w:val="00DD580F"/>
    <w:rsid w:val="00DD5DD4"/>
    <w:rsid w:val="00DE019B"/>
    <w:rsid w:val="00DE25C2"/>
    <w:rsid w:val="00DE326E"/>
    <w:rsid w:val="00DE6C33"/>
    <w:rsid w:val="00DF642C"/>
    <w:rsid w:val="00E03380"/>
    <w:rsid w:val="00E043C6"/>
    <w:rsid w:val="00E05C73"/>
    <w:rsid w:val="00E10637"/>
    <w:rsid w:val="00E10CC0"/>
    <w:rsid w:val="00E130B6"/>
    <w:rsid w:val="00E144FC"/>
    <w:rsid w:val="00E156C6"/>
    <w:rsid w:val="00E1586A"/>
    <w:rsid w:val="00E26382"/>
    <w:rsid w:val="00E27867"/>
    <w:rsid w:val="00E27E26"/>
    <w:rsid w:val="00E30541"/>
    <w:rsid w:val="00E30847"/>
    <w:rsid w:val="00E336E3"/>
    <w:rsid w:val="00E34603"/>
    <w:rsid w:val="00E372EB"/>
    <w:rsid w:val="00E40B79"/>
    <w:rsid w:val="00E42015"/>
    <w:rsid w:val="00E44D43"/>
    <w:rsid w:val="00E44F74"/>
    <w:rsid w:val="00E46EDA"/>
    <w:rsid w:val="00E476F4"/>
    <w:rsid w:val="00E50AC6"/>
    <w:rsid w:val="00E52D59"/>
    <w:rsid w:val="00E54581"/>
    <w:rsid w:val="00E545A8"/>
    <w:rsid w:val="00E54EB8"/>
    <w:rsid w:val="00E56103"/>
    <w:rsid w:val="00E6082F"/>
    <w:rsid w:val="00E6169E"/>
    <w:rsid w:val="00E6218B"/>
    <w:rsid w:val="00E62925"/>
    <w:rsid w:val="00E741EE"/>
    <w:rsid w:val="00E85B3E"/>
    <w:rsid w:val="00E85F0A"/>
    <w:rsid w:val="00E8676B"/>
    <w:rsid w:val="00E933A2"/>
    <w:rsid w:val="00E97DBA"/>
    <w:rsid w:val="00EA03B6"/>
    <w:rsid w:val="00EA0EDB"/>
    <w:rsid w:val="00EA3F2C"/>
    <w:rsid w:val="00EA4ED3"/>
    <w:rsid w:val="00EA77E2"/>
    <w:rsid w:val="00EA7C69"/>
    <w:rsid w:val="00EB2C4A"/>
    <w:rsid w:val="00EB3526"/>
    <w:rsid w:val="00EB4227"/>
    <w:rsid w:val="00EB42C6"/>
    <w:rsid w:val="00EC256E"/>
    <w:rsid w:val="00EC293E"/>
    <w:rsid w:val="00EC5710"/>
    <w:rsid w:val="00EC59CB"/>
    <w:rsid w:val="00EC6736"/>
    <w:rsid w:val="00EC69AE"/>
    <w:rsid w:val="00ED17B4"/>
    <w:rsid w:val="00ED5982"/>
    <w:rsid w:val="00EE137E"/>
    <w:rsid w:val="00EE29AA"/>
    <w:rsid w:val="00EE37B0"/>
    <w:rsid w:val="00EF4D5F"/>
    <w:rsid w:val="00EF6CE5"/>
    <w:rsid w:val="00F0102F"/>
    <w:rsid w:val="00F03570"/>
    <w:rsid w:val="00F06E62"/>
    <w:rsid w:val="00F07424"/>
    <w:rsid w:val="00F12844"/>
    <w:rsid w:val="00F13EFD"/>
    <w:rsid w:val="00F150BA"/>
    <w:rsid w:val="00F15196"/>
    <w:rsid w:val="00F156D4"/>
    <w:rsid w:val="00F22E4F"/>
    <w:rsid w:val="00F23E61"/>
    <w:rsid w:val="00F25893"/>
    <w:rsid w:val="00F26179"/>
    <w:rsid w:val="00F27607"/>
    <w:rsid w:val="00F30237"/>
    <w:rsid w:val="00F3146B"/>
    <w:rsid w:val="00F31FE7"/>
    <w:rsid w:val="00F33DE4"/>
    <w:rsid w:val="00F35FBC"/>
    <w:rsid w:val="00F41DA4"/>
    <w:rsid w:val="00F44F96"/>
    <w:rsid w:val="00F46233"/>
    <w:rsid w:val="00F462B2"/>
    <w:rsid w:val="00F46613"/>
    <w:rsid w:val="00F46712"/>
    <w:rsid w:val="00F54898"/>
    <w:rsid w:val="00F56C6A"/>
    <w:rsid w:val="00F579B9"/>
    <w:rsid w:val="00F61382"/>
    <w:rsid w:val="00F7290C"/>
    <w:rsid w:val="00F75FE4"/>
    <w:rsid w:val="00F77213"/>
    <w:rsid w:val="00F848FD"/>
    <w:rsid w:val="00F86214"/>
    <w:rsid w:val="00F86298"/>
    <w:rsid w:val="00F87011"/>
    <w:rsid w:val="00F87AEE"/>
    <w:rsid w:val="00F87F3B"/>
    <w:rsid w:val="00F91788"/>
    <w:rsid w:val="00F9298C"/>
    <w:rsid w:val="00F9356C"/>
    <w:rsid w:val="00F948F5"/>
    <w:rsid w:val="00F94A14"/>
    <w:rsid w:val="00F94C38"/>
    <w:rsid w:val="00F95515"/>
    <w:rsid w:val="00F9564E"/>
    <w:rsid w:val="00FA0AAF"/>
    <w:rsid w:val="00FA1153"/>
    <w:rsid w:val="00FA45FC"/>
    <w:rsid w:val="00FA46DF"/>
    <w:rsid w:val="00FA5AB5"/>
    <w:rsid w:val="00FB4661"/>
    <w:rsid w:val="00FB517A"/>
    <w:rsid w:val="00FB799E"/>
    <w:rsid w:val="00FC0642"/>
    <w:rsid w:val="00FC1353"/>
    <w:rsid w:val="00FC1699"/>
    <w:rsid w:val="00FC1886"/>
    <w:rsid w:val="00FC1C5A"/>
    <w:rsid w:val="00FC39C2"/>
    <w:rsid w:val="00FC54E2"/>
    <w:rsid w:val="00FC56AD"/>
    <w:rsid w:val="00FC746E"/>
    <w:rsid w:val="00FD081D"/>
    <w:rsid w:val="00FD1F78"/>
    <w:rsid w:val="00FD2AE7"/>
    <w:rsid w:val="00FD6007"/>
    <w:rsid w:val="00FD6E6B"/>
    <w:rsid w:val="00FD706A"/>
    <w:rsid w:val="00FD73A0"/>
    <w:rsid w:val="00FD7E95"/>
    <w:rsid w:val="00FE142E"/>
    <w:rsid w:val="00FE36A8"/>
    <w:rsid w:val="00FF034B"/>
    <w:rsid w:val="00FF39AA"/>
    <w:rsid w:val="00FF43CF"/>
    <w:rsid w:val="00FF5569"/>
    <w:rsid w:val="00FF7F3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0379A"/>
    <w:pPr>
      <w:tabs>
        <w:tab w:pos="6237" w:val="left"/>
      </w:tabs>
      <w:spacing w:after="0" w:line="360" w:lineRule="auto"/>
    </w:pPr>
    <w:rPr>
      <w:rFonts w:ascii="Verdana" w:hAnsi="Verdana"/>
      <w:sz w:val="20"/>
    </w:rPr>
  </w:style>
  <w:style w:styleId="Heading1" w:type="paragraph">
    <w:name w:val="heading 1"/>
    <w:basedOn w:val="Normal"/>
    <w:next w:val="BodyText"/>
    <w:link w:val="Heading1Char"/>
    <w:uiPriority w:val="9"/>
    <w:qFormat/>
    <w:rsid w:val="0003716A"/>
    <w:pPr>
      <w:keepNext/>
      <w:keepLines/>
      <w:pageBreakBefore/>
      <w:numPr>
        <w:numId w:val="30"/>
      </w:numPr>
      <w:spacing w:after="120"/>
      <w:contextualSpacing/>
      <w:outlineLvl w:val="0"/>
    </w:pPr>
    <w:rPr>
      <w:rFonts w:cstheme="majorBidi" w:eastAsiaTheme="majorEastAsia"/>
      <w:b/>
      <w:caps/>
      <w:sz w:val="28"/>
      <w:szCs w:val="28"/>
      <w:lang w:val="et-EE"/>
    </w:rPr>
  </w:style>
  <w:style w:styleId="Heading2" w:type="paragraph">
    <w:name w:val="heading 2"/>
    <w:basedOn w:val="Heading1"/>
    <w:next w:val="BodyText"/>
    <w:link w:val="Heading2Char"/>
    <w:uiPriority w:val="9"/>
    <w:unhideWhenUsed/>
    <w:qFormat/>
    <w:rsid w:val="0003716A"/>
    <w:pPr>
      <w:pageBreakBefore w:val="0"/>
      <w:numPr>
        <w:ilvl w:val="1"/>
      </w:numPr>
      <w:tabs>
        <w:tab w:pos="6237" w:val="clear"/>
        <w:tab w:pos="851" w:val="left"/>
      </w:tabs>
      <w:ind w:hanging="737" w:left="737"/>
      <w:outlineLvl w:val="1"/>
    </w:pPr>
    <w:rPr>
      <w:rFonts w:eastAsia="Calibri"/>
      <w:caps w:val="0"/>
      <w:lang w:val="en-GB"/>
    </w:rPr>
  </w:style>
  <w:style w:styleId="Heading3" w:type="paragraph">
    <w:name w:val="heading 3"/>
    <w:basedOn w:val="Heading2"/>
    <w:next w:val="BodyText"/>
    <w:link w:val="Heading3Char"/>
    <w:uiPriority w:val="9"/>
    <w:unhideWhenUsed/>
    <w:qFormat/>
    <w:rsid w:val="0003716A"/>
    <w:pPr>
      <w:numPr>
        <w:ilvl w:val="2"/>
      </w:numPr>
      <w:tabs>
        <w:tab w:pos="851" w:val="clear"/>
      </w:tabs>
      <w:outlineLvl w:val="2"/>
    </w:pPr>
    <w:rPr>
      <w:sz w:val="24"/>
    </w:rPr>
  </w:style>
  <w:style w:styleId="Heading4" w:type="paragraph">
    <w:name w:val="heading 4"/>
    <w:basedOn w:val="Normal"/>
    <w:next w:val="BodyText"/>
    <w:link w:val="Heading4Char"/>
    <w:uiPriority w:val="1"/>
    <w:qFormat/>
    <w:rsid w:val="008C52AC"/>
    <w:pPr>
      <w:keepNext/>
      <w:keepLines/>
      <w:widowControl w:val="0"/>
      <w:numPr>
        <w:ilvl w:val="3"/>
        <w:numId w:val="30"/>
      </w:numPr>
      <w:autoSpaceDE w:val="0"/>
      <w:autoSpaceDN w:val="0"/>
      <w:outlineLvl w:val="3"/>
    </w:pPr>
    <w:rPr>
      <w:rFonts w:cs="Verdana" w:eastAsia="Verdana"/>
      <w:b/>
      <w:bCs/>
      <w:szCs w:val="20"/>
      <w:lang w:bidi="en-US"/>
    </w:rPr>
  </w:style>
  <w:style w:styleId="Heading5" w:type="paragraph">
    <w:name w:val="heading 5"/>
    <w:basedOn w:val="Normal"/>
    <w:next w:val="Normal"/>
    <w:link w:val="Heading5Char"/>
    <w:uiPriority w:val="9"/>
    <w:semiHidden/>
    <w:unhideWhenUsed/>
    <w:rsid w:val="00A964E3"/>
    <w:pPr>
      <w:keepNext/>
      <w:keepLines/>
      <w:numPr>
        <w:ilvl w:val="4"/>
        <w:numId w:val="30"/>
      </w:numPr>
      <w:outlineLvl w:val="4"/>
    </w:pPr>
    <w:rPr>
      <w:rFonts w:cstheme="majorBidi" w:eastAsiaTheme="majorEastAsia"/>
    </w:rPr>
  </w:style>
  <w:style w:styleId="Heading6" w:type="paragraph">
    <w:name w:val="heading 6"/>
    <w:basedOn w:val="Normal"/>
    <w:next w:val="Normal"/>
    <w:link w:val="Heading6Char"/>
    <w:uiPriority w:val="9"/>
    <w:semiHidden/>
    <w:unhideWhenUsed/>
    <w:rsid w:val="00FA1153"/>
    <w:pPr>
      <w:keepNext/>
      <w:keepLines/>
      <w:numPr>
        <w:ilvl w:val="5"/>
        <w:numId w:val="30"/>
      </w:numPr>
      <w:spacing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rsid w:val="00FA1153"/>
    <w:pPr>
      <w:keepNext/>
      <w:keepLines/>
      <w:numPr>
        <w:ilvl w:val="6"/>
        <w:numId w:val="30"/>
      </w:numPr>
      <w:spacing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rsid w:val="0003716A"/>
    <w:pPr>
      <w:keepNext/>
      <w:keepLines/>
      <w:numPr>
        <w:ilvl w:val="7"/>
        <w:numId w:val="30"/>
      </w:numPr>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rsid w:val="0003716A"/>
    <w:pPr>
      <w:keepNext/>
      <w:keepLines/>
      <w:numPr>
        <w:ilvl w:val="8"/>
        <w:numId w:val="30"/>
      </w:numPr>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lTechTitle" w:type="paragraph">
    <w:name w:val="TalTechTitle"/>
    <w:basedOn w:val="Normal"/>
    <w:link w:val="TalTechTitleChar"/>
    <w:qFormat/>
    <w:rsid w:val="00923B3C"/>
    <w:pPr>
      <w:spacing w:after="120"/>
      <w:jc w:val="center"/>
    </w:pPr>
    <w:rPr>
      <w:rFonts w:ascii="Times New Roman" w:hAnsi="Times New Roman"/>
      <w:sz w:val="32"/>
      <w:lang w:val="ru-RU"/>
    </w:rPr>
  </w:style>
  <w:style w:customStyle="1" w:styleId="TalTechTitleChar" w:type="character">
    <w:name w:val="TalTechTitle Char"/>
    <w:basedOn w:val="DefaultParagraphFont"/>
    <w:link w:val="TalTechTitle"/>
    <w:rsid w:val="00923B3C"/>
    <w:rPr>
      <w:rFonts w:ascii="Times New Roman" w:hAnsi="Times New Roman"/>
      <w:sz w:val="32"/>
      <w:lang w:val="ru-RU"/>
    </w:rPr>
  </w:style>
  <w:style w:styleId="Header" w:type="paragraph">
    <w:name w:val="header"/>
    <w:basedOn w:val="Normal"/>
    <w:link w:val="HeaderChar"/>
    <w:uiPriority w:val="99"/>
    <w:unhideWhenUsed/>
    <w:rsid w:val="006275EC"/>
    <w:pPr>
      <w:tabs>
        <w:tab w:pos="4680" w:val="center"/>
        <w:tab w:pos="9360" w:val="right"/>
      </w:tabs>
      <w:spacing w:line="240" w:lineRule="auto"/>
    </w:pPr>
  </w:style>
  <w:style w:customStyle="1" w:styleId="HeaderChar" w:type="character">
    <w:name w:val="Header Char"/>
    <w:basedOn w:val="DefaultParagraphFont"/>
    <w:link w:val="Header"/>
    <w:uiPriority w:val="99"/>
    <w:rsid w:val="006275EC"/>
  </w:style>
  <w:style w:styleId="Footer" w:type="paragraph">
    <w:name w:val="footer"/>
    <w:basedOn w:val="Normal"/>
    <w:link w:val="FooterChar"/>
    <w:uiPriority w:val="99"/>
    <w:unhideWhenUsed/>
    <w:rsid w:val="007F5D5C"/>
    <w:pPr>
      <w:tabs>
        <w:tab w:pos="4680" w:val="center"/>
        <w:tab w:pos="9360" w:val="right"/>
      </w:tabs>
      <w:spacing w:line="240" w:lineRule="auto"/>
    </w:pPr>
    <w:rPr>
      <w:sz w:val="24"/>
    </w:rPr>
  </w:style>
  <w:style w:customStyle="1" w:styleId="FooterChar" w:type="character">
    <w:name w:val="Footer Char"/>
    <w:basedOn w:val="DefaultParagraphFont"/>
    <w:link w:val="Footer"/>
    <w:uiPriority w:val="99"/>
    <w:rsid w:val="007F5D5C"/>
    <w:rPr>
      <w:rFonts w:ascii="Verdana" w:hAnsi="Verdana"/>
      <w:sz w:val="24"/>
    </w:rPr>
  </w:style>
  <w:style w:styleId="PlaceholderText" w:type="character">
    <w:name w:val="Placeholder Text"/>
    <w:basedOn w:val="DefaultParagraphFont"/>
    <w:uiPriority w:val="99"/>
    <w:semiHidden/>
    <w:rsid w:val="00BC172E"/>
    <w:rPr>
      <w:color w:val="808080"/>
    </w:rPr>
  </w:style>
  <w:style w:customStyle="1" w:styleId="Heading4Char" w:type="character">
    <w:name w:val="Heading 4 Char"/>
    <w:basedOn w:val="DefaultParagraphFont"/>
    <w:link w:val="Heading4"/>
    <w:uiPriority w:val="1"/>
    <w:rsid w:val="008C52AC"/>
    <w:rPr>
      <w:rFonts w:ascii="Verdana" w:cs="Verdana" w:eastAsia="Verdana" w:hAnsi="Verdana"/>
      <w:b/>
      <w:bCs/>
      <w:sz w:val="20"/>
      <w:szCs w:val="20"/>
      <w:lang w:bidi="en-US"/>
    </w:rPr>
  </w:style>
  <w:style w:styleId="BodyText" w:type="paragraph">
    <w:name w:val="Body Text"/>
    <w:basedOn w:val="Normal"/>
    <w:link w:val="BodyTextChar"/>
    <w:uiPriority w:val="1"/>
    <w:qFormat/>
    <w:rsid w:val="00CB4088"/>
    <w:pPr>
      <w:widowControl w:val="0"/>
      <w:autoSpaceDE w:val="0"/>
      <w:autoSpaceDN w:val="0"/>
      <w:spacing w:after="120"/>
      <w:jc w:val="both"/>
    </w:pPr>
    <w:rPr>
      <w:rFonts w:cs="Verdana" w:eastAsia="Verdana"/>
      <w:szCs w:val="20"/>
      <w:lang w:bidi="en-US"/>
    </w:rPr>
  </w:style>
  <w:style w:customStyle="1" w:styleId="BodyTextChar" w:type="character">
    <w:name w:val="Body Text Char"/>
    <w:basedOn w:val="DefaultParagraphFont"/>
    <w:link w:val="BodyText"/>
    <w:uiPriority w:val="1"/>
    <w:rsid w:val="00CB4088"/>
    <w:rPr>
      <w:rFonts w:ascii="Verdana" w:cs="Verdana" w:eastAsia="Verdana" w:hAnsi="Verdana"/>
      <w:sz w:val="20"/>
      <w:szCs w:val="20"/>
      <w:lang w:bidi="en-US"/>
    </w:rPr>
  </w:style>
  <w:style w:styleId="FootnoteText" w:type="paragraph">
    <w:name w:val="footnote text"/>
    <w:basedOn w:val="Normal"/>
    <w:link w:val="FootnoteTextChar"/>
    <w:uiPriority w:val="99"/>
    <w:semiHidden/>
    <w:unhideWhenUsed/>
    <w:rsid w:val="0090379A"/>
    <w:pPr>
      <w:spacing w:line="240" w:lineRule="auto"/>
    </w:pPr>
    <w:rPr>
      <w:szCs w:val="20"/>
    </w:rPr>
  </w:style>
  <w:style w:customStyle="1" w:styleId="FootnoteTextChar" w:type="character">
    <w:name w:val="Footnote Text Char"/>
    <w:basedOn w:val="DefaultParagraphFont"/>
    <w:link w:val="FootnoteText"/>
    <w:uiPriority w:val="99"/>
    <w:semiHidden/>
    <w:rsid w:val="0090379A"/>
    <w:rPr>
      <w:rFonts w:ascii="Verdana" w:hAnsi="Verdana"/>
      <w:sz w:val="20"/>
      <w:szCs w:val="20"/>
    </w:rPr>
  </w:style>
  <w:style w:customStyle="1" w:styleId="Lisatekst" w:type="paragraph">
    <w:name w:val="Lisatekst"/>
    <w:basedOn w:val="BodyText"/>
    <w:rsid w:val="00D666FD"/>
    <w:pPr>
      <w:widowControl/>
      <w:numPr>
        <w:numId w:val="1"/>
      </w:numPr>
      <w:tabs>
        <w:tab w:pos="360" w:val="num"/>
        <w:tab w:pos="6521" w:val="left"/>
      </w:tabs>
      <w:autoSpaceDE/>
      <w:autoSpaceDN/>
      <w:spacing w:before="120"/>
    </w:pPr>
    <w:rPr>
      <w:rFonts w:ascii="Times New Roman" w:cs="Times New Roman" w:eastAsia="Times New Roman" w:hAnsi="Times New Roman"/>
      <w:sz w:val="24"/>
      <w:lang w:bidi="ar-SA" w:val="et-EE"/>
    </w:rPr>
  </w:style>
  <w:style w:styleId="Caption" w:type="paragraph">
    <w:name w:val="caption"/>
    <w:next w:val="BodyText"/>
    <w:autoRedefine/>
    <w:uiPriority w:val="35"/>
    <w:unhideWhenUsed/>
    <w:qFormat/>
    <w:rsid w:val="00930A57"/>
    <w:pPr>
      <w:spacing w:after="240" w:before="240" w:line="240" w:lineRule="auto"/>
      <w:contextualSpacing/>
    </w:pPr>
    <w:rPr>
      <w:rFonts w:ascii="Verdana" w:hAnsi="Verdana"/>
      <w:iCs/>
      <w:sz w:val="18"/>
      <w:szCs w:val="18"/>
      <w:lang w:val="et-EE"/>
    </w:rPr>
  </w:style>
  <w:style w:customStyle="1" w:styleId="Programcode" w:type="paragraph">
    <w:name w:val="Program_code"/>
    <w:basedOn w:val="Normal"/>
    <w:qFormat/>
    <w:rsid w:val="00212BA3"/>
    <w:pPr>
      <w:spacing w:after="40" w:before="40" w:line="240" w:lineRule="auto"/>
    </w:pPr>
    <w:rPr>
      <w:rFonts w:ascii="Consolas" w:hAnsi="Consolas"/>
      <w:sz w:val="22"/>
      <w:szCs w:val="20"/>
    </w:rPr>
  </w:style>
  <w:style w:styleId="FootnoteReference" w:type="character">
    <w:name w:val="footnote reference"/>
    <w:basedOn w:val="DefaultParagraphFont"/>
    <w:uiPriority w:val="99"/>
    <w:semiHidden/>
    <w:unhideWhenUsed/>
    <w:rsid w:val="0090379A"/>
    <w:rPr>
      <w:vertAlign w:val="superscript"/>
    </w:rPr>
  </w:style>
  <w:style w:customStyle="1" w:styleId="Heading1Char" w:type="character">
    <w:name w:val="Heading 1 Char"/>
    <w:basedOn w:val="DefaultParagraphFont"/>
    <w:link w:val="Heading1"/>
    <w:uiPriority w:val="9"/>
    <w:rsid w:val="0003716A"/>
    <w:rPr>
      <w:rFonts w:ascii="Verdana" w:cstheme="majorBidi" w:eastAsiaTheme="majorEastAsia" w:hAnsi="Verdana"/>
      <w:b/>
      <w:caps/>
      <w:sz w:val="28"/>
      <w:szCs w:val="28"/>
      <w:lang w:val="et-EE"/>
    </w:rPr>
  </w:style>
  <w:style w:customStyle="1" w:styleId="Heading2Char" w:type="character">
    <w:name w:val="Heading 2 Char"/>
    <w:basedOn w:val="DefaultParagraphFont"/>
    <w:link w:val="Heading2"/>
    <w:uiPriority w:val="9"/>
    <w:rsid w:val="0003716A"/>
    <w:rPr>
      <w:rFonts w:ascii="Verdana" w:cstheme="majorBidi" w:eastAsia="Calibri" w:hAnsi="Verdana"/>
      <w:b/>
      <w:sz w:val="28"/>
      <w:szCs w:val="28"/>
      <w:lang w:val="en-GB"/>
    </w:rPr>
  </w:style>
  <w:style w:customStyle="1" w:styleId="Heading3Char" w:type="character">
    <w:name w:val="Heading 3 Char"/>
    <w:basedOn w:val="DefaultParagraphFont"/>
    <w:link w:val="Heading3"/>
    <w:uiPriority w:val="9"/>
    <w:rsid w:val="0003716A"/>
    <w:rPr>
      <w:rFonts w:ascii="Verdana" w:cstheme="majorBidi" w:eastAsia="Calibri" w:hAnsi="Verdana"/>
      <w:b/>
      <w:sz w:val="24"/>
      <w:szCs w:val="28"/>
      <w:lang w:val="en-GB"/>
    </w:rPr>
  </w:style>
  <w:style w:styleId="TOCHeading" w:type="paragraph">
    <w:name w:val="TOC Heading"/>
    <w:basedOn w:val="Headingout"/>
    <w:next w:val="BodyText"/>
    <w:uiPriority w:val="39"/>
    <w:unhideWhenUsed/>
    <w:qFormat/>
    <w:rsid w:val="00A964E3"/>
    <w:pPr>
      <w:spacing w:before="240" w:line="259" w:lineRule="auto"/>
    </w:pPr>
    <w:rPr>
      <w:b w:val="0"/>
      <w:sz w:val="20"/>
      <w:szCs w:val="32"/>
    </w:rPr>
  </w:style>
  <w:style w:styleId="TOC1" w:type="paragraph">
    <w:name w:val="toc 1"/>
    <w:basedOn w:val="Normal"/>
    <w:next w:val="Normal"/>
    <w:autoRedefine/>
    <w:uiPriority w:val="39"/>
    <w:unhideWhenUsed/>
    <w:rsid w:val="00115873"/>
    <w:pPr>
      <w:tabs>
        <w:tab w:pos="6237" w:val="clear"/>
      </w:tabs>
      <w:spacing w:after="120" w:line="276" w:lineRule="auto"/>
    </w:pPr>
    <w:rPr>
      <w:caps/>
    </w:rPr>
  </w:style>
  <w:style w:styleId="TOC2" w:type="paragraph">
    <w:name w:val="toc 2"/>
    <w:basedOn w:val="Normal"/>
    <w:next w:val="Normal"/>
    <w:autoRedefine/>
    <w:uiPriority w:val="39"/>
    <w:unhideWhenUsed/>
    <w:rsid w:val="00492442"/>
    <w:pPr>
      <w:tabs>
        <w:tab w:pos="6237" w:val="clear"/>
      </w:tabs>
      <w:spacing w:after="120" w:line="276" w:lineRule="auto"/>
      <w:ind w:firstLine="170"/>
    </w:pPr>
    <w:rPr>
      <w:rFonts w:eastAsiaTheme="minorEastAsia"/>
      <w:noProof/>
      <w:lang w:eastAsia="et-EE" w:val="et-EE"/>
    </w:rPr>
  </w:style>
  <w:style w:styleId="TOC3" w:type="paragraph">
    <w:name w:val="toc 3"/>
    <w:basedOn w:val="Normal"/>
    <w:next w:val="Normal"/>
    <w:autoRedefine/>
    <w:uiPriority w:val="39"/>
    <w:unhideWhenUsed/>
    <w:rsid w:val="009839DD"/>
    <w:pPr>
      <w:tabs>
        <w:tab w:pos="6237" w:val="clear"/>
        <w:tab w:pos="1134" w:val="left"/>
        <w:tab w:leader="dot" w:pos="8778" w:val="right"/>
      </w:tabs>
      <w:spacing w:after="120" w:line="276" w:lineRule="auto"/>
      <w:ind w:firstLine="340"/>
    </w:pPr>
  </w:style>
  <w:style w:styleId="Hyperlink" w:type="character">
    <w:name w:val="Hyperlink"/>
    <w:basedOn w:val="BodyTextChar"/>
    <w:uiPriority w:val="99"/>
    <w:unhideWhenUsed/>
    <w:rsid w:val="00AD683E"/>
    <w:rPr>
      <w:rFonts w:ascii="Verdana" w:cs="Verdana" w:eastAsia="Verdana" w:hAnsi="Verdana"/>
      <w:color w:val="auto"/>
      <w:sz w:val="20"/>
      <w:szCs w:val="20"/>
      <w:u w:val="single"/>
      <w:lang w:bidi="en-US"/>
    </w:rPr>
  </w:style>
  <w:style w:styleId="EndnoteText" w:type="paragraph">
    <w:name w:val="endnote text"/>
    <w:basedOn w:val="Normal"/>
    <w:link w:val="EndnoteTextChar"/>
    <w:uiPriority w:val="99"/>
    <w:semiHidden/>
    <w:unhideWhenUsed/>
    <w:rsid w:val="002F5FFF"/>
    <w:pPr>
      <w:spacing w:line="240" w:lineRule="auto"/>
    </w:pPr>
    <w:rPr>
      <w:szCs w:val="20"/>
    </w:rPr>
  </w:style>
  <w:style w:customStyle="1" w:styleId="EndnoteTextChar" w:type="character">
    <w:name w:val="Endnote Text Char"/>
    <w:basedOn w:val="DefaultParagraphFont"/>
    <w:link w:val="EndnoteText"/>
    <w:uiPriority w:val="99"/>
    <w:semiHidden/>
    <w:rsid w:val="002F5FFF"/>
    <w:rPr>
      <w:sz w:val="20"/>
      <w:szCs w:val="20"/>
    </w:rPr>
  </w:style>
  <w:style w:styleId="EndnoteReference" w:type="character">
    <w:name w:val="endnote reference"/>
    <w:basedOn w:val="DefaultParagraphFont"/>
    <w:uiPriority w:val="99"/>
    <w:semiHidden/>
    <w:unhideWhenUsed/>
    <w:rsid w:val="002F5FFF"/>
    <w:rPr>
      <w:vertAlign w:val="superscript"/>
    </w:rPr>
  </w:style>
  <w:style w:customStyle="1" w:styleId="Headingunnumbered" w:type="paragraph">
    <w:name w:val="Heading_unnumbered"/>
    <w:basedOn w:val="Normal"/>
    <w:qFormat/>
    <w:rsid w:val="006A0E8A"/>
    <w:pPr>
      <w:keepNext/>
      <w:pageBreakBefore/>
      <w:spacing w:after="120"/>
    </w:pPr>
    <w:rPr>
      <w:rFonts w:cstheme="majorBidi" w:eastAsiaTheme="majorEastAsia"/>
      <w:b/>
      <w:caps/>
      <w:sz w:val="28"/>
      <w:szCs w:val="28"/>
      <w:lang w:val="et-EE"/>
    </w:rPr>
  </w:style>
  <w:style w:styleId="BalloonText" w:type="paragraph">
    <w:name w:val="Balloon Text"/>
    <w:basedOn w:val="Normal"/>
    <w:link w:val="BalloonTextChar"/>
    <w:uiPriority w:val="99"/>
    <w:semiHidden/>
    <w:unhideWhenUsed/>
    <w:rsid w:val="00AE25EF"/>
    <w:pPr>
      <w:spacing w:line="240" w:lineRule="auto"/>
    </w:pPr>
    <w:rPr>
      <w:rFonts w:ascii="Segoe UI" w:cs="Segoe UI" w:hAnsi="Segoe UI"/>
      <w:sz w:val="18"/>
      <w:szCs w:val="18"/>
    </w:rPr>
  </w:style>
  <w:style w:customStyle="1" w:styleId="Headingcentered" w:type="paragraph">
    <w:name w:val="Heading_centered"/>
    <w:basedOn w:val="Normal"/>
    <w:qFormat/>
    <w:rsid w:val="004573EC"/>
    <w:pPr>
      <w:spacing w:after="120"/>
      <w:jc w:val="center"/>
    </w:pPr>
    <w:rPr>
      <w:b/>
      <w:sz w:val="28"/>
      <w:lang w:val="et-EE"/>
    </w:rPr>
  </w:style>
  <w:style w:customStyle="1" w:styleId="ListBullet" w:type="paragraph">
    <w:name w:val="List_Bullet"/>
    <w:basedOn w:val="Normal"/>
    <w:qFormat/>
    <w:rsid w:val="00E144FC"/>
    <w:pPr>
      <w:numPr>
        <w:numId w:val="23"/>
      </w:numPr>
      <w:spacing w:after="120"/>
      <w:contextualSpacing/>
      <w:jc w:val="both"/>
    </w:pPr>
    <w:rPr>
      <w:rFonts w:cs="Times New Roman" w:eastAsia="Times New Roman"/>
      <w:szCs w:val="20"/>
      <w:lang w:val="et-EE"/>
    </w:rPr>
  </w:style>
  <w:style w:customStyle="1" w:styleId="ListNumbered" w:type="paragraph">
    <w:name w:val="List_Numbered"/>
    <w:basedOn w:val="Normal"/>
    <w:qFormat/>
    <w:rsid w:val="00E144FC"/>
    <w:pPr>
      <w:numPr>
        <w:numId w:val="26"/>
      </w:numPr>
      <w:spacing w:after="120"/>
      <w:contextualSpacing/>
      <w:jc w:val="both"/>
    </w:pPr>
    <w:rPr>
      <w:rFonts w:cs="Times New Roman" w:eastAsia="Times New Roman"/>
      <w:szCs w:val="20"/>
      <w:lang w:val="et-EE"/>
    </w:rPr>
  </w:style>
  <w:style w:customStyle="1" w:styleId="Headingtitleeng" w:type="paragraph">
    <w:name w:val="Heading_title_eng"/>
    <w:basedOn w:val="Normal"/>
    <w:qFormat/>
    <w:rsid w:val="00201200"/>
    <w:pPr>
      <w:spacing w:after="120" w:line="240" w:lineRule="auto"/>
      <w:jc w:val="center"/>
    </w:pPr>
    <w:rPr>
      <w:rFonts w:cs="Times New Roman" w:eastAsia="Calibri"/>
      <w:b/>
      <w:sz w:val="24"/>
      <w:szCs w:val="24"/>
    </w:rPr>
  </w:style>
  <w:style w:customStyle="1" w:styleId="Centered" w:type="paragraph">
    <w:name w:val="Centered"/>
    <w:aliases w:val="12"/>
    <w:basedOn w:val="Normal"/>
    <w:next w:val="BodyText"/>
    <w:qFormat/>
    <w:rsid w:val="005435EC"/>
    <w:pPr>
      <w:spacing w:line="240" w:lineRule="auto"/>
      <w:jc w:val="center"/>
    </w:pPr>
    <w:rPr>
      <w:rFonts w:cs="Times New Roman" w:eastAsia="Calibri"/>
      <w:caps/>
      <w:sz w:val="24"/>
      <w:lang w:val="et-EE"/>
    </w:rPr>
  </w:style>
  <w:style w:customStyle="1" w:styleId="BalloonTextChar" w:type="character">
    <w:name w:val="Balloon Text Char"/>
    <w:basedOn w:val="DefaultParagraphFont"/>
    <w:link w:val="BalloonText"/>
    <w:uiPriority w:val="99"/>
    <w:semiHidden/>
    <w:rsid w:val="00AE25EF"/>
    <w:rPr>
      <w:rFonts w:ascii="Segoe UI" w:cs="Segoe UI" w:hAnsi="Segoe UI"/>
      <w:sz w:val="18"/>
      <w:szCs w:val="18"/>
    </w:rPr>
  </w:style>
  <w:style w:customStyle="1" w:styleId="Headingtitle" w:type="paragraph">
    <w:name w:val="Heading_title"/>
    <w:basedOn w:val="Normal"/>
    <w:qFormat/>
    <w:rsid w:val="003C7ADA"/>
    <w:pPr>
      <w:spacing w:after="120" w:before="2400" w:line="240" w:lineRule="auto"/>
      <w:contextualSpacing/>
      <w:jc w:val="center"/>
    </w:pPr>
    <w:rPr>
      <w:b/>
      <w:bCs/>
      <w:sz w:val="28"/>
      <w:lang w:val="et-EE"/>
    </w:rPr>
  </w:style>
  <w:style w:customStyle="1" w:styleId="Tabletext" w:type="paragraph">
    <w:name w:val="Table_text"/>
    <w:qFormat/>
    <w:rsid w:val="00486F7A"/>
    <w:pPr>
      <w:spacing w:after="0" w:before="60" w:line="276" w:lineRule="auto"/>
      <w:contextualSpacing/>
    </w:pPr>
    <w:rPr>
      <w:rFonts w:ascii="Verdana" w:cs="Verdana" w:eastAsia="Verdana" w:hAnsi="Verdana"/>
      <w:noProof/>
      <w:color w:themeColor="text1" w:val="000000"/>
      <w:sz w:val="18"/>
      <w:szCs w:val="18"/>
      <w:lang w:bidi="en-US" w:eastAsia="et-EE" w:val="et-EE"/>
    </w:rPr>
  </w:style>
  <w:style w:customStyle="1" w:styleId="Heading5Char" w:type="character">
    <w:name w:val="Heading 5 Char"/>
    <w:basedOn w:val="DefaultParagraphFont"/>
    <w:link w:val="Heading5"/>
    <w:uiPriority w:val="9"/>
    <w:semiHidden/>
    <w:rsid w:val="00A964E3"/>
    <w:rPr>
      <w:rFonts w:ascii="Verdana" w:cstheme="majorBidi" w:eastAsiaTheme="majorEastAsia" w:hAnsi="Verdana"/>
      <w:sz w:val="20"/>
    </w:rPr>
  </w:style>
  <w:style w:customStyle="1" w:styleId="Heading6Char" w:type="character">
    <w:name w:val="Heading 6 Char"/>
    <w:basedOn w:val="DefaultParagraphFont"/>
    <w:link w:val="Heading6"/>
    <w:uiPriority w:val="9"/>
    <w:semiHidden/>
    <w:rsid w:val="00FA1153"/>
    <w:rPr>
      <w:rFonts w:asciiTheme="majorHAnsi" w:cstheme="majorBidi" w:eastAsiaTheme="majorEastAsia" w:hAnsiTheme="majorHAnsi"/>
      <w:color w:themeColor="accent1" w:themeShade="7F" w:val="1F4D78"/>
      <w:sz w:val="20"/>
    </w:rPr>
  </w:style>
  <w:style w:customStyle="1" w:styleId="Heading7Char" w:type="character">
    <w:name w:val="Heading 7 Char"/>
    <w:basedOn w:val="DefaultParagraphFont"/>
    <w:link w:val="Heading7"/>
    <w:uiPriority w:val="9"/>
    <w:semiHidden/>
    <w:rsid w:val="00FA1153"/>
    <w:rPr>
      <w:rFonts w:asciiTheme="majorHAnsi" w:cstheme="majorBidi" w:eastAsiaTheme="majorEastAsia" w:hAnsiTheme="majorHAnsi"/>
      <w:i/>
      <w:iCs/>
      <w:color w:themeColor="accent1" w:themeShade="7F" w:val="1F4D78"/>
      <w:sz w:val="20"/>
    </w:rPr>
  </w:style>
  <w:style w:customStyle="1" w:styleId="Headingout" w:type="paragraph">
    <w:name w:val="Heading_out"/>
    <w:basedOn w:val="Headingunnumbered"/>
    <w:qFormat/>
    <w:rsid w:val="00FA1153"/>
  </w:style>
  <w:style w:styleId="PageNumber" w:type="character">
    <w:name w:val="page number"/>
    <w:basedOn w:val="BodyTextChar"/>
    <w:unhideWhenUsed/>
    <w:rsid w:val="00474817"/>
    <w:rPr>
      <w:rFonts w:ascii="Verdana" w:cs="Verdana" w:eastAsia="Verdana" w:hAnsi="Verdana"/>
      <w:sz w:val="20"/>
      <w:szCs w:val="20"/>
      <w:lang w:bidi="en-US"/>
    </w:rPr>
  </w:style>
  <w:style w:styleId="List" w:type="paragraph">
    <w:name w:val="List"/>
    <w:basedOn w:val="Normal"/>
    <w:uiPriority w:val="99"/>
    <w:semiHidden/>
    <w:unhideWhenUsed/>
    <w:rsid w:val="00474817"/>
    <w:pPr>
      <w:ind w:hanging="284" w:left="284"/>
      <w:contextualSpacing/>
      <w:jc w:val="both"/>
    </w:pPr>
  </w:style>
  <w:style w:customStyle="1" w:styleId="Headingappendices" w:type="paragraph">
    <w:name w:val="Heading_appendices"/>
    <w:basedOn w:val="Normal"/>
    <w:next w:val="BodyText"/>
    <w:qFormat/>
    <w:rsid w:val="00C413F4"/>
    <w:pPr>
      <w:pageBreakBefore/>
      <w:numPr>
        <w:numId w:val="12"/>
      </w:numPr>
      <w:tabs>
        <w:tab w:pos="6237" w:val="clear"/>
        <w:tab w:pos="1304" w:val="left"/>
      </w:tabs>
      <w:spacing w:after="120" w:line="240" w:lineRule="auto"/>
      <w:jc w:val="right"/>
    </w:pPr>
    <w:rPr>
      <w:rFonts w:eastAsia="Calibri"/>
      <w:b/>
      <w:caps/>
      <w:sz w:val="28"/>
      <w:lang w:val="et-EE"/>
    </w:rPr>
  </w:style>
  <w:style w:customStyle="1" w:styleId="Studentname" w:type="paragraph">
    <w:name w:val="Student_name"/>
    <w:basedOn w:val="Normal"/>
    <w:qFormat/>
    <w:rsid w:val="00423446"/>
    <w:pPr>
      <w:spacing w:after="120" w:before="2400" w:line="240" w:lineRule="auto"/>
      <w:ind w:left="3969"/>
    </w:pPr>
    <w:rPr>
      <w:rFonts w:cs="Times New Roman" w:eastAsia="Calibri"/>
      <w:sz w:val="24"/>
      <w:lang w:val="et-EE"/>
    </w:rPr>
  </w:style>
  <w:style w:customStyle="1" w:styleId="Footerpages" w:type="paragraph">
    <w:name w:val="Footer_pages"/>
    <w:basedOn w:val="Footer"/>
    <w:next w:val="NoSpacing"/>
    <w:qFormat/>
    <w:rsid w:val="007F5D5C"/>
    <w:pPr>
      <w:jc w:val="center"/>
    </w:pPr>
    <w:rPr>
      <w:sz w:val="20"/>
    </w:rPr>
  </w:style>
  <w:style w:customStyle="1" w:styleId="Figure" w:type="paragraph">
    <w:name w:val="Figure"/>
    <w:link w:val="FigureChar"/>
    <w:qFormat/>
    <w:rsid w:val="00031492"/>
    <w:pPr>
      <w:jc w:val="center"/>
    </w:pPr>
    <w:rPr>
      <w:rFonts w:ascii="Verdana" w:cs="Verdana" w:eastAsia="Verdana" w:hAnsi="Verdana"/>
      <w:noProof/>
      <w:sz w:val="20"/>
      <w:szCs w:val="20"/>
      <w:lang w:bidi="en-US" w:eastAsia="et-EE" w:val="et-EE"/>
    </w:rPr>
  </w:style>
  <w:style w:customStyle="1" w:styleId="Listid" w:type="paragraph">
    <w:name w:val="Listid"/>
    <w:basedOn w:val="BodyText"/>
    <w:qFormat/>
    <w:rsid w:val="004872EE"/>
    <w:pPr>
      <w:widowControl/>
      <w:numPr>
        <w:numId w:val="8"/>
      </w:numPr>
      <w:tabs>
        <w:tab w:pos="6237" w:val="clear"/>
      </w:tabs>
      <w:autoSpaceDE/>
      <w:autoSpaceDN/>
      <w:ind w:hanging="357" w:left="641"/>
    </w:pPr>
    <w:rPr>
      <w:lang w:val="et-EE"/>
    </w:rPr>
  </w:style>
  <w:style w:styleId="CommentReference" w:type="character">
    <w:name w:val="annotation reference"/>
    <w:basedOn w:val="DefaultParagraphFont"/>
    <w:uiPriority w:val="99"/>
    <w:semiHidden/>
    <w:unhideWhenUsed/>
    <w:rsid w:val="001A39AA"/>
    <w:rPr>
      <w:sz w:val="16"/>
      <w:szCs w:val="16"/>
    </w:rPr>
  </w:style>
  <w:style w:styleId="CommentText" w:type="paragraph">
    <w:name w:val="annotation text"/>
    <w:basedOn w:val="Normal"/>
    <w:link w:val="CommentTextChar"/>
    <w:uiPriority w:val="99"/>
    <w:unhideWhenUsed/>
    <w:rsid w:val="001A39AA"/>
    <w:pPr>
      <w:spacing w:line="240" w:lineRule="auto"/>
    </w:pPr>
    <w:rPr>
      <w:szCs w:val="20"/>
    </w:rPr>
  </w:style>
  <w:style w:customStyle="1" w:styleId="CommentTextChar" w:type="character">
    <w:name w:val="Comment Text Char"/>
    <w:basedOn w:val="DefaultParagraphFont"/>
    <w:link w:val="CommentText"/>
    <w:uiPriority w:val="99"/>
    <w:rsid w:val="001A39AA"/>
    <w:rPr>
      <w:rFonts w:ascii="Verdana" w:hAnsi="Verdana"/>
      <w:sz w:val="20"/>
      <w:szCs w:val="20"/>
    </w:rPr>
  </w:style>
  <w:style w:styleId="CommentSubject" w:type="paragraph">
    <w:name w:val="annotation subject"/>
    <w:basedOn w:val="CommentText"/>
    <w:next w:val="CommentText"/>
    <w:link w:val="CommentSubjectChar"/>
    <w:uiPriority w:val="99"/>
    <w:semiHidden/>
    <w:unhideWhenUsed/>
    <w:rsid w:val="001A39AA"/>
    <w:rPr>
      <w:b/>
      <w:bCs/>
    </w:rPr>
  </w:style>
  <w:style w:customStyle="1" w:styleId="CommentSubjectChar" w:type="character">
    <w:name w:val="Comment Subject Char"/>
    <w:basedOn w:val="CommentTextChar"/>
    <w:link w:val="CommentSubject"/>
    <w:uiPriority w:val="99"/>
    <w:semiHidden/>
    <w:rsid w:val="001A39AA"/>
    <w:rPr>
      <w:rFonts w:ascii="Verdana" w:hAnsi="Verdana"/>
      <w:b/>
      <w:bCs/>
      <w:sz w:val="20"/>
      <w:szCs w:val="20"/>
    </w:rPr>
  </w:style>
  <w:style w:customStyle="1" w:styleId="FigureChar" w:type="character">
    <w:name w:val="Figure Char"/>
    <w:basedOn w:val="DefaultParagraphFont"/>
    <w:link w:val="Figure"/>
    <w:rsid w:val="00031492"/>
    <w:rPr>
      <w:rFonts w:ascii="Verdana" w:cs="Verdana" w:eastAsia="Verdana" w:hAnsi="Verdana"/>
      <w:noProof/>
      <w:sz w:val="20"/>
      <w:szCs w:val="20"/>
      <w:lang w:bidi="en-US" w:eastAsia="et-EE" w:val="et-EE"/>
    </w:rPr>
  </w:style>
  <w:style w:styleId="TableGrid" w:type="table">
    <w:name w:val="Table Grid"/>
    <w:basedOn w:val="TableNormal"/>
    <w:uiPriority w:val="39"/>
    <w:rsid w:val="002D20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elhead" w:type="paragraph">
    <w:name w:val="Tabel_head"/>
    <w:basedOn w:val="Tabletext"/>
    <w:qFormat/>
    <w:rsid w:val="00E6169E"/>
    <w:pPr>
      <w:spacing w:before="0"/>
    </w:pPr>
    <w:rPr>
      <w:b/>
    </w:rPr>
  </w:style>
  <w:style w:customStyle="1" w:styleId="TableGrid1" w:type="table">
    <w:name w:val="Table Grid1"/>
    <w:basedOn w:val="TableNormal"/>
    <w:next w:val="TableGrid"/>
    <w:uiPriority w:val="39"/>
    <w:rsid w:val="00133A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 w:type="character">
    <w:name w:val="контроль"/>
    <w:basedOn w:val="DefaultParagraphFont"/>
    <w:uiPriority w:val="1"/>
    <w:rsid w:val="00397FAF"/>
    <w:rPr>
      <w:color w:themeColor="accent1" w:themeTint="99" w:val="9CC2E5"/>
      <w:lang w:val="et-EE"/>
    </w:rPr>
  </w:style>
  <w:style w:customStyle="1" w:styleId="References" w:type="paragraph">
    <w:name w:val="References"/>
    <w:basedOn w:val="BodyText"/>
    <w:next w:val="Normal"/>
    <w:qFormat/>
    <w:rsid w:val="004911EE"/>
    <w:pPr>
      <w:numPr>
        <w:numId w:val="29"/>
      </w:numPr>
    </w:pPr>
    <w:rPr>
      <w:lang w:val="et-EE"/>
    </w:rPr>
  </w:style>
  <w:style w:styleId="FollowedHyperlink" w:type="character">
    <w:name w:val="FollowedHyperlink"/>
    <w:basedOn w:val="DefaultParagraphFont"/>
    <w:uiPriority w:val="99"/>
    <w:semiHidden/>
    <w:unhideWhenUsed/>
    <w:rsid w:val="00BE3176"/>
    <w:rPr>
      <w:color w:themeColor="followedHyperlink" w:val="954F72"/>
      <w:u w:val="single"/>
    </w:rPr>
  </w:style>
  <w:style w:customStyle="1" w:styleId="Headinglisa" w:type="paragraph">
    <w:name w:val="Heading_lisa"/>
    <w:basedOn w:val="Heading1"/>
    <w:next w:val="BodyText"/>
    <w:qFormat/>
    <w:rsid w:val="006827AB"/>
    <w:pPr>
      <w:keepLines w:val="0"/>
      <w:pageBreakBefore w:val="0"/>
      <w:numPr>
        <w:numId w:val="10"/>
      </w:numPr>
      <w:tabs>
        <w:tab w:pos="6237" w:val="clear"/>
        <w:tab w:pos="1418" w:val="left"/>
      </w:tabs>
      <w:jc w:val="right"/>
    </w:pPr>
    <w:rPr>
      <w:rFonts w:cs="Times New Roman" w:eastAsia="Verdana"/>
      <w:bCs/>
      <w:sz w:val="24"/>
    </w:rPr>
  </w:style>
  <w:style w:styleId="PlainTable2" w:type="table">
    <w:name w:val="Plain Table 2"/>
    <w:basedOn w:val="TableNormal"/>
    <w:uiPriority w:val="42"/>
    <w:rsid w:val="00E10637"/>
    <w:pPr>
      <w:spacing w:after="0" w:line="240" w:lineRule="auto"/>
    </w:pPr>
    <w:rPr>
      <w:rFonts w:ascii="Times New Roman" w:cs="Times New Roman" w:eastAsia="Times New Roman" w:hAnsi="Times New Roman"/>
      <w:sz w:val="24"/>
      <w:szCs w:val="24"/>
      <w:lang w:eastAsia="et-EE" w:val="en-GB"/>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1" w:type="numbering">
    <w:name w:val="Style1"/>
    <w:uiPriority w:val="99"/>
    <w:rsid w:val="00C413F4"/>
    <w:pPr>
      <w:numPr>
        <w:numId w:val="11"/>
      </w:numPr>
    </w:pPr>
  </w:style>
  <w:style w:styleId="NoSpacing" w:type="paragraph">
    <w:name w:val="No Spacing"/>
    <w:uiPriority w:val="1"/>
    <w:qFormat/>
    <w:rsid w:val="002E329F"/>
    <w:pPr>
      <w:tabs>
        <w:tab w:pos="6237" w:val="left"/>
      </w:tabs>
      <w:spacing w:after="0" w:line="240" w:lineRule="auto"/>
    </w:pPr>
    <w:rPr>
      <w:rFonts w:ascii="Verdana" w:hAnsi="Verdana"/>
      <w:sz w:val="20"/>
    </w:rPr>
  </w:style>
  <w:style w:customStyle="1" w:styleId="Equation" w:type="character">
    <w:name w:val="Equation"/>
    <w:uiPriority w:val="1"/>
    <w:qFormat/>
    <w:rsid w:val="00A466D8"/>
    <w:rPr>
      <w:rFonts w:ascii="Cambria Math" w:hAnsi="Cambria Math"/>
      <w:i/>
      <w:sz w:val="24"/>
    </w:rPr>
  </w:style>
  <w:style w:customStyle="1" w:styleId="Heading8Char" w:type="character">
    <w:name w:val="Heading 8 Char"/>
    <w:basedOn w:val="DefaultParagraphFont"/>
    <w:link w:val="Heading8"/>
    <w:uiPriority w:val="9"/>
    <w:semiHidden/>
    <w:rsid w:val="0003716A"/>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03716A"/>
    <w:rPr>
      <w:rFonts w:asciiTheme="majorHAnsi" w:cstheme="majorBidi" w:eastAsiaTheme="majorEastAsia" w:hAnsiTheme="majorHAnsi"/>
      <w:i/>
      <w:iCs/>
      <w:color w:themeColor="text1" w:themeTint="D8" w:val="272727"/>
      <w:sz w:val="21"/>
      <w:szCs w:val="21"/>
    </w:rPr>
  </w:style>
  <w:style w:styleId="UnresolvedMention" w:type="character">
    <w:name w:val="Unresolved Mention"/>
    <w:basedOn w:val="DefaultParagraphFont"/>
    <w:uiPriority w:val="99"/>
    <w:semiHidden/>
    <w:unhideWhenUsed/>
    <w:rsid w:val="009C486B"/>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7422">
      <w:bodyDiv w:val="1"/>
      <w:marLeft w:val="0"/>
      <w:marRight w:val="0"/>
      <w:marTop w:val="0"/>
      <w:marBottom w:val="0"/>
      <w:divBdr>
        <w:top w:val="none" w:sz="0" w:space="0" w:color="auto"/>
        <w:left w:val="none" w:sz="0" w:space="0" w:color="auto"/>
        <w:bottom w:val="none" w:sz="0" w:space="0" w:color="auto"/>
        <w:right w:val="none" w:sz="0" w:space="0" w:color="auto"/>
      </w:divBdr>
    </w:div>
    <w:div w:id="716010587">
      <w:bodyDiv w:val="1"/>
      <w:marLeft w:val="0"/>
      <w:marRight w:val="0"/>
      <w:marTop w:val="0"/>
      <w:marBottom w:val="0"/>
      <w:divBdr>
        <w:top w:val="none" w:sz="0" w:space="0" w:color="auto"/>
        <w:left w:val="none" w:sz="0" w:space="0" w:color="auto"/>
        <w:bottom w:val="none" w:sz="0" w:space="0" w:color="auto"/>
        <w:right w:val="none" w:sz="0" w:space="0" w:color="auto"/>
      </w:divBdr>
    </w:div>
    <w:div w:id="1114204934">
      <w:bodyDiv w:val="1"/>
      <w:marLeft w:val="0"/>
      <w:marRight w:val="0"/>
      <w:marTop w:val="0"/>
      <w:marBottom w:val="0"/>
      <w:divBdr>
        <w:top w:val="none" w:sz="0" w:space="0" w:color="auto"/>
        <w:left w:val="none" w:sz="0" w:space="0" w:color="auto"/>
        <w:bottom w:val="none" w:sz="0" w:space="0" w:color="auto"/>
        <w:right w:val="none" w:sz="0" w:space="0" w:color="auto"/>
      </w:divBdr>
    </w:div>
    <w:div w:id="1280649072">
      <w:bodyDiv w:val="1"/>
      <w:marLeft w:val="0"/>
      <w:marRight w:val="0"/>
      <w:marTop w:val="0"/>
      <w:marBottom w:val="0"/>
      <w:divBdr>
        <w:top w:val="none" w:sz="0" w:space="0" w:color="auto"/>
        <w:left w:val="none" w:sz="0" w:space="0" w:color="auto"/>
        <w:bottom w:val="none" w:sz="0" w:space="0" w:color="auto"/>
        <w:right w:val="none" w:sz="0" w:space="0" w:color="auto"/>
      </w:divBdr>
    </w:div>
    <w:div w:id="158861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image" Target="media/image1.png"/><Relationship Id="rId13" Type="http://schemas.openxmlformats.org/officeDocument/2006/relationships/image" Target="media/image2.emf"/><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14" Type="http://schemas.openxmlformats.org/officeDocument/2006/relationships/footer" Target="footer4.xml"/><Relationship Id="rId93" Type="http://schemas.openxmlformats.org/officeDocument/2006/relationships/image" Target="media/rId93.png"/><Relationship Id="rId59" Type="http://schemas.openxmlformats.org/officeDocument/2006/relationships/image" Target="media/rId59.png"/><Relationship Id="rId74" Type="http://schemas.openxmlformats.org/officeDocument/2006/relationships/image" Target="media/rId74.png"/><Relationship Id="rId82" Type="http://schemas.openxmlformats.org/officeDocument/2006/relationships/image" Target="media/rId82.png"/><Relationship Id="rId96" Type="http://schemas.openxmlformats.org/officeDocument/2006/relationships/image" Target="media/rId96.png"/><Relationship Id="rId53" Type="http://schemas.openxmlformats.org/officeDocument/2006/relationships/image" Target="media/rId53.png"/><Relationship Id="rId70" Type="http://schemas.openxmlformats.org/officeDocument/2006/relationships/image" Target="media/rId70.png"/><Relationship Id="rId63" Type="http://schemas.openxmlformats.org/officeDocument/2006/relationships/image" Target="media/rId63.png"/><Relationship Id="rId128" Type="http://schemas.openxmlformats.org/officeDocument/2006/relationships/image" Target="media/rId128.png"/><Relationship Id="rId109" Type="http://schemas.openxmlformats.org/officeDocument/2006/relationships/image" Target="media/rId109.png"/><Relationship Id="rId120" Type="http://schemas.openxmlformats.org/officeDocument/2006/relationships/image" Target="media/rId120.png"/><Relationship Id="rId50" Type="http://schemas.openxmlformats.org/officeDocument/2006/relationships/image" Target="media/rId50.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50</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2025-12-15T15:55:40Z</dcterms:created>
  <dcterms:modified xsi:type="dcterms:W3CDTF">2025-12-15T15:55:40Z</dcterms:modified>
</cp:coreProperties>
</file>

<file path=docProps/custom.xml><?xml version="1.0" encoding="utf-8"?>
<Properties xmlns="http://schemas.openxmlformats.org/officeDocument/2006/custom-properties" xmlns:vt="http://schemas.openxmlformats.org/officeDocument/2006/docPropsVTypes"/>
</file>