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b/>
          <w:bCs/>
          <w:color w:val="1F3864"/>
          <w:sz w:val="40"/>
          <w:szCs w:val="40"/>
        </w:rPr>
        <w:t xml:space="preserve">Makro-Übersicht</w:t>
      </w:r>
    </w:p>
    <w:p>
      <w:pPr>
        <w:spacing w:after="200"/>
      </w:pPr>
      <w:r>
        <w:rPr>
          <w:color w:val="555555"/>
          <w:sz w:val="22"/>
          <w:szCs w:val="22"/>
        </w:rPr>
        <w:t xml:space="preserve">Unterrichtsverteilung / Engpass- &amp; Neueinstellungsanalyse 2026/27</w:t>
      </w:r>
    </w:p>
    <w:p>
      <w:pPr>
        <w:spacing w:after="100"/>
      </w:pPr>
      <w:r>
        <w:rPr>
          <w:sz w:val="20"/>
          <w:szCs w:val="20"/>
        </w:rPr>
        <w:t xml:space="preserve">Diese Übersicht listet alle Makros der Arbeitsmappe mit einer kurzen Erklärung. Die Makros lassen sich über Alt + F8 auswählen und starten (oder über die eingebauten Startknöpfe). Jedes Makro liest die Quelltabellen bei jedem Lauf frisch ein.</w:t>
      </w:r>
    </w:p>
    <w:p>
      <w:pPr>
        <w:pStyle w:val="Heading1"/>
        <w:spacing w:after="120" w:before="280"/>
      </w:pPr>
      <w:r>
        <w:t xml:space="preserve">1. Neue Zusatz-Makros (Max-Fluss-Analyse)</w:t>
      </w:r>
    </w:p>
    <w:p>
      <w:pPr>
        <w:spacing w:after="100"/>
      </w:pPr>
      <w:r>
        <w:rPr>
          <w:i/>
          <w:iCs/>
          <w:sz w:val="20"/>
          <w:szCs w:val="20"/>
        </w:rPr>
        <w:t xml:space="preserve">Diese drei Module wurden ergänzt. Für die Frage „welche Fächer soll eine Neueinstellung haben“ ist das erste das Hauptwerkzeug.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00"/>
      </w:tblGrid>
      <w:tr>
        <w:trPr>
          <w:tblHeader/>
        </w:trPr>
        <w:tc>
          <w:tcPr>
            <w:tcW w:type="dxa" w:w="3200"/>
            <w:shd w:fill="1F3864" w:color="auto" w:val="clea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Makro</w:t>
            </w:r>
          </w:p>
        </w:tc>
        <w:tc>
          <w:tcPr>
            <w:tcW w:type="dxa" w:w="5800"/>
            <w:shd w:fill="1F3864" w:color="auto" w:val="clea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Zweck</w:t>
            </w:r>
          </w:p>
        </w:tc>
      </w:tr>
      <w:tr>
        <w:tc>
          <w:tcPr>
            <w:tcW w:type="dxa" w:w="3200"/>
          </w:tcPr>
          <w:p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Fach_Neueinstellung_Faecher</w:t>
            </w:r>
          </w:p>
        </w:tc>
        <w:tc>
          <w:tcPr>
            <w:tcW w:type="dxa" w:w="5800"/>
          </w:tcPr>
          <w:p>
            <w:r>
              <w:rPr>
                <w:sz w:val="18"/>
                <w:szCs w:val="18"/>
              </w:rPr>
              <w:t xml:space="preserve">Findet solverfrei die zu besetzenden Fächer: berechnet je Fach die Absorptionsdecke (wie viele Zusatzstunden dort unterzubringen sind) und den Grenznutzen einer Stelle. Erzeugt das Blatt „Neueinstellung_Faecher“ (Rangliste) und „Kandidaten_MaxFluss“, das Bewerberprofile einzeln, in Kombination (alle gleichzeitig, mit real genutztem Beitrag) und kumulativ (Restdefizit nach 1, 1+2, …) bewertet. Berücksichtigt fixierten Unterricht als Kapazitätsabzug.</w:t>
            </w:r>
          </w:p>
        </w:tc>
      </w:tr>
      <w:tr>
        <w:tc>
          <w:tcPr>
            <w:tcW w:type="dxa" w:w="3200"/>
            <w:shd w:fill="EAF0F8" w:color="auto" w:val="clear"/>
          </w:tcPr>
          <w:p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Fach_Engpass_MaxFluss</w:t>
            </w:r>
          </w:p>
        </w:tc>
        <w:tc>
          <w:tcPr>
            <w:tcW w:type="dxa" w:w="5800"/>
            <w:shd w:fill="EAF0F8" w:color="auto" w:val="clear"/>
          </w:tcPr>
          <w:p>
            <w:r>
              <w:rPr>
                <w:sz w:val="18"/>
                <w:szCs w:val="18"/>
              </w:rPr>
              <w:t xml:space="preserve">Strukturelle Engpassanalyse OHNE Fixierungen (Max-Fluss / Satz von Hall). Prüft, ob eine Fächermenge rein strukturell nicht deckbar ist, obwohl jedes Fach einzeln genügend Kapazität hätte. Blatt „Engpass_MaxFluss“.</w:t>
            </w:r>
          </w:p>
        </w:tc>
      </w:tr>
      <w:tr>
        <w:tc>
          <w:tcPr>
            <w:tcW w:type="dxa" w:w="3200"/>
          </w:tcPr>
          <w:p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Fach_Engpass_Residual</w:t>
            </w:r>
          </w:p>
        </w:tc>
        <w:tc>
          <w:tcPr>
            <w:tcW w:type="dxa" w:w="5800"/>
          </w:tcPr>
          <w:p>
            <w:r>
              <w:rPr>
                <w:sz w:val="18"/>
                <w:szCs w:val="18"/>
              </w:rPr>
              <w:t xml:space="preserve">Wie oben, aber mit Abzug des bereits fixierten Unterrichts vom Deputat. Zeigt zusätzlich die Überlast je Fachgruppe. Blatt „Engpass_Residual“.</w:t>
            </w:r>
          </w:p>
        </w:tc>
      </w:tr>
    </w:tbl>
    <w:p>
      <w:pPr>
        <w:pStyle w:val="Heading1"/>
        <w:spacing w:after="120" w:before="280"/>
      </w:pPr>
      <w:r>
        <w:t xml:space="preserve">2. Im Workbook enthaltene Makros</w:t>
      </w:r>
    </w:p>
    <w:p>
      <w:pPr>
        <w:pStyle w:val="Heading2"/>
        <w:spacing w:after="80" w:before="200"/>
      </w:pPr>
      <w:r>
        <w:t xml:space="preserve">Modul „Modul1“ – Deputate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00"/>
      </w:tblGrid>
      <w:tr>
        <w:trPr>
          <w:tblHeader/>
        </w:trPr>
        <w:tc>
          <w:tcPr>
            <w:tcW w:type="dxa" w:w="3200"/>
            <w:shd w:fill="1F3864" w:color="auto" w:val="clea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Makro</w:t>
            </w:r>
          </w:p>
        </w:tc>
        <w:tc>
          <w:tcPr>
            <w:tcW w:type="dxa" w:w="5800"/>
            <w:shd w:fill="1F3864" w:color="auto" w:val="clea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Zweck</w:t>
            </w:r>
          </w:p>
        </w:tc>
      </w:tr>
      <w:tr>
        <w:tc>
          <w:tcPr>
            <w:tcW w:type="dxa" w:w="3200"/>
          </w:tcPr>
          <w:p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SollAnrechnungUebertragen</w:t>
            </w:r>
          </w:p>
        </w:tc>
        <w:tc>
          <w:tcPr>
            <w:tcW w:type="dxa" w:w="5800"/>
          </w:tcPr>
          <w:p>
            <w:r>
              <w:rPr>
                <w:sz w:val="18"/>
                <w:szCs w:val="18"/>
              </w:rPr>
              <w:t xml:space="preserve">Berechnet „Soll/Woche − Anrechnung“ aus dem Blatt „Lehrer Stamm Untis“ und trägt das Ergebnis in die „Lehrerliste“ (Spalte Soll-Anrechnungen) ein. Spalten werden dynamisch gesucht.</w:t>
            </w:r>
          </w:p>
        </w:tc>
      </w:tr>
    </w:tbl>
    <w:p>
      <w:pPr>
        <w:pStyle w:val="Heading2"/>
        <w:spacing w:after="80" w:before="200"/>
      </w:pPr>
      <w:r>
        <w:t xml:space="preserve">Modul „Modul2“ – Bedienung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00"/>
      </w:tblGrid>
      <w:tr>
        <w:trPr>
          <w:tblHeader/>
        </w:trPr>
        <w:tc>
          <w:tcPr>
            <w:tcW w:type="dxa" w:w="3200"/>
            <w:shd w:fill="1F3864" w:color="auto" w:val="clea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Makro</w:t>
            </w:r>
          </w:p>
        </w:tc>
        <w:tc>
          <w:tcPr>
            <w:tcW w:type="dxa" w:w="5800"/>
            <w:shd w:fill="1F3864" w:color="auto" w:val="clea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Zweck</w:t>
            </w:r>
          </w:p>
        </w:tc>
      </w:tr>
      <w:tr>
        <w:tc>
          <w:tcPr>
            <w:tcW w:type="dxa" w:w="3200"/>
          </w:tcPr>
          <w:p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StartButtonErstellen</w:t>
            </w:r>
          </w:p>
        </w:tc>
        <w:tc>
          <w:tcPr>
            <w:tcW w:type="dxa" w:w="5800"/>
          </w:tcPr>
          <w:p>
            <w:r>
              <w:rPr>
                <w:sz w:val="18"/>
                <w:szCs w:val="18"/>
              </w:rPr>
              <w:t xml:space="preserve">Fügt in die „Lehrerliste“ einen Startknopf ein, der SollAnrechnungUebertragen auslöst (Duplikate werden vorher entfernt).</w:t>
            </w:r>
          </w:p>
        </w:tc>
      </w:tr>
    </w:tbl>
    <w:p>
      <w:pPr>
        <w:pStyle w:val="Heading2"/>
        <w:spacing w:after="80" w:before="200"/>
      </w:pPr>
      <w:r>
        <w:t xml:space="preserve">Modul „PruefeLehrerNamen“ – Diagnose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00"/>
      </w:tblGrid>
      <w:tr>
        <w:trPr>
          <w:tblHeader/>
        </w:trPr>
        <w:tc>
          <w:tcPr>
            <w:tcW w:type="dxa" w:w="3200"/>
            <w:shd w:fill="1F3864" w:color="auto" w:val="clea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Makro</w:t>
            </w:r>
          </w:p>
        </w:tc>
        <w:tc>
          <w:tcPr>
            <w:tcW w:type="dxa" w:w="5800"/>
            <w:shd w:fill="1F3864" w:color="auto" w:val="clea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Zweck</w:t>
            </w:r>
          </w:p>
        </w:tc>
      </w:tr>
      <w:tr>
        <w:tc>
          <w:tcPr>
            <w:tcW w:type="dxa" w:w="3200"/>
          </w:tcPr>
          <w:p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PruefeLehrerNamen</w:t>
            </w:r>
          </w:p>
        </w:tc>
        <w:tc>
          <w:tcPr>
            <w:tcW w:type="dxa" w:w="5800"/>
          </w:tcPr>
          <w:p>
            <w:r>
              <w:rPr>
                <w:sz w:val="18"/>
                <w:szCs w:val="18"/>
              </w:rPr>
              <w:t xml:space="preserve">Diagnosemakro: prüft die Lehrernamen auf Konsistenz zwischen den Blättern und schreibt das Ergebnis in „Lehrer-Pruefung“.</w:t>
            </w:r>
          </w:p>
        </w:tc>
      </w:tr>
    </w:tbl>
    <w:p>
      <w:pPr>
        <w:pStyle w:val="Heading2"/>
        <w:spacing w:after="80" w:before="200"/>
      </w:pPr>
      <w:r>
        <w:t xml:space="preserve">Modul „UV_Auswertung“ – Unterrichtsverteilung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00"/>
      </w:tblGrid>
      <w:tr>
        <w:trPr>
          <w:tblHeader/>
        </w:trPr>
        <w:tc>
          <w:tcPr>
            <w:tcW w:type="dxa" w:w="3200"/>
            <w:shd w:fill="1F3864" w:color="auto" w:val="clea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Makro</w:t>
            </w:r>
          </w:p>
        </w:tc>
        <w:tc>
          <w:tcPr>
            <w:tcW w:type="dxa" w:w="5800"/>
            <w:shd w:fill="1F3864" w:color="auto" w:val="clea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Zweck</w:t>
            </w:r>
          </w:p>
        </w:tc>
      </w:tr>
      <w:tr>
        <w:tc>
          <w:tcPr>
            <w:tcW w:type="dxa" w:w="3200"/>
          </w:tcPr>
          <w:p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UVAuswertungErstellen</w:t>
            </w:r>
          </w:p>
        </w:tc>
        <w:tc>
          <w:tcPr>
            <w:tcW w:type="dxa" w:w="5800"/>
          </w:tcPr>
          <w:p>
            <w:r>
              <w:rPr>
                <w:sz w:val="18"/>
                <w:szCs w:val="18"/>
              </w:rPr>
              <w:t xml:space="preserve">Erstellt die Auswertung der Unterrichtsverteilung (je Klasse/Fach/Lehrer) im Blatt „UV-Auswertung“.</w:t>
            </w:r>
          </w:p>
        </w:tc>
      </w:tr>
      <w:tr>
        <w:tc>
          <w:tcPr>
            <w:tcW w:type="dxa" w:w="3200"/>
            <w:shd w:fill="EAF0F8" w:color="auto" w:val="clear"/>
          </w:tcPr>
          <w:p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UVAuswertungButtons_Erstellen</w:t>
            </w:r>
          </w:p>
        </w:tc>
        <w:tc>
          <w:tcPr>
            <w:tcW w:type="dxa" w:w="5800"/>
            <w:shd w:fill="EAF0F8" w:color="auto" w:val="clear"/>
          </w:tcPr>
          <w:p>
            <w:r>
              <w:rPr>
                <w:sz w:val="18"/>
                <w:szCs w:val="18"/>
              </w:rPr>
              <w:t xml:space="preserve">Legt die zugehörigen Startknöpfe an.</w:t>
            </w:r>
          </w:p>
        </w:tc>
      </w:tr>
    </w:tbl>
    <w:p>
      <w:pPr>
        <w:pStyle w:val="Heading2"/>
        <w:spacing w:after="80" w:before="200"/>
      </w:pPr>
      <w:r>
        <w:t xml:space="preserve">Modul „Neueinstellungsanalyse“ – solverbasiert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00"/>
      </w:tblGrid>
      <w:tr>
        <w:trPr>
          <w:tblHeader/>
        </w:trPr>
        <w:tc>
          <w:tcPr>
            <w:tcW w:type="dxa" w:w="3200"/>
            <w:shd w:fill="1F3864" w:color="auto" w:val="clea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Makro</w:t>
            </w:r>
          </w:p>
        </w:tc>
        <w:tc>
          <w:tcPr>
            <w:tcW w:type="dxa" w:w="5800"/>
            <w:shd w:fill="1F3864" w:color="auto" w:val="clea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Zweck</w:t>
            </w:r>
          </w:p>
        </w:tc>
      </w:tr>
      <w:tr>
        <w:tc>
          <w:tcPr>
            <w:tcW w:type="dxa" w:w="3200"/>
          </w:tcPr>
          <w:p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NeueinstellungsAnalyse_Erstellen</w:t>
            </w:r>
          </w:p>
        </w:tc>
        <w:tc>
          <w:tcPr>
            <w:tcW w:type="dxa" w:w="5800"/>
          </w:tcPr>
          <w:p>
            <w:r>
              <w:rPr>
                <w:sz w:val="18"/>
                <w:szCs w:val="18"/>
              </w:rPr>
              <w:t xml:space="preserve">Solverbasierte Neueinstellungs-Analyse (v2.1). Leitsignal ist die „echte Überlast“ je Fachgruppe, gelesen aus dem Diagnose-Blatt (Diagnose3). Empfiehlt Fächer für eine neue Stelle; Blatt „Neueinstellung“. (Gegenstück zum neuen Max-Fluss-Makro.)</w:t>
            </w:r>
          </w:p>
        </w:tc>
      </w:tr>
    </w:tbl>
    <w:p>
      <w:pPr>
        <w:pStyle w:val="Heading2"/>
        <w:spacing w:after="80" w:before="200"/>
      </w:pPr>
      <w:r>
        <w:t xml:space="preserve">Modul „Unterrichtsoptimierung“ – Kernmodul</w:t>
      </w:r>
    </w:p>
    <w:p>
      <w:pPr>
        <w:spacing w:after="100"/>
      </w:pPr>
      <w:r>
        <w:rPr>
          <w:sz w:val="20"/>
          <w:szCs w:val="20"/>
        </w:rPr>
        <w:t xml:space="preserve">Das größte Modul. Es verteilt den Unterricht, erzeugt die Analyse- und Diagnoseblätter und pflegt Daten. Die wichtigsten direkt startbaren Makros:</w:t>
      </w:r>
    </w:p>
    <w:p>
      <w:pPr>
        <w:spacing w:after="100"/>
      </w:pPr>
      <w:r>
        <w:rPr>
          <w:b/>
          <w:bCs/>
          <w:sz w:val="19"/>
          <w:szCs w:val="19"/>
        </w:rPr>
        <w:t xml:space="preserve">Optimierung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00"/>
      </w:tblGrid>
      <w:tr>
        <w:trPr>
          <w:tblHeader/>
        </w:trPr>
        <w:tc>
          <w:tcPr>
            <w:tcW w:type="dxa" w:w="3200"/>
            <w:shd w:fill="1F3864" w:color="auto" w:val="clea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Makro</w:t>
            </w:r>
          </w:p>
        </w:tc>
        <w:tc>
          <w:tcPr>
            <w:tcW w:type="dxa" w:w="5800"/>
            <w:shd w:fill="1F3864" w:color="auto" w:val="clea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Zweck</w:t>
            </w:r>
          </w:p>
        </w:tc>
      </w:tr>
      <w:tr>
        <w:tc>
          <w:tcPr>
            <w:tcW w:type="dxa" w:w="3200"/>
          </w:tcPr>
          <w:p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UnterrichtsverteilungOptimieren</w:t>
            </w:r>
          </w:p>
        </w:tc>
        <w:tc>
          <w:tcPr>
            <w:tcW w:type="dxa" w:w="5800"/>
          </w:tcPr>
          <w:p>
            <w:r>
              <w:rPr>
                <w:sz w:val="18"/>
                <w:szCs w:val="18"/>
              </w:rPr>
              <w:t xml:space="preserve">Hauptmakro: verteilt den gesamten Unterricht auf die Lehrkräfte (Backtracking + Constraint-Propagation und/oder Simulated Annealing) und erzeugt die Lösungs-, Diagnose- und Lehrerbelegungs-Blätter.</w:t>
            </w:r>
          </w:p>
        </w:tc>
      </w:tr>
      <w:tr>
        <w:tc>
          <w:tcPr>
            <w:tcW w:type="dxa" w:w="3200"/>
            <w:shd w:fill="EAF0F8" w:color="auto" w:val="clear"/>
          </w:tcPr>
          <w:p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Optimieren_Backtracking</w:t>
            </w:r>
          </w:p>
        </w:tc>
        <w:tc>
          <w:tcPr>
            <w:tcW w:type="dxa" w:w="5800"/>
            <w:shd w:fill="EAF0F8" w:color="auto" w:val="clear"/>
          </w:tcPr>
          <w:p>
            <w:r>
              <w:rPr>
                <w:sz w:val="18"/>
                <w:szCs w:val="18"/>
              </w:rPr>
              <w:t xml:space="preserve">Startet gezielt nur das Backtracking-Verfahren (mit Constraint-Propagation).</w:t>
            </w:r>
          </w:p>
        </w:tc>
      </w:tr>
      <w:tr>
        <w:tc>
          <w:tcPr>
            <w:tcW w:type="dxa" w:w="3200"/>
          </w:tcPr>
          <w:p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Optimieren_SA</w:t>
            </w:r>
          </w:p>
        </w:tc>
        <w:tc>
          <w:tcPr>
            <w:tcW w:type="dxa" w:w="5800"/>
          </w:tcPr>
          <w:p>
            <w:r>
              <w:rPr>
                <w:sz w:val="18"/>
                <w:szCs w:val="18"/>
              </w:rPr>
              <w:t xml:space="preserve">Startet gezielt nur das Simulated-Annealing-Verfahren.</w:t>
            </w:r>
          </w:p>
        </w:tc>
      </w:tr>
      <w:tr>
        <w:tc>
          <w:tcPr>
            <w:tcW w:type="dxa" w:w="3200"/>
            <w:shd w:fill="EAF0F8" w:color="auto" w:val="clear"/>
          </w:tcPr>
          <w:p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NachtraeglicheVerbesserung</w:t>
            </w:r>
          </w:p>
        </w:tc>
        <w:tc>
          <w:tcPr>
            <w:tcW w:type="dxa" w:w="5800"/>
            <w:shd w:fill="EAF0F8" w:color="auto" w:val="clear"/>
          </w:tcPr>
          <w:p>
            <w:r>
              <w:rPr>
                <w:sz w:val="18"/>
                <w:szCs w:val="18"/>
              </w:rPr>
              <w:t xml:space="preserve">Verbessert eine bereits vorhandene Lösung nachträglich per Simulated Annealing.</w:t>
            </w:r>
          </w:p>
        </w:tc>
      </w:tr>
      <w:tr>
        <w:tc>
          <w:tcPr>
            <w:tcW w:type="dxa" w:w="3200"/>
          </w:tcPr>
          <w:p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ZuweisungZuruecksetzen</w:t>
            </w:r>
          </w:p>
        </w:tc>
        <w:tc>
          <w:tcPr>
            <w:tcW w:type="dxa" w:w="5800"/>
          </w:tcPr>
          <w:p>
            <w:r>
              <w:rPr>
                <w:sz w:val="18"/>
                <w:szCs w:val="18"/>
              </w:rPr>
              <w:t xml:space="preserve">Setzt alle Lehrerzuweisungen in „Klassen“ zurück (offen).</w:t>
            </w:r>
          </w:p>
        </w:tc>
      </w:tr>
    </w:tbl>
    <w:p>
      <w:pPr>
        <w:spacing w:after="100"/>
      </w:pPr>
      <w:r>
        <w:rPr>
          <w:b/>
          <w:bCs/>
          <w:sz w:val="19"/>
          <w:szCs w:val="19"/>
        </w:rPr>
        <w:t xml:space="preserve">Analyse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00"/>
      </w:tblGrid>
      <w:tr>
        <w:trPr>
          <w:tblHeader/>
        </w:trPr>
        <w:tc>
          <w:tcPr>
            <w:tcW w:type="dxa" w:w="3200"/>
            <w:shd w:fill="1F3864" w:color="auto" w:val="clea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Makro</w:t>
            </w:r>
          </w:p>
        </w:tc>
        <w:tc>
          <w:tcPr>
            <w:tcW w:type="dxa" w:w="5800"/>
            <w:shd w:fill="1F3864" w:color="auto" w:val="clea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Zweck</w:t>
            </w:r>
          </w:p>
        </w:tc>
      </w:tr>
      <w:tr>
        <w:tc>
          <w:tcPr>
            <w:tcW w:type="dxa" w:w="3200"/>
          </w:tcPr>
          <w:p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FachEngpassAnalyse</w:t>
            </w:r>
          </w:p>
        </w:tc>
        <w:tc>
          <w:tcPr>
            <w:tcW w:type="dxa" w:w="5800"/>
          </w:tcPr>
          <w:p>
            <w:r>
              <w:rPr>
                <w:sz w:val="18"/>
                <w:szCs w:val="18"/>
              </w:rPr>
              <w:t xml:space="preserve">Erzeugt das Blatt „Engpass_Analyse“ – Bedarf, Anzahl qualifizierter Lehrer und freie Kapazität je Fach.</w:t>
            </w:r>
          </w:p>
        </w:tc>
      </w:tr>
      <w:tr>
        <w:tc>
          <w:tcPr>
            <w:tcW w:type="dxa" w:w="3200"/>
            <w:shd w:fill="EAF0F8" w:color="auto" w:val="clear"/>
          </w:tcPr>
          <w:p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NeueinstellungsSimulation</w:t>
            </w:r>
          </w:p>
        </w:tc>
        <w:tc>
          <w:tcPr>
            <w:tcW w:type="dxa" w:w="5800"/>
            <w:shd w:fill="EAF0F8" w:color="auto" w:val="clear"/>
          </w:tcPr>
          <w:p>
            <w:r>
              <w:rPr>
                <w:sz w:val="18"/>
                <w:szCs w:val="18"/>
              </w:rPr>
              <w:t xml:space="preserve">Simuliert Neueinstellungen EINZELN (jedes Profil für sich) und ihre Wirkung; Blatt „Neueinstellung_Simulation“.</w:t>
            </w:r>
          </w:p>
        </w:tc>
      </w:tr>
      <w:tr>
        <w:tc>
          <w:tcPr>
            <w:tcW w:type="dxa" w:w="3200"/>
          </w:tcPr>
          <w:p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NeueinstellungsSimulation_Kombi</w:t>
            </w:r>
          </w:p>
        </w:tc>
        <w:tc>
          <w:tcPr>
            <w:tcW w:type="dxa" w:w="5800"/>
          </w:tcPr>
          <w:p>
            <w:r>
              <w:rPr>
                <w:sz w:val="18"/>
                <w:szCs w:val="18"/>
              </w:rPr>
              <w:t xml:space="preserve">Simuliert alle Kandidatenprofile GEMEINSAM in einem echten Optimierungslauf und zeigt die gemeinsame Rest-Überlast, Entlastung und je Profil die real zugewiesenen Stunden; Blatt „Neueinstellung_Sim_Kombi“. Solverbasiertes Gegenstück zur strukturellen Kombination in Kandidaten_MaxFluss. (Wird ins Modul Unterrichtsoptimierung eingefügt.)</w:t>
            </w:r>
          </w:p>
        </w:tc>
      </w:tr>
      <w:tr>
        <w:tc>
          <w:tcPr>
            <w:tcW w:type="dxa" w:w="3200"/>
            <w:shd w:fill="EAF0F8" w:color="auto" w:val="clear"/>
          </w:tcPr>
          <w:p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StundentafelVergleich</w:t>
            </w:r>
          </w:p>
        </w:tc>
        <w:tc>
          <w:tcPr>
            <w:tcW w:type="dxa" w:w="5800"/>
            <w:shd w:fill="EAF0F8" w:color="auto" w:val="clear"/>
          </w:tcPr>
          <w:p>
            <w:r>
              <w:rPr>
                <w:sz w:val="18"/>
                <w:szCs w:val="18"/>
              </w:rPr>
              <w:t xml:space="preserve">Vergleicht den verteilten Unterricht gegen die Stundentafel; Blatt „Stundentafel_Pruefung“.</w:t>
            </w:r>
          </w:p>
        </w:tc>
      </w:tr>
    </w:tbl>
    <w:p>
      <w:pPr>
        <w:spacing w:after="100"/>
      </w:pPr>
      <w:r>
        <w:rPr>
          <w:b/>
          <w:bCs/>
          <w:sz w:val="19"/>
          <w:szCs w:val="19"/>
        </w:rPr>
        <w:t xml:space="preserve">Datenpflege &amp; Blätter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00"/>
      </w:tblGrid>
      <w:tr>
        <w:trPr>
          <w:tblHeader/>
        </w:trPr>
        <w:tc>
          <w:tcPr>
            <w:tcW w:type="dxa" w:w="3200"/>
            <w:shd w:fill="1F3864" w:color="auto" w:val="clea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Makro</w:t>
            </w:r>
          </w:p>
        </w:tc>
        <w:tc>
          <w:tcPr>
            <w:tcW w:type="dxa" w:w="5800"/>
            <w:shd w:fill="1F3864" w:color="auto" w:val="clea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Zweck</w:t>
            </w:r>
          </w:p>
        </w:tc>
      </w:tr>
      <w:tr>
        <w:tc>
          <w:tcPr>
            <w:tcW w:type="dxa" w:w="3200"/>
          </w:tcPr>
          <w:p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FachgruppenSheet_Erstellen</w:t>
            </w:r>
          </w:p>
        </w:tc>
        <w:tc>
          <w:tcPr>
            <w:tcW w:type="dxa" w:w="5800"/>
          </w:tcPr>
          <w:p>
            <w:r>
              <w:rPr>
                <w:sz w:val="18"/>
                <w:szCs w:val="18"/>
              </w:rPr>
              <w:t xml:space="preserve">Erstellt/aktualisiert das Blatt „Fachgruppen“ (Zuordnung Fach → Fachgruppe).</w:t>
            </w:r>
          </w:p>
        </w:tc>
      </w:tr>
      <w:tr>
        <w:tc>
          <w:tcPr>
            <w:tcW w:type="dxa" w:w="3200"/>
            <w:shd w:fill="EAF0F8" w:color="auto" w:val="clear"/>
          </w:tcPr>
          <w:p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FachLehrerListe_Erstellen</w:t>
            </w:r>
          </w:p>
        </w:tc>
        <w:tc>
          <w:tcPr>
            <w:tcW w:type="dxa" w:w="5800"/>
            <w:shd w:fill="EAF0F8" w:color="auto" w:val="clear"/>
          </w:tcPr>
          <w:p>
            <w:r>
              <w:rPr>
                <w:sz w:val="18"/>
                <w:szCs w:val="18"/>
              </w:rPr>
              <w:t xml:space="preserve">Baut die Fach-Lehrer-Matrix (Blatt „FachLehrer“).</w:t>
            </w:r>
          </w:p>
        </w:tc>
      </w:tr>
      <w:tr>
        <w:tc>
          <w:tcPr>
            <w:tcW w:type="dxa" w:w="3200"/>
          </w:tcPr>
          <w:p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FachLehrer_ZurueckInLehrerliste</w:t>
            </w:r>
          </w:p>
        </w:tc>
        <w:tc>
          <w:tcPr>
            <w:tcW w:type="dxa" w:w="5800"/>
          </w:tcPr>
          <w:p>
            <w:r>
              <w:rPr>
                <w:sz w:val="18"/>
                <w:szCs w:val="18"/>
              </w:rPr>
              <w:t xml:space="preserve">Schreibt die Fach-Lehrer-Matrix zurück in die Lehrerliste.</w:t>
            </w:r>
          </w:p>
        </w:tc>
      </w:tr>
      <w:tr>
        <w:tc>
          <w:tcPr>
            <w:tcW w:type="dxa" w:w="3200"/>
            <w:shd w:fill="EAF0F8" w:color="auto" w:val="clear"/>
          </w:tcPr>
          <w:p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SpaltensummenAktualisieren</w:t>
            </w:r>
          </w:p>
        </w:tc>
        <w:tc>
          <w:tcPr>
            <w:tcW w:type="dxa" w:w="5800"/>
            <w:shd w:fill="EAF0F8" w:color="auto" w:val="clear"/>
          </w:tcPr>
          <w:p>
            <w:r>
              <w:rPr>
                <w:sz w:val="18"/>
                <w:szCs w:val="18"/>
              </w:rPr>
              <w:t xml:space="preserve">Aktualisiert die SUMME-Zeilen (läuft auch automatisch nach jedem Optimierungslauf).</w:t>
            </w:r>
          </w:p>
        </w:tc>
      </w:tr>
      <w:tr>
        <w:tc>
          <w:tcPr>
            <w:tcW w:type="dxa" w:w="3200"/>
          </w:tcPr>
          <w:p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ParameterSheet_Erstellen</w:t>
            </w:r>
          </w:p>
        </w:tc>
        <w:tc>
          <w:tcPr>
            <w:tcW w:type="dxa" w:w="5800"/>
          </w:tcPr>
          <w:p>
            <w:r>
              <w:rPr>
                <w:sz w:val="18"/>
                <w:szCs w:val="18"/>
              </w:rPr>
              <w:t xml:space="preserve">Erstellt/aktualisiert das Blatt „Parameter“ mit Standardwerten (z. B. Iterationszahl).</w:t>
            </w:r>
          </w:p>
        </w:tc>
      </w:tr>
    </w:tbl>
    <w:p>
      <w:pPr>
        <w:spacing w:after="100"/>
      </w:pPr>
      <w:r>
        <w:rPr>
          <w:b/>
          <w:bCs/>
          <w:sz w:val="19"/>
          <w:szCs w:val="19"/>
        </w:rPr>
        <w:t xml:space="preserve">Import / Export (Untis)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00"/>
      </w:tblGrid>
      <w:tr>
        <w:trPr>
          <w:tblHeader/>
        </w:trPr>
        <w:tc>
          <w:tcPr>
            <w:tcW w:type="dxa" w:w="3200"/>
            <w:shd w:fill="1F3864" w:color="auto" w:val="clea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Makro</w:t>
            </w:r>
          </w:p>
        </w:tc>
        <w:tc>
          <w:tcPr>
            <w:tcW w:type="dxa" w:w="5800"/>
            <w:shd w:fill="1F3864" w:color="auto" w:val="clea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Zweck</w:t>
            </w:r>
          </w:p>
        </w:tc>
      </w:tr>
      <w:tr>
        <w:tc>
          <w:tcPr>
            <w:tcW w:type="dxa" w:w="3200"/>
          </w:tcPr>
          <w:p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UntisImport_KlassenUV_nach_Klassen</w:t>
            </w:r>
          </w:p>
        </w:tc>
        <w:tc>
          <w:tcPr>
            <w:tcW w:type="dxa" w:w="5800"/>
          </w:tcPr>
          <w:p>
            <w:r>
              <w:rPr>
                <w:sz w:val="18"/>
                <w:szCs w:val="18"/>
              </w:rPr>
              <w:t xml:space="preserve">Importiert die Untis-Unterrichtsverteilung (KlassenUV) in das Blatt „Klassen“.</w:t>
            </w:r>
          </w:p>
        </w:tc>
      </w:tr>
      <w:tr>
        <w:tc>
          <w:tcPr>
            <w:tcW w:type="dxa" w:w="3200"/>
            <w:shd w:fill="EAF0F8" w:color="auto" w:val="clear"/>
          </w:tcPr>
          <w:p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UntisImport_KlassenUV_nach_Lehrerliste</w:t>
            </w:r>
          </w:p>
        </w:tc>
        <w:tc>
          <w:tcPr>
            <w:tcW w:type="dxa" w:w="5800"/>
            <w:shd w:fill="EAF0F8" w:color="auto" w:val="clear"/>
          </w:tcPr>
          <w:p>
            <w:r>
              <w:rPr>
                <w:sz w:val="18"/>
                <w:szCs w:val="18"/>
              </w:rPr>
              <w:t xml:space="preserve">Importiert dieselben Daten in die „Lehrerliste“.</w:t>
            </w:r>
          </w:p>
        </w:tc>
      </w:tr>
      <w:tr>
        <w:tc>
          <w:tcPr>
            <w:tcW w:type="dxa" w:w="3200"/>
          </w:tcPr>
          <w:p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StammdatenKlassen_Import</w:t>
            </w:r>
          </w:p>
        </w:tc>
        <w:tc>
          <w:tcPr>
            <w:tcW w:type="dxa" w:w="5800"/>
          </w:tcPr>
          <w:p>
            <w:r>
              <w:rPr>
                <w:sz w:val="18"/>
                <w:szCs w:val="18"/>
              </w:rPr>
              <w:t xml:space="preserve">Importiert die Klassen-Stammdaten.</w:t>
            </w:r>
          </w:p>
        </w:tc>
      </w:tr>
      <w:tr>
        <w:tc>
          <w:tcPr>
            <w:tcW w:type="dxa" w:w="3200"/>
            <w:shd w:fill="EAF0F8" w:color="auto" w:val="clear"/>
          </w:tcPr>
          <w:p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GPU006_Import_Fachliste</w:t>
            </w:r>
          </w:p>
        </w:tc>
        <w:tc>
          <w:tcPr>
            <w:tcW w:type="dxa" w:w="5800"/>
            <w:shd w:fill="EAF0F8" w:color="auto" w:val="clear"/>
          </w:tcPr>
          <w:p>
            <w:r>
              <w:rPr>
                <w:sz w:val="18"/>
                <w:szCs w:val="18"/>
              </w:rPr>
              <w:t xml:space="preserve">Importiert die Fachliste aus der Untis-Exportdatei GPU006.TXT.</w:t>
            </w:r>
          </w:p>
        </w:tc>
      </w:tr>
      <w:tr>
        <w:tc>
          <w:tcPr>
            <w:tcW w:type="dxa" w:w="3200"/>
          </w:tcPr>
          <w:p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GPU002_LehrerExport</w:t>
            </w:r>
          </w:p>
        </w:tc>
        <w:tc>
          <w:tcPr>
            <w:tcW w:type="dxa" w:w="5800"/>
          </w:tcPr>
          <w:p>
            <w:r>
              <w:rPr>
                <w:sz w:val="18"/>
                <w:szCs w:val="18"/>
              </w:rPr>
              <w:t xml:space="preserve">Liest GPU002.TXT und ersetzt den Lehrer (auch „?“) durch den aus dem Blatt „Klassen“.</w:t>
            </w:r>
          </w:p>
        </w:tc>
      </w:tr>
    </w:tbl>
    <w:p>
      <w:pPr>
        <w:spacing w:after="100"/>
      </w:pPr>
      <w:r>
        <w:rPr>
          <w:b/>
          <w:bCs/>
          <w:sz w:val="19"/>
          <w:szCs w:val="19"/>
        </w:rPr>
        <w:t xml:space="preserve">Bedienung / Knöpfe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00"/>
      </w:tblGrid>
      <w:tr>
        <w:trPr>
          <w:tblHeader/>
        </w:trPr>
        <w:tc>
          <w:tcPr>
            <w:tcW w:type="dxa" w:w="3200"/>
            <w:shd w:fill="1F3864" w:color="auto" w:val="clea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Makro</w:t>
            </w:r>
          </w:p>
        </w:tc>
        <w:tc>
          <w:tcPr>
            <w:tcW w:type="dxa" w:w="5800"/>
            <w:shd w:fill="1F3864" w:color="auto" w:val="clea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Zweck</w:t>
            </w:r>
          </w:p>
        </w:tc>
      </w:tr>
      <w:tr>
        <w:tc>
          <w:tcPr>
            <w:tcW w:type="dxa" w:w="3200"/>
          </w:tcPr>
          <w:p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OptimierungsKnoepfe_Erstellen</w:t>
            </w:r>
          </w:p>
        </w:tc>
        <w:tc>
          <w:tcPr>
            <w:tcW w:type="dxa" w:w="5800"/>
          </w:tcPr>
          <w:p>
            <w:r>
              <w:rPr>
                <w:sz w:val="18"/>
                <w:szCs w:val="18"/>
              </w:rPr>
              <w:t xml:space="preserve">Legt in jede relevante Tabelle oben rechts einen Startknopf (vorhandene werden vorher entfernt).</w:t>
            </w:r>
          </w:p>
        </w:tc>
      </w:tr>
      <w:tr>
        <w:tc>
          <w:tcPr>
            <w:tcW w:type="dxa" w:w="3200"/>
            <w:shd w:fill="EAF0F8" w:color="auto" w:val="clear"/>
          </w:tcPr>
          <w:p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OptimierungsKnoepfe_Entfernen</w:t>
            </w:r>
          </w:p>
        </w:tc>
        <w:tc>
          <w:tcPr>
            <w:tcW w:type="dxa" w:w="5800"/>
            <w:shd w:fill="EAF0F8" w:color="auto" w:val="clear"/>
          </w:tcPr>
          <w:p>
            <w:r>
              <w:rPr>
                <w:sz w:val="18"/>
                <w:szCs w:val="18"/>
              </w:rPr>
              <w:t xml:space="preserve">Entfernt diese Startknöpfe wieder.</w:t>
            </w:r>
          </w:p>
        </w:tc>
      </w:tr>
      <w:tr>
        <w:tc>
          <w:tcPr>
            <w:tcW w:type="dxa" w:w="3200"/>
          </w:tcPr>
          <w:p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StundentafelPruefung_ButtonErstellen</w:t>
            </w:r>
          </w:p>
        </w:tc>
        <w:tc>
          <w:tcPr>
            <w:tcW w:type="dxa" w:w="5800"/>
          </w:tcPr>
          <w:p>
            <w:r>
              <w:rPr>
                <w:sz w:val="18"/>
                <w:szCs w:val="18"/>
              </w:rPr>
              <w:t xml:space="preserve">Legt den Button für die Stundentafel-Prüfung an.</w:t>
            </w:r>
          </w:p>
        </w:tc>
      </w:tr>
    </w:tbl>
    <w:p>
      <w:pPr>
        <w:pStyle w:val="Heading1"/>
        <w:spacing w:after="120" w:before="280"/>
      </w:pPr>
      <w:r>
        <w:t xml:space="preserve">3. Nicht direkt startbare Bausteine</w:t>
      </w:r>
    </w:p>
    <w:p>
      <w:pPr>
        <w:spacing w:after="100"/>
      </w:pPr>
      <w:r>
        <w:rPr>
          <w:sz w:val="20"/>
          <w:szCs w:val="20"/>
        </w:rPr>
        <w:t xml:space="preserve">Das Modul „Unterrichtsoptimierung“ enthält zusätzlich rund 60 interne Hilfsfunktionen (Backtracking, Arc-Consistency, Scoring, Konsistenzprüfung, CSV-Parsing, Zellformatierung u. a.), die von den oben genannten Makros aufgerufen werden und nicht einzeln gestartet werden. Ebenso gibt es die Blatt-Codemodule (DieseArbeitsmappe, Tabelle1–26) – diese enthalten keine eigenständigen Makros.</w:t>
      </w:r>
    </w:p>
    <w:p>
      <w:pPr>
        <w:pStyle w:val="Heading1"/>
        <w:spacing w:after="120" w:before="280"/>
      </w:pPr>
      <w:r>
        <w:t xml:space="preserve">4. Makros ausführen</w:t>
      </w:r>
    </w:p>
    <w:p>
      <w:pPr>
        <w:spacing w:after="100"/>
      </w:pPr>
      <w:r>
        <w:rPr>
          <w:sz w:val="20"/>
          <w:szCs w:val="20"/>
        </w:rPr>
        <w:t xml:space="preserve">• Über Alt + F8 das gewünschte Makro auswählen und „Ausführen“ – oder die eingebauten Startknöpfe verwenden.</w:t>
      </w:r>
    </w:p>
    <w:p>
      <w:pPr>
        <w:spacing w:after="100"/>
      </w:pPr>
      <w:r>
        <w:rPr>
          <w:sz w:val="20"/>
          <w:szCs w:val="20"/>
        </w:rPr>
        <w:t xml:space="preserve">• Die Arbeitsmappen-Struktur darf nicht geschützt sein (Überprüfen → Arbeitsmappe schützen = kein Haken), sonst können Makros keine Ergebnisblätter anlegen.</w:t>
      </w:r>
    </w:p>
    <w:p>
      <w:pPr>
        <w:spacing w:after="100"/>
      </w:pPr>
      <w:r>
        <w:rPr>
          <w:sz w:val="20"/>
          <w:szCs w:val="20"/>
        </w:rPr>
        <w:t xml:space="preserve">• Nach jeder Änderung an „Fachgruppen“, „Lehrerliste“ oder „Klassen“ das jeweilige Makro einfach erneut ausführen; alles wird frisch eingelesen.</w:t>
      </w:r>
    </w:p>
    <w:sectPr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80"/>
    </w:pPr>
    <w:rPr>
      <w:b/>
      <w:bCs/>
      <w:color w:val="1F3864"/>
      <w:sz w:val="26"/>
      <w:szCs w:val="26"/>
    </w:rPr>
  </w:style>
  <w:style w:type="paragraph" w:styleId="Heading2">
    <w:name w:val="Heading 2"/>
    <w:basedOn w:val="Normal"/>
    <w:next w:val="Normal"/>
    <w:qFormat/>
    <w:pPr>
      <w:spacing w:after="80" w:before="200"/>
    </w:pPr>
    <w:rPr>
      <w:b/>
      <w:bCs/>
      <w:color w:val="2E5496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2026-09-14T10:28:34.570Z</dcterms:created>
  <dcterms:modified xsi:type="dcterms:W3CDTF">2026-09-14T10:28:34.579Z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