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DGE-METRIC MODEL FAMILY</w:t>
      </w:r>
    </w:p>
    <w:p>
      <w:pPr>
        <w:pStyle w:val="Title"/>
      </w:pPr>
      <w:r>
        <w:t>Public Repository Improvement</w:t>
        <w:br/>
        <w:t>and Maintenance Plan</w:t>
      </w:r>
    </w:p>
    <w:p>
      <w:pPr>
        <w:jc w:val="left"/>
      </w:pPr>
      <w:r>
        <w:rPr>
          <w:color w:val="2D6EA3"/>
          <w:sz w:val="24"/>
        </w:rPr>
        <w:t>DGE-METRIC framework  •  DGE-METRIC — Viet Nam  •  Technical Report</w:t>
      </w:r>
    </w:p>
    <w:tbl>
      <w:tblPr>
        <w:tblW w:type="auto" w:w="0"/>
        <w:jc w:val="center"/>
        <w:tblLayout w:type="fixed"/>
        <w:tblLook w:firstColumn="1" w:firstRow="1" w:lastColumn="0" w:lastRow="0" w:noHBand="0" w:noVBand="1" w:val="04A0"/>
      </w:tblPr>
      <w:tblGrid>
        <w:gridCol w:w="10080"/>
      </w:tblGrid>
      <w:tr>
        <w:tc>
          <w:tcPr>
            <w:tcW w:type="dxa" w:w="10080"/>
            <w:shd w:fill="EAF1F7"/>
            <w:tcMar>
              <w:top w:w="130" w:type="dxa"/>
              <w:start w:w="150" w:type="dxa"/>
              <w:bottom w:w="130" w:type="dxa"/>
              <w:end w:w="150" w:type="dxa"/>
            </w:tcMar>
          </w:tcPr>
          <w:p>
            <w:pPr>
              <w:spacing w:after="30"/>
            </w:pPr>
            <w:r>
              <w:rPr>
                <w:rFonts w:ascii="Aptos" w:hAnsi="Aptos"/>
                <w:b/>
                <w:color w:val="1F3A5F"/>
                <w:sz w:val="18"/>
              </w:rPr>
              <w:t>Purpose</w:t>
            </w:r>
          </w:p>
          <w:p>
            <w:pPr>
              <w:spacing w:after="30"/>
            </w:pPr>
            <w:r>
              <w:rPr>
                <w:rFonts w:ascii="Aptos" w:hAnsi="Aptos"/>
                <w:sz w:val="18"/>
              </w:rPr>
              <w:t>Provide Claude and future maintainers with a practical, low-risk plan to improve the readability and professional appearance of the public repositories while keeping the executable implementation, repository documentation, and Technical Report synchronized.</w:t>
            </w:r>
          </w:p>
        </w:tc>
      </w:tr>
    </w:tbl>
    <w:p>
      <w:pPr>
        <w:spacing w:after="20"/>
      </w:pPr>
    </w:p>
    <w:p>
      <w:r>
        <w:rPr>
          <w:b/>
        </w:rPr>
        <w:t xml:space="preserve">Primary rule: </w:t>
      </w:r>
      <w:r>
        <w:t>presentation can evolve quickly; scientific behavior must change only deliberately, with validation and synchronized documentation.</w:t>
      </w:r>
    </w:p>
    <w:p>
      <w:pPr>
        <w:pStyle w:val="Heading1"/>
      </w:pPr>
      <w:r>
        <w:t>1. Executive summary</w:t>
      </w:r>
    </w:p>
    <w:p>
      <w:r>
        <w:t>Treat the two GitHub repositories as one public model family with distinct roles:</w:t>
      </w:r>
    </w:p>
    <w:p>
      <w:pPr>
        <w:pStyle w:val="ListBullet"/>
        <w:spacing w:after="50"/>
      </w:pPr>
      <w:r>
        <w:t>DGE-METRIC: the core framework and reusable model architecture.</w:t>
      </w:r>
    </w:p>
    <w:p>
      <w:pPr>
        <w:pStyle w:val="ListBullet"/>
        <w:spacing w:after="50"/>
      </w:pPr>
      <w:r>
        <w:t>DGE-METRIC — Viet Nam: the calibrated country implementation, scenarios, replication workflows, training material, and report-specific outputs.</w:t>
      </w:r>
    </w:p>
    <w:p>
      <w:r>
        <w:t>The Technical Report remains the stable methodological reference; the repositories remain the versioned executable implementation. Repository improvements should therefore be carried out in staged, reviewable changes, with an explicit Technical Report impact check on every structural, operational, or scientific change.</w:t>
      </w:r>
    </w:p>
    <w:p>
      <w:pPr>
        <w:pStyle w:val="Heading1"/>
      </w:pPr>
      <w:r>
        <w:t>2. Objectives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shd w:fill="1F3A5F"/>
            <w:tcMar>
              <w:top w:w="90" w:type="dxa"/>
              <w:start w:w="100" w:type="dxa"/>
              <w:bottom w:w="90" w:type="dxa"/>
              <w:end w:w="100" w:type="dxa"/>
            </w:tcMar>
            <w:vAlign w:val="center"/>
          </w:tcPr>
          <w:p>
            <w:pPr>
              <w:spacing w:after="30"/>
            </w:pPr>
            <w:r>
              <w:rPr>
                <w:rFonts w:ascii="Aptos" w:hAnsi="Aptos"/>
                <w:b/>
                <w:color w:val="FFFFFF"/>
                <w:sz w:val="18"/>
              </w:rPr>
              <w:t>Objective</w:t>
            </w:r>
          </w:p>
        </w:tc>
        <w:tc>
          <w:tcPr>
            <w:tcW w:type="dxa" w:w="4680"/>
            <w:shd w:fill="1F3A5F"/>
            <w:tcMar>
              <w:top w:w="90" w:type="dxa"/>
              <w:start w:w="100" w:type="dxa"/>
              <w:bottom w:w="90" w:type="dxa"/>
              <w:end w:w="100" w:type="dxa"/>
            </w:tcMar>
            <w:vAlign w:val="center"/>
          </w:tcPr>
          <w:p>
            <w:pPr>
              <w:spacing w:after="30"/>
            </w:pPr>
            <w:r>
              <w:rPr>
                <w:rFonts w:ascii="Aptos" w:hAnsi="Aptos"/>
                <w:b/>
                <w:color w:val="FFFFFF"/>
                <w:sz w:val="18"/>
              </w:rPr>
              <w:t>What success looks like</w:t>
            </w:r>
          </w:p>
        </w:tc>
        <w:tc>
          <w:tcPr>
            <w:tcW w:type="dxa" w:w="3096"/>
            <w:shd w:fill="1F3A5F"/>
            <w:tcMar>
              <w:top w:w="90" w:type="dxa"/>
              <w:start w:w="100" w:type="dxa"/>
              <w:bottom w:w="90" w:type="dxa"/>
              <w:end w:w="100" w:type="dxa"/>
            </w:tcMar>
            <w:vAlign w:val="center"/>
          </w:tcPr>
          <w:p>
            <w:pPr>
              <w:spacing w:after="30"/>
            </w:pPr>
            <w:r>
              <w:rPr>
                <w:rFonts w:ascii="Aptos" w:hAnsi="Aptos"/>
                <w:b/>
                <w:color w:val="FFFFFF"/>
                <w:sz w:val="18"/>
              </w:rPr>
              <w:t>Risk</w:t>
            </w:r>
          </w:p>
        </w:tc>
      </w:tr>
      <w:tr>
        <w:tc>
          <w:tcPr>
            <w:tcW w:type="dxa" w:w="2232"/>
            <w:tcMar>
              <w:top w:w="90" w:type="dxa"/>
              <w:start w:w="100" w:type="dxa"/>
              <w:bottom w:w="90" w:type="dxa"/>
              <w:end w:w="100" w:type="dxa"/>
            </w:tcMar>
            <w:vAlign w:val="center"/>
          </w:tcPr>
          <w:p>
            <w:pPr>
              <w:spacing w:after="30"/>
            </w:pPr>
            <w:r>
              <w:rPr>
                <w:rFonts w:ascii="Aptos" w:hAnsi="Aptos"/>
                <w:sz w:val="18"/>
              </w:rPr>
              <w:t>Public clarity</w:t>
            </w:r>
          </w:p>
        </w:tc>
        <w:tc>
          <w:tcPr>
            <w:tcW w:type="dxa" w:w="4680"/>
            <w:tcMar>
              <w:top w:w="90" w:type="dxa"/>
              <w:start w:w="100" w:type="dxa"/>
              <w:bottom w:w="90" w:type="dxa"/>
              <w:end w:w="100" w:type="dxa"/>
            </w:tcMar>
            <w:vAlign w:val="center"/>
          </w:tcPr>
          <w:p>
            <w:pPr>
              <w:spacing w:after="30"/>
            </w:pPr>
            <w:r>
              <w:rPr>
                <w:rFonts w:ascii="Aptos" w:hAnsi="Aptos"/>
                <w:sz w:val="18"/>
              </w:rPr>
              <w:t>A new visitor understands the model, the two-repository relationship, how to start, and where to find the Technical Report within two minutes.</w:t>
            </w:r>
          </w:p>
        </w:tc>
        <w:tc>
          <w:tcPr>
            <w:tcW w:type="dxa" w:w="3096"/>
            <w:tcMar>
              <w:top w:w="90" w:type="dxa"/>
              <w:start w:w="100" w:type="dxa"/>
              <w:bottom w:w="90" w:type="dxa"/>
              <w:end w:w="100" w:type="dxa"/>
            </w:tcMar>
            <w:vAlign w:val="center"/>
          </w:tcPr>
          <w:p>
            <w:pPr>
              <w:spacing w:after="30"/>
              <w:jc w:val="center"/>
            </w:pPr>
            <w:r>
              <w:rPr>
                <w:rFonts w:ascii="Aptos" w:hAnsi="Aptos"/>
                <w:sz w:val="18"/>
              </w:rPr>
              <w:t>Low</w:t>
            </w:r>
          </w:p>
        </w:tc>
      </w:tr>
      <w:tr>
        <w:tc>
          <w:tcPr>
            <w:tcW w:type="dxa" w:w="2232"/>
            <w:tcMar>
              <w:top w:w="90" w:type="dxa"/>
              <w:start w:w="100" w:type="dxa"/>
              <w:bottom w:w="90" w:type="dxa"/>
              <w:end w:w="100" w:type="dxa"/>
            </w:tcMar>
            <w:vAlign w:val="center"/>
          </w:tcPr>
          <w:p>
            <w:pPr>
              <w:spacing w:after="30"/>
            </w:pPr>
            <w:r>
              <w:rPr>
                <w:rFonts w:ascii="Aptos" w:hAnsi="Aptos"/>
                <w:sz w:val="18"/>
              </w:rPr>
              <w:t>Professional appearance</w:t>
            </w:r>
          </w:p>
        </w:tc>
        <w:tc>
          <w:tcPr>
            <w:tcW w:type="dxa" w:w="4680"/>
            <w:tcMar>
              <w:top w:w="90" w:type="dxa"/>
              <w:start w:w="100" w:type="dxa"/>
              <w:bottom w:w="90" w:type="dxa"/>
              <w:end w:w="100" w:type="dxa"/>
            </w:tcMar>
            <w:vAlign w:val="center"/>
          </w:tcPr>
          <w:p>
            <w:pPr>
              <w:spacing w:after="30"/>
            </w:pPr>
            <w:r>
              <w:rPr>
                <w:rFonts w:ascii="Aptos" w:hAnsi="Aptos"/>
                <w:sz w:val="18"/>
              </w:rPr>
              <w:t>READMEs, diagrams, metadata, headings, badges, and navigation follow one restrained visual system.</w:t>
            </w:r>
          </w:p>
        </w:tc>
        <w:tc>
          <w:tcPr>
            <w:tcW w:type="dxa" w:w="3096"/>
            <w:tcMar>
              <w:top w:w="90" w:type="dxa"/>
              <w:start w:w="100" w:type="dxa"/>
              <w:bottom w:w="90" w:type="dxa"/>
              <w:end w:w="100" w:type="dxa"/>
            </w:tcMar>
            <w:vAlign w:val="center"/>
          </w:tcPr>
          <w:p>
            <w:pPr>
              <w:spacing w:after="30"/>
              <w:jc w:val="center"/>
            </w:pPr>
            <w:r>
              <w:rPr>
                <w:rFonts w:ascii="Aptos" w:hAnsi="Aptos"/>
                <w:sz w:val="18"/>
              </w:rPr>
              <w:t>Low</w:t>
            </w:r>
          </w:p>
        </w:tc>
      </w:tr>
      <w:tr>
        <w:tc>
          <w:tcPr>
            <w:tcW w:type="dxa" w:w="2232"/>
            <w:tcMar>
              <w:top w:w="90" w:type="dxa"/>
              <w:start w:w="100" w:type="dxa"/>
              <w:bottom w:w="90" w:type="dxa"/>
              <w:end w:w="100" w:type="dxa"/>
            </w:tcMar>
            <w:vAlign w:val="center"/>
          </w:tcPr>
          <w:p>
            <w:pPr>
              <w:spacing w:after="30"/>
            </w:pPr>
            <w:r>
              <w:rPr>
                <w:rFonts w:ascii="Aptos" w:hAnsi="Aptos"/>
                <w:sz w:val="18"/>
              </w:rPr>
              <w:t>Repository hygiene</w:t>
            </w:r>
          </w:p>
        </w:tc>
        <w:tc>
          <w:tcPr>
            <w:tcW w:type="dxa" w:w="4680"/>
            <w:tcMar>
              <w:top w:w="90" w:type="dxa"/>
              <w:start w:w="100" w:type="dxa"/>
              <w:bottom w:w="90" w:type="dxa"/>
              <w:end w:w="100" w:type="dxa"/>
            </w:tcMar>
            <w:vAlign w:val="center"/>
          </w:tcPr>
          <w:p>
            <w:pPr>
              <w:spacing w:after="30"/>
            </w:pPr>
            <w:r>
              <w:rPr>
                <w:rFonts w:ascii="Aptos" w:hAnsi="Aptos"/>
                <w:sz w:val="18"/>
              </w:rPr>
              <w:t>Source, configuration, data, generated output, documentation, and training material are clearly separated.</w:t>
            </w:r>
          </w:p>
        </w:tc>
        <w:tc>
          <w:tcPr>
            <w:tcW w:type="dxa" w:w="3096"/>
            <w:tcMar>
              <w:top w:w="90" w:type="dxa"/>
              <w:start w:w="100" w:type="dxa"/>
              <w:bottom w:w="90" w:type="dxa"/>
              <w:end w:w="100" w:type="dxa"/>
            </w:tcMar>
            <w:vAlign w:val="center"/>
          </w:tcPr>
          <w:p>
            <w:pPr>
              <w:spacing w:after="30"/>
              <w:jc w:val="center"/>
            </w:pPr>
            <w:r>
              <w:rPr>
                <w:rFonts w:ascii="Aptos" w:hAnsi="Aptos"/>
                <w:sz w:val="18"/>
              </w:rPr>
              <w:t>Low–Medium</w:t>
            </w:r>
          </w:p>
        </w:tc>
      </w:tr>
      <w:tr>
        <w:tc>
          <w:tcPr>
            <w:tcW w:type="dxa" w:w="2232"/>
            <w:tcMar>
              <w:top w:w="90" w:type="dxa"/>
              <w:start w:w="100" w:type="dxa"/>
              <w:bottom w:w="90" w:type="dxa"/>
              <w:end w:w="100" w:type="dxa"/>
            </w:tcMar>
            <w:vAlign w:val="center"/>
          </w:tcPr>
          <w:p>
            <w:pPr>
              <w:spacing w:after="30"/>
            </w:pPr>
            <w:r>
              <w:rPr>
                <w:rFonts w:ascii="Aptos" w:hAnsi="Aptos"/>
                <w:sz w:val="18"/>
              </w:rPr>
              <w:t>Portability</w:t>
            </w:r>
          </w:p>
        </w:tc>
        <w:tc>
          <w:tcPr>
            <w:tcW w:type="dxa" w:w="4680"/>
            <w:tcMar>
              <w:top w:w="90" w:type="dxa"/>
              <w:start w:w="100" w:type="dxa"/>
              <w:bottom w:w="90" w:type="dxa"/>
              <w:end w:w="100" w:type="dxa"/>
            </w:tcMar>
            <w:vAlign w:val="center"/>
          </w:tcPr>
          <w:p>
            <w:pPr>
              <w:spacing w:after="30"/>
            </w:pPr>
            <w:r>
              <w:rPr>
                <w:rFonts w:ascii="Aptos" w:hAnsi="Aptos"/>
                <w:sz w:val="18"/>
              </w:rPr>
              <w:t>Public workflows do not depend on one developer’s file system or Dynare installation.</w:t>
            </w:r>
          </w:p>
        </w:tc>
        <w:tc>
          <w:tcPr>
            <w:tcW w:type="dxa" w:w="3096"/>
            <w:tcMar>
              <w:top w:w="90" w:type="dxa"/>
              <w:start w:w="100" w:type="dxa"/>
              <w:bottom w:w="90" w:type="dxa"/>
              <w:end w:w="100" w:type="dxa"/>
            </w:tcMar>
            <w:vAlign w:val="center"/>
          </w:tcPr>
          <w:p>
            <w:pPr>
              <w:spacing w:after="30"/>
              <w:jc w:val="center"/>
            </w:pPr>
            <w:r>
              <w:rPr>
                <w:rFonts w:ascii="Aptos" w:hAnsi="Aptos"/>
                <w:sz w:val="18"/>
              </w:rPr>
              <w:t>Medium</w:t>
            </w:r>
          </w:p>
        </w:tc>
      </w:tr>
      <w:tr>
        <w:tc>
          <w:tcPr>
            <w:tcW w:type="dxa" w:w="2232"/>
            <w:tcMar>
              <w:top w:w="90" w:type="dxa"/>
              <w:start w:w="100" w:type="dxa"/>
              <w:bottom w:w="90" w:type="dxa"/>
              <w:end w:w="100" w:type="dxa"/>
            </w:tcMar>
            <w:vAlign w:val="center"/>
          </w:tcPr>
          <w:p>
            <w:pPr>
              <w:spacing w:after="30"/>
            </w:pPr>
            <w:r>
              <w:rPr>
                <w:rFonts w:ascii="Aptos" w:hAnsi="Aptos"/>
                <w:sz w:val="18"/>
              </w:rPr>
              <w:t>Code readability</w:t>
            </w:r>
          </w:p>
        </w:tc>
        <w:tc>
          <w:tcPr>
            <w:tcW w:type="dxa" w:w="4680"/>
            <w:tcMar>
              <w:top w:w="90" w:type="dxa"/>
              <w:start w:w="100" w:type="dxa"/>
              <w:bottom w:w="90" w:type="dxa"/>
              <w:end w:w="100" w:type="dxa"/>
            </w:tcMar>
            <w:vAlign w:val="center"/>
          </w:tcPr>
          <w:p>
            <w:pPr>
              <w:spacing w:after="30"/>
            </w:pPr>
            <w:r>
              <w:rPr>
                <w:rFonts w:ascii="Aptos" w:hAnsi="Aptos"/>
                <w:sz w:val="18"/>
              </w:rPr>
              <w:t>Configuration, scenario definition, execution, validation, and reporting become easier to inspect without changing model behavior.</w:t>
            </w:r>
          </w:p>
        </w:tc>
        <w:tc>
          <w:tcPr>
            <w:tcW w:type="dxa" w:w="3096"/>
            <w:tcMar>
              <w:top w:w="90" w:type="dxa"/>
              <w:start w:w="100" w:type="dxa"/>
              <w:bottom w:w="90" w:type="dxa"/>
              <w:end w:w="100" w:type="dxa"/>
            </w:tcMar>
            <w:vAlign w:val="center"/>
          </w:tcPr>
          <w:p>
            <w:pPr>
              <w:spacing w:after="30"/>
              <w:jc w:val="center"/>
            </w:pPr>
            <w:r>
              <w:rPr>
                <w:rFonts w:ascii="Aptos" w:hAnsi="Aptos"/>
                <w:sz w:val="18"/>
              </w:rPr>
              <w:t>Medium</w:t>
            </w:r>
          </w:p>
        </w:tc>
      </w:tr>
      <w:tr>
        <w:tc>
          <w:tcPr>
            <w:tcW w:type="dxa" w:w="2232"/>
            <w:tcMar>
              <w:top w:w="90" w:type="dxa"/>
              <w:start w:w="100" w:type="dxa"/>
              <w:bottom w:w="90" w:type="dxa"/>
              <w:end w:w="100" w:type="dxa"/>
            </w:tcMar>
            <w:vAlign w:val="center"/>
          </w:tcPr>
          <w:p>
            <w:pPr>
              <w:spacing w:after="30"/>
            </w:pPr>
            <w:r>
              <w:rPr>
                <w:rFonts w:ascii="Aptos" w:hAnsi="Aptos"/>
                <w:sz w:val="18"/>
              </w:rPr>
              <w:t>Report consistency</w:t>
            </w:r>
          </w:p>
        </w:tc>
        <w:tc>
          <w:tcPr>
            <w:tcW w:type="dxa" w:w="4680"/>
            <w:tcMar>
              <w:top w:w="90" w:type="dxa"/>
              <w:start w:w="100" w:type="dxa"/>
              <w:bottom w:w="90" w:type="dxa"/>
              <w:end w:w="100" w:type="dxa"/>
            </w:tcMar>
            <w:vAlign w:val="center"/>
          </w:tcPr>
          <w:p>
            <w:pPr>
              <w:spacing w:after="30"/>
            </w:pPr>
            <w:r>
              <w:rPr>
                <w:rFonts w:ascii="Aptos" w:hAnsi="Aptos"/>
                <w:sz w:val="18"/>
              </w:rPr>
              <w:t>Repository paths, terminology, scenario descriptions, and run instructions never silently diverge from the Technical Report.</w:t>
            </w:r>
          </w:p>
        </w:tc>
        <w:tc>
          <w:tcPr>
            <w:tcW w:type="dxa" w:w="3096"/>
            <w:tcMar>
              <w:top w:w="90" w:type="dxa"/>
              <w:start w:w="100" w:type="dxa"/>
              <w:bottom w:w="90" w:type="dxa"/>
              <w:end w:w="100" w:type="dxa"/>
            </w:tcMar>
            <w:vAlign w:val="center"/>
          </w:tcPr>
          <w:p>
            <w:pPr>
              <w:spacing w:after="30"/>
              <w:jc w:val="center"/>
            </w:pPr>
            <w:r>
              <w:rPr>
                <w:rFonts w:ascii="Aptos" w:hAnsi="Aptos"/>
                <w:sz w:val="18"/>
              </w:rPr>
              <w:t>Medium–High</w:t>
            </w:r>
          </w:p>
        </w:tc>
      </w:tr>
    </w:tbl>
    <w:p>
      <w:pPr>
        <w:pStyle w:val="Heading1"/>
      </w:pPr>
      <w:r>
        <w:t>3. Non-negotiable principles</w:t>
      </w:r>
    </w:p>
    <w:p>
      <w:pPr>
        <w:pStyle w:val="ListBullet"/>
        <w:spacing w:after="50"/>
      </w:pPr>
      <w:r>
        <w:t>Preserve scientific behavior. Do not change equations, calibration values, scenario meaning, or result construction for stylistic reasons.</w:t>
      </w:r>
    </w:p>
    <w:p>
      <w:pPr>
        <w:pStyle w:val="ListBullet"/>
        <w:spacing w:after="50"/>
      </w:pPr>
      <w:r>
        <w:t>Improve incrementally. Documentation and presentation first; large directory renames and architecture refactors later.</w:t>
      </w:r>
    </w:p>
    <w:p>
      <w:pPr>
        <w:pStyle w:val="ListBullet"/>
        <w:spacing w:after="50"/>
      </w:pPr>
      <w:r>
        <w:t>Use one vocabulary. Framework, country implementation, scenario, calibration data, simulation output, and reporting layer must have stable meanings.</w:t>
      </w:r>
    </w:p>
    <w:p>
      <w:pPr>
        <w:pStyle w:val="ListBullet"/>
        <w:spacing w:after="50"/>
      </w:pPr>
      <w:r>
        <w:t>Do not copy errors between artifacts. When the report and repository disagree, determine the intended canonical form rather than automatically forcing one to match the other.</w:t>
      </w:r>
    </w:p>
    <w:p>
      <w:pPr>
        <w:pStyle w:val="ListBullet"/>
        <w:spacing w:after="50"/>
      </w:pPr>
      <w:r>
        <w:t>Keep reproducibility stronger than aesthetics. A cleaner repository must still preserve the exact release, inputs, run configuration, and validation evidence needed to reproduce reported results.</w:t>
      </w:r>
    </w:p>
    <w:p>
      <w:pPr>
        <w:pStyle w:val="Heading1"/>
      </w:pPr>
      <w:r>
        <w:t>4. Canonical public identity</w:t>
      </w:r>
    </w:p>
    <w:tbl>
      <w:tblPr>
        <w:tblW w:type="auto" w:w="0"/>
        <w:jc w:val="center"/>
        <w:tblLayout w:type="fixed"/>
        <w:tblLook w:firstColumn="1" w:firstRow="1" w:lastColumn="0" w:lastRow="0" w:noHBand="0" w:noVBand="1" w:val="04A0"/>
      </w:tblPr>
      <w:tblGrid>
        <w:gridCol w:w="10080"/>
      </w:tblGrid>
      <w:tr>
        <w:tc>
          <w:tcPr>
            <w:tcW w:type="dxa" w:w="10080"/>
            <w:shd w:fill="F6F8FA"/>
            <w:tcMar>
              <w:top w:w="130" w:type="dxa"/>
              <w:start w:w="150" w:type="dxa"/>
              <w:bottom w:w="130" w:type="dxa"/>
              <w:end w:w="150" w:type="dxa"/>
            </w:tcMar>
          </w:tcPr>
          <w:p>
            <w:pPr>
              <w:spacing w:after="30"/>
            </w:pPr>
            <w:r>
              <w:rPr>
                <w:rFonts w:ascii="Aptos" w:hAnsi="Aptos"/>
                <w:b/>
                <w:color w:val="1F3A5F"/>
                <w:sz w:val="18"/>
              </w:rPr>
              <w:t>Framework repository</w:t>
            </w:r>
          </w:p>
          <w:p>
            <w:pPr>
              <w:spacing w:after="30"/>
            </w:pPr>
            <w:r>
              <w:rPr>
                <w:rFonts w:ascii="Aptos" w:hAnsi="Aptos"/>
                <w:sz w:val="18"/>
              </w:rPr>
              <w:t>DGE-METRIC — the common modelling framework, architecture, reusable components, and methodological implementation.</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080"/>
            <w:shd w:fill="F6F8FA"/>
            <w:tcMar>
              <w:top w:w="130" w:type="dxa"/>
              <w:start w:w="150" w:type="dxa"/>
              <w:bottom w:w="130" w:type="dxa"/>
              <w:end w:w="150" w:type="dxa"/>
            </w:tcMar>
          </w:tcPr>
          <w:p>
            <w:pPr>
              <w:spacing w:after="30"/>
            </w:pPr>
            <w:r>
              <w:rPr>
                <w:rFonts w:ascii="Aptos" w:hAnsi="Aptos"/>
                <w:b/>
                <w:color w:val="1F3A5F"/>
                <w:sz w:val="18"/>
              </w:rPr>
              <w:t>Country repository</w:t>
            </w:r>
          </w:p>
          <w:p>
            <w:pPr>
              <w:spacing w:after="30"/>
            </w:pPr>
            <w:r>
              <w:rPr>
                <w:rFonts w:ascii="Aptos" w:hAnsi="Aptos"/>
                <w:sz w:val="18"/>
              </w:rPr>
              <w:t>DGE-METRIC — Viet Nam — the calibrated Viet Nam implementation, including country inputs, scenarios, replication workflows, training material, and report-linked outputs.</w:t>
            </w:r>
          </w:p>
        </w:tc>
      </w:tr>
    </w:tbl>
    <w:p>
      <w:pPr>
        <w:spacing w:after="20"/>
      </w:pPr>
    </w:p>
    <w:p>
      <w:r>
        <w:t>Before public harmonization is finalized, resolve the official long-form expansion of “DGE-METRIC” and use the same form in the README, CITATION.cff, release metadata, documentation, and Technical Report. The current report contains more than one expansion and should be normalized during the editorial pass.</w:t>
      </w:r>
    </w:p>
    <w:p>
      <w:pPr>
        <w:pStyle w:val="Heading1"/>
      </w:pPr>
      <w:r>
        <w:t>5. Phased implementation plan</w:t>
      </w:r>
    </w:p>
    <w:p>
      <w:pPr>
        <w:pStyle w:val="Heading2"/>
      </w:pPr>
      <w:r>
        <w:t>Phase A — Audit and freeze terminology</w:t>
      </w:r>
    </w:p>
    <w:p>
      <w:pPr>
        <w:pStyle w:val="ListBullet"/>
        <w:spacing w:after="50"/>
      </w:pPr>
      <w:r>
        <w:t>Inventory both repositories: README, root files, docs, scripts, model entry points, generated artifacts, citation metadata, releases, paths, environment variables, and cross-repository links.</w:t>
      </w:r>
    </w:p>
    <w:p>
      <w:pPr>
        <w:pStyle w:val="ListBullet"/>
        <w:spacing w:after="50"/>
      </w:pPr>
      <w:r>
        <w:t>Create a short discrepancy list between repository reality and Technical Report references.</w:t>
      </w:r>
    </w:p>
    <w:p>
      <w:pPr>
        <w:pStyle w:val="ListBullet"/>
        <w:spacing w:after="50"/>
      </w:pPr>
      <w:r>
        <w:t>Freeze canonical naming for the model family, repository roles, scenario terminology, and public-facing spelling of “Viet Nam”.</w:t>
      </w:r>
    </w:p>
    <w:p>
      <w:pPr>
        <w:pStyle w:val="Heading2"/>
      </w:pPr>
      <w:r>
        <w:t>Phase B — Public presentation</w:t>
      </w:r>
    </w:p>
    <w:p>
      <w:pPr>
        <w:pStyle w:val="ListBullet"/>
        <w:spacing w:after="50"/>
      </w:pPr>
      <w:r>
        <w:t>Harmonize the top section and section order of both READMEs.</w:t>
      </w:r>
    </w:p>
    <w:p>
      <w:pPr>
        <w:pStyle w:val="ListBullet"/>
        <w:spacing w:after="50"/>
      </w:pPr>
      <w:r>
        <w:t>Add reciprocal “framework ↔ Viet Nam implementation” links above the fold.</w:t>
      </w:r>
    </w:p>
    <w:p>
      <w:pPr>
        <w:pStyle w:val="ListBullet"/>
        <w:spacing w:after="50"/>
      </w:pPr>
      <w:r>
        <w:t>Add one model-family diagram and one execution/workflow diagram using the same visual language.</w:t>
      </w:r>
    </w:p>
    <w:p>
      <w:pPr>
        <w:pStyle w:val="ListBullet"/>
        <w:spacing w:after="50"/>
      </w:pPr>
      <w:r>
        <w:t>Add a restrained badge set, GitHub About descriptions, topics, citation link, license link, and documentation link.</w:t>
      </w:r>
    </w:p>
    <w:p>
      <w:pPr>
        <w:pStyle w:val="ListBullet"/>
        <w:spacing w:after="50"/>
      </w:pPr>
      <w:r>
        <w:t>Make RunSimulationsEasy the clearly recommended entry point for most Viet Nam users.</w:t>
      </w:r>
    </w:p>
    <w:p>
      <w:pPr>
        <w:pStyle w:val="Heading2"/>
      </w:pPr>
      <w:r>
        <w:t>Phase C — Repository hygiene</w:t>
      </w:r>
    </w:p>
    <w:p>
      <w:pPr>
        <w:pStyle w:val="ListBullet"/>
        <w:spacing w:after="50"/>
      </w:pPr>
      <w:r>
        <w:t>Identify generated MAT/log/result files that are currently mixed with source files.</w:t>
      </w:r>
    </w:p>
    <w:p>
      <w:pPr>
        <w:pStyle w:val="ListBullet"/>
        <w:spacing w:after="50"/>
      </w:pPr>
      <w:r>
        <w:t>Improve .gitignore and either remove generated artifacts from source control or move deliberately archived reproduction artifacts to a documented location.</w:t>
      </w:r>
    </w:p>
    <w:p>
      <w:pPr>
        <w:pStyle w:val="ListBullet"/>
        <w:spacing w:after="50"/>
      </w:pPr>
      <w:r>
        <w:t>Add CONTRIBUTING.md, CHANGELOG.md, and issue/PR templates.</w:t>
      </w:r>
    </w:p>
    <w:p>
      <w:pPr>
        <w:pStyle w:val="ListBullet"/>
        <w:spacing w:after="50"/>
      </w:pPr>
      <w:r>
        <w:t>Document the existing directory tree before any major renaming.</w:t>
      </w:r>
    </w:p>
    <w:p>
      <w:pPr>
        <w:pStyle w:val="Heading2"/>
      </w:pPr>
      <w:r>
        <w:t>Phase D — Portability and readability</w:t>
      </w:r>
    </w:p>
    <w:p>
      <w:pPr>
        <w:pStyle w:val="ListBullet"/>
        <w:spacing w:after="50"/>
      </w:pPr>
      <w:r>
        <w:t>Remove workstation-specific paths and support environment/local configuration.</w:t>
      </w:r>
    </w:p>
    <w:p>
      <w:pPr>
        <w:pStyle w:val="ListBullet"/>
        <w:spacing w:after="50"/>
      </w:pPr>
      <w:r>
        <w:t>Improve Dynare path detection.</w:t>
      </w:r>
    </w:p>
    <w:p>
      <w:pPr>
        <w:pStyle w:val="ListBullet"/>
        <w:spacing w:after="50"/>
      </w:pPr>
      <w:r>
        <w:t>Separate scenario metadata, configuration, execution, validation, and reporting incrementally.</w:t>
      </w:r>
    </w:p>
    <w:p>
      <w:pPr>
        <w:pStyle w:val="ListBullet"/>
        <w:spacing w:after="50"/>
      </w:pPr>
      <w:r>
        <w:t>Gradually replace opaque variable names only in code already being touched.</w:t>
      </w:r>
    </w:p>
    <w:p>
      <w:pPr>
        <w:pStyle w:val="ListBullet"/>
        <w:spacing w:after="50"/>
      </w:pPr>
      <w:r>
        <w:t>Make failures explicit and produce a scenario-level run summary.</w:t>
      </w:r>
    </w:p>
    <w:p>
      <w:pPr>
        <w:pStyle w:val="Heading2"/>
      </w:pPr>
      <w:r>
        <w:t>Phase E — Automation and release discipline</w:t>
      </w:r>
    </w:p>
    <w:p>
      <w:pPr>
        <w:pStyle w:val="ListBullet"/>
        <w:spacing w:after="50"/>
      </w:pPr>
      <w:r>
        <w:t>Add lightweight CI for links, CITATION.cff, expected files, forbidden generated outputs, and documented paths.</w:t>
      </w:r>
    </w:p>
    <w:p>
      <w:pPr>
        <w:pStyle w:val="ListBullet"/>
        <w:spacing w:after="50"/>
      </w:pPr>
      <w:r>
        <w:t>Pin the Technical Report to explicit repository releases/commits.</w:t>
      </w:r>
    </w:p>
    <w:p>
      <w:pPr>
        <w:pStyle w:val="ListBullet"/>
        <w:spacing w:after="50"/>
      </w:pPr>
      <w:r>
        <w:t>Use release validation for expensive numerical reproduction rather than requiring the full model run on every commit.</w:t>
      </w:r>
    </w:p>
    <w:p>
      <w:pPr>
        <w:pStyle w:val="ListBullet"/>
        <w:spacing w:after="50"/>
      </w:pPr>
      <w:r>
        <w:t>Optionally publish the existing documentation as a small GitHub Pages/MkDocs site once the file structure is stable.</w:t>
      </w:r>
    </w:p>
    <w:p>
      <w:pPr>
        <w:pStyle w:val="Heading1"/>
      </w:pPr>
      <w:r>
        <w:t>6. Technical Report synchronization rule</w:t>
      </w:r>
    </w:p>
    <w:p>
      <w:r>
        <w:t>The report explicitly describes the repository as the operational companion to the methodology and documents concrete paths, scripts, workbooks, scenario-selection behavior, and reproducibility requirements. Therefore, repository maintenance must include a formal report-impact classification.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shd w:fill="1F3A5F"/>
            <w:tcMar>
              <w:top w:w="90" w:type="dxa"/>
              <w:start w:w="100" w:type="dxa"/>
              <w:bottom w:w="90" w:type="dxa"/>
              <w:end w:w="100" w:type="dxa"/>
            </w:tcMar>
          </w:tcPr>
          <w:p>
            <w:pPr>
              <w:spacing w:after="30"/>
            </w:pPr>
            <w:r>
              <w:rPr>
                <w:rFonts w:ascii="Aptos" w:hAnsi="Aptos"/>
                <w:b/>
                <w:color w:val="FFFFFF"/>
                <w:sz w:val="18"/>
              </w:rPr>
              <w:t>Change type</w:t>
            </w:r>
          </w:p>
        </w:tc>
        <w:tc>
          <w:tcPr>
            <w:tcW w:type="dxa" w:w="4680"/>
            <w:shd w:fill="1F3A5F"/>
            <w:tcMar>
              <w:top w:w="90" w:type="dxa"/>
              <w:start w:w="100" w:type="dxa"/>
              <w:bottom w:w="90" w:type="dxa"/>
              <w:end w:w="100" w:type="dxa"/>
            </w:tcMar>
          </w:tcPr>
          <w:p>
            <w:pPr>
              <w:spacing w:after="30"/>
            </w:pPr>
            <w:r>
              <w:rPr>
                <w:rFonts w:ascii="Aptos" w:hAnsi="Aptos"/>
                <w:b/>
                <w:color w:val="FFFFFF"/>
                <w:sz w:val="18"/>
              </w:rPr>
              <w:t>Repository action</w:t>
            </w:r>
          </w:p>
        </w:tc>
        <w:tc>
          <w:tcPr>
            <w:tcW w:type="dxa" w:w="3096"/>
            <w:shd w:fill="1F3A5F"/>
            <w:tcMar>
              <w:top w:w="90" w:type="dxa"/>
              <w:start w:w="100" w:type="dxa"/>
              <w:bottom w:w="90" w:type="dxa"/>
              <w:end w:w="100" w:type="dxa"/>
            </w:tcMar>
          </w:tcPr>
          <w:p>
            <w:pPr>
              <w:spacing w:after="30"/>
            </w:pPr>
            <w:r>
              <w:rPr>
                <w:rFonts w:ascii="Aptos" w:hAnsi="Aptos"/>
                <w:b/>
                <w:color w:val="FFFFFF"/>
                <w:sz w:val="18"/>
              </w:rPr>
              <w:t>Technical Report action</w:t>
            </w:r>
          </w:p>
        </w:tc>
      </w:tr>
      <w:tr>
        <w:tc>
          <w:tcPr>
            <w:tcW w:type="dxa" w:w="2232"/>
            <w:tcMar>
              <w:top w:w="90" w:type="dxa"/>
              <w:start w:w="100" w:type="dxa"/>
              <w:bottom w:w="90" w:type="dxa"/>
              <w:end w:w="100" w:type="dxa"/>
            </w:tcMar>
          </w:tcPr>
          <w:p>
            <w:pPr>
              <w:spacing w:after="30"/>
            </w:pPr>
            <w:r>
              <w:rPr>
                <w:rFonts w:ascii="Aptos" w:hAnsi="Aptos"/>
                <w:sz w:val="18"/>
              </w:rPr>
              <w:t>Visual only</w:t>
            </w:r>
          </w:p>
        </w:tc>
        <w:tc>
          <w:tcPr>
            <w:tcW w:type="dxa" w:w="4680"/>
            <w:tcMar>
              <w:top w:w="90" w:type="dxa"/>
              <w:start w:w="100" w:type="dxa"/>
              <w:bottom w:w="90" w:type="dxa"/>
              <w:end w:w="100" w:type="dxa"/>
            </w:tcMar>
          </w:tcPr>
          <w:p>
            <w:pPr>
              <w:spacing w:after="30"/>
            </w:pPr>
            <w:r>
              <w:rPr>
                <w:rFonts w:ascii="Aptos" w:hAnsi="Aptos"/>
                <w:sz w:val="18"/>
              </w:rPr>
              <w:t>README styling, badges, topics, GitHub About text</w:t>
            </w:r>
          </w:p>
        </w:tc>
        <w:tc>
          <w:tcPr>
            <w:tcW w:type="dxa" w:w="3096"/>
            <w:tcMar>
              <w:top w:w="90" w:type="dxa"/>
              <w:start w:w="100" w:type="dxa"/>
              <w:bottom w:w="90" w:type="dxa"/>
              <w:end w:w="100" w:type="dxa"/>
            </w:tcMar>
          </w:tcPr>
          <w:p>
            <w:pPr>
              <w:spacing w:after="30"/>
            </w:pPr>
            <w:r>
              <w:rPr>
                <w:rFonts w:ascii="Aptos" w:hAnsi="Aptos"/>
                <w:sz w:val="18"/>
              </w:rPr>
              <w:t>Usually none, provided terminology and claims do not change.</w:t>
            </w:r>
          </w:p>
        </w:tc>
      </w:tr>
      <w:tr>
        <w:tc>
          <w:tcPr>
            <w:tcW w:type="dxa" w:w="2232"/>
            <w:tcMar>
              <w:top w:w="90" w:type="dxa"/>
              <w:start w:w="100" w:type="dxa"/>
              <w:bottom w:w="90" w:type="dxa"/>
              <w:end w:w="100" w:type="dxa"/>
            </w:tcMar>
          </w:tcPr>
          <w:p>
            <w:pPr>
              <w:spacing w:after="30"/>
            </w:pPr>
            <w:r>
              <w:rPr>
                <w:rFonts w:ascii="Aptos" w:hAnsi="Aptos"/>
                <w:sz w:val="18"/>
              </w:rPr>
              <w:t>Operational / path</w:t>
            </w:r>
          </w:p>
        </w:tc>
        <w:tc>
          <w:tcPr>
            <w:tcW w:type="dxa" w:w="4680"/>
            <w:tcMar>
              <w:top w:w="90" w:type="dxa"/>
              <w:start w:w="100" w:type="dxa"/>
              <w:bottom w:w="90" w:type="dxa"/>
              <w:end w:w="100" w:type="dxa"/>
            </w:tcMar>
          </w:tcPr>
          <w:p>
            <w:pPr>
              <w:spacing w:after="30"/>
            </w:pPr>
            <w:r>
              <w:rPr>
                <w:rFonts w:ascii="Aptos" w:hAnsi="Aptos"/>
                <w:sz w:val="18"/>
              </w:rPr>
              <w:t>Folder rename, script rename, new setup command, changed environment variable, new entry point</w:t>
            </w:r>
          </w:p>
        </w:tc>
        <w:tc>
          <w:tcPr>
            <w:tcW w:type="dxa" w:w="3096"/>
            <w:tcMar>
              <w:top w:w="90" w:type="dxa"/>
              <w:start w:w="100" w:type="dxa"/>
              <w:bottom w:w="90" w:type="dxa"/>
              <w:end w:w="100" w:type="dxa"/>
            </w:tcMar>
          </w:tcPr>
          <w:p>
            <w:pPr>
              <w:spacing w:after="30"/>
            </w:pPr>
            <w:r>
              <w:rPr>
                <w:rFonts w:ascii="Aptos" w:hAnsi="Aptos"/>
                <w:sz w:val="18"/>
              </w:rPr>
              <w:t>Update all affected report paths/instructions or pin the report explicitly to an older release.</w:t>
            </w:r>
          </w:p>
        </w:tc>
      </w:tr>
      <w:tr>
        <w:tc>
          <w:tcPr>
            <w:tcW w:type="dxa" w:w="2232"/>
            <w:tcMar>
              <w:top w:w="90" w:type="dxa"/>
              <w:start w:w="100" w:type="dxa"/>
              <w:bottom w:w="90" w:type="dxa"/>
              <w:end w:w="100" w:type="dxa"/>
            </w:tcMar>
          </w:tcPr>
          <w:p>
            <w:pPr>
              <w:spacing w:after="30"/>
            </w:pPr>
            <w:r>
              <w:rPr>
                <w:rFonts w:ascii="Aptos" w:hAnsi="Aptos"/>
                <w:sz w:val="18"/>
              </w:rPr>
              <w:t>Scenario / calibration</w:t>
            </w:r>
          </w:p>
        </w:tc>
        <w:tc>
          <w:tcPr>
            <w:tcW w:type="dxa" w:w="4680"/>
            <w:tcMar>
              <w:top w:w="90" w:type="dxa"/>
              <w:start w:w="100" w:type="dxa"/>
              <w:bottom w:w="90" w:type="dxa"/>
              <w:end w:w="100" w:type="dxa"/>
            </w:tcMar>
          </w:tcPr>
          <w:p>
            <w:pPr>
              <w:spacing w:after="30"/>
            </w:pPr>
            <w:r>
              <w:rPr>
                <w:rFonts w:ascii="Aptos" w:hAnsi="Aptos"/>
                <w:sz w:val="18"/>
              </w:rPr>
              <w:t>Scenario definition, baseline logic, workbook inputs, calibration procedure</w:t>
            </w:r>
          </w:p>
        </w:tc>
        <w:tc>
          <w:tcPr>
            <w:tcW w:type="dxa" w:w="3096"/>
            <w:tcMar>
              <w:top w:w="90" w:type="dxa"/>
              <w:start w:w="100" w:type="dxa"/>
              <w:bottom w:w="90" w:type="dxa"/>
              <w:end w:w="100" w:type="dxa"/>
            </w:tcMar>
          </w:tcPr>
          <w:p>
            <w:pPr>
              <w:spacing w:after="30"/>
            </w:pPr>
            <w:r>
              <w:rPr>
                <w:rFonts w:ascii="Aptos" w:hAnsi="Aptos"/>
                <w:sz w:val="18"/>
              </w:rPr>
              <w:t>Update the relevant methodological and scenario sections; rerun validation.</w:t>
            </w:r>
          </w:p>
        </w:tc>
      </w:tr>
      <w:tr>
        <w:tc>
          <w:tcPr>
            <w:tcW w:type="dxa" w:w="2232"/>
            <w:tcMar>
              <w:top w:w="90" w:type="dxa"/>
              <w:start w:w="100" w:type="dxa"/>
              <w:bottom w:w="90" w:type="dxa"/>
              <w:end w:w="100" w:type="dxa"/>
            </w:tcMar>
          </w:tcPr>
          <w:p>
            <w:pPr>
              <w:spacing w:after="30"/>
            </w:pPr>
            <w:r>
              <w:rPr>
                <w:rFonts w:ascii="Aptos" w:hAnsi="Aptos"/>
                <w:sz w:val="18"/>
              </w:rPr>
              <w:t>Scientific / numerical</w:t>
            </w:r>
          </w:p>
        </w:tc>
        <w:tc>
          <w:tcPr>
            <w:tcW w:type="dxa" w:w="4680"/>
            <w:tcMar>
              <w:top w:w="90" w:type="dxa"/>
              <w:start w:w="100" w:type="dxa"/>
              <w:bottom w:w="90" w:type="dxa"/>
              <w:end w:w="100" w:type="dxa"/>
            </w:tcMar>
          </w:tcPr>
          <w:p>
            <w:pPr>
              <w:spacing w:after="30"/>
            </w:pPr>
            <w:r>
              <w:rPr>
                <w:rFonts w:ascii="Aptos" w:hAnsi="Aptos"/>
                <w:sz w:val="18"/>
              </w:rPr>
              <w:t>Equations, closure, solution method, output construction, calibration values</w:t>
            </w:r>
          </w:p>
        </w:tc>
        <w:tc>
          <w:tcPr>
            <w:tcW w:type="dxa" w:w="3096"/>
            <w:tcMar>
              <w:top w:w="90" w:type="dxa"/>
              <w:start w:w="100" w:type="dxa"/>
              <w:bottom w:w="90" w:type="dxa"/>
              <w:end w:w="100" w:type="dxa"/>
            </w:tcMar>
          </w:tcPr>
          <w:p>
            <w:pPr>
              <w:spacing w:after="30"/>
            </w:pPr>
            <w:r>
              <w:rPr>
                <w:rFonts w:ascii="Aptos" w:hAnsi="Aptos"/>
                <w:sz w:val="18"/>
              </w:rPr>
              <w:t>Update the Technical Report, regenerate affected results/figures, and document before/after validation.</w:t>
            </w:r>
          </w:p>
        </w:tc>
      </w:tr>
    </w:tbl>
    <w:tbl>
      <w:tblPr>
        <w:tblW w:type="auto" w:w="0"/>
        <w:jc w:val="center"/>
        <w:tblLayout w:type="fixed"/>
        <w:tblLook w:firstColumn="1" w:firstRow="1" w:lastColumn="0" w:lastRow="0" w:noHBand="0" w:noVBand="1" w:val="04A0"/>
      </w:tblPr>
      <w:tblGrid>
        <w:gridCol w:w="10080"/>
      </w:tblGrid>
      <w:tr>
        <w:tc>
          <w:tcPr>
            <w:tcW w:type="dxa" w:w="10080"/>
            <w:shd w:fill="EAF1F7"/>
            <w:tcMar>
              <w:top w:w="130" w:type="dxa"/>
              <w:start w:w="150" w:type="dxa"/>
              <w:bottom w:w="130" w:type="dxa"/>
              <w:end w:w="150" w:type="dxa"/>
            </w:tcMar>
          </w:tcPr>
          <w:p>
            <w:pPr>
              <w:spacing w:after="30"/>
            </w:pPr>
            <w:r>
              <w:rPr>
                <w:rFonts w:ascii="Aptos" w:hAnsi="Aptos"/>
                <w:b/>
                <w:color w:val="1F3A5F"/>
                <w:sz w:val="18"/>
              </w:rPr>
              <w:t>Required PR field</w:t>
            </w:r>
          </w:p>
          <w:p>
            <w:pPr>
              <w:spacing w:after="30"/>
            </w:pPr>
            <w:r>
              <w:rPr>
                <w:rFonts w:ascii="Aptos" w:hAnsi="Aptos"/>
                <w:sz w:val="18"/>
              </w:rPr>
              <w:t>Every repository change should state: Technical Report impact = None / Editorial / Repository-path references / Scenario-calibration / Methodology / Results-regeneration. When the answer is not “None”, list the affected report sections.</w:t>
            </w:r>
          </w:p>
        </w:tc>
      </w:tr>
    </w:tbl>
    <w:p>
      <w:pPr>
        <w:spacing w:after="20"/>
      </w:pPr>
    </w:p>
    <w:p>
      <w:pPr>
        <w:pStyle w:val="Heading1"/>
      </w:pPr>
      <w:r>
        <w:t>7. Maintain a repository–report consistency matrix</w:t>
      </w:r>
    </w:p>
    <w:p>
      <w:r>
        <w:t>Create and maintain: docs/maintenance/report_repository_consistency.md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88"/>
            <w:shd w:fill="1F3A5F"/>
            <w:tcMar>
              <w:top w:w="90" w:type="dxa"/>
              <w:start w:w="100" w:type="dxa"/>
              <w:bottom w:w="90" w:type="dxa"/>
              <w:end w:w="100" w:type="dxa"/>
            </w:tcMar>
          </w:tcPr>
          <w:p>
            <w:pPr>
              <w:spacing w:after="30"/>
            </w:pPr>
            <w:r>
              <w:rPr>
                <w:rFonts w:ascii="Aptos" w:hAnsi="Aptos"/>
                <w:b/>
                <w:color w:val="FFFFFF"/>
                <w:sz w:val="18"/>
              </w:rPr>
              <w:t>Concept</w:t>
            </w:r>
          </w:p>
        </w:tc>
        <w:tc>
          <w:tcPr>
            <w:tcW w:type="dxa" w:w="2664"/>
            <w:shd w:fill="1F3A5F"/>
            <w:tcMar>
              <w:top w:w="90" w:type="dxa"/>
              <w:start w:w="100" w:type="dxa"/>
              <w:bottom w:w="90" w:type="dxa"/>
              <w:end w:w="100" w:type="dxa"/>
            </w:tcMar>
          </w:tcPr>
          <w:p>
            <w:pPr>
              <w:spacing w:after="30"/>
            </w:pPr>
            <w:r>
              <w:rPr>
                <w:rFonts w:ascii="Aptos" w:hAnsi="Aptos"/>
                <w:b/>
                <w:color w:val="FFFFFF"/>
                <w:sz w:val="18"/>
              </w:rPr>
              <w:t>Report reference</w:t>
            </w:r>
          </w:p>
        </w:tc>
        <w:tc>
          <w:tcPr>
            <w:tcW w:type="dxa" w:w="2736"/>
            <w:shd w:fill="1F3A5F"/>
            <w:tcMar>
              <w:top w:w="90" w:type="dxa"/>
              <w:start w:w="100" w:type="dxa"/>
              <w:bottom w:w="90" w:type="dxa"/>
              <w:end w:w="100" w:type="dxa"/>
            </w:tcMar>
          </w:tcPr>
          <w:p>
            <w:pPr>
              <w:spacing w:after="30"/>
            </w:pPr>
            <w:r>
              <w:rPr>
                <w:rFonts w:ascii="Aptos" w:hAnsi="Aptos"/>
                <w:b/>
                <w:color w:val="FFFFFF"/>
                <w:sz w:val="18"/>
              </w:rPr>
              <w:t>Repository authority</w:t>
            </w:r>
          </w:p>
        </w:tc>
        <w:tc>
          <w:tcPr>
            <w:tcW w:type="dxa" w:w="2880"/>
            <w:shd w:fill="1F3A5F"/>
            <w:tcMar>
              <w:top w:w="90" w:type="dxa"/>
              <w:start w:w="100" w:type="dxa"/>
              <w:bottom w:w="90" w:type="dxa"/>
              <w:end w:w="100" w:type="dxa"/>
            </w:tcMar>
          </w:tcPr>
          <w:p>
            <w:pPr>
              <w:spacing w:after="30"/>
            </w:pPr>
            <w:r>
              <w:rPr>
                <w:rFonts w:ascii="Aptos" w:hAnsi="Aptos"/>
                <w:b/>
                <w:color w:val="FFFFFF"/>
                <w:sz w:val="18"/>
              </w:rPr>
              <w:t>Sync rule</w:t>
            </w:r>
          </w:p>
        </w:tc>
      </w:tr>
      <w:tr>
        <w:tc>
          <w:tcPr>
            <w:tcW w:type="dxa" w:w="2088"/>
            <w:tcMar>
              <w:top w:w="90" w:type="dxa"/>
              <w:start w:w="100" w:type="dxa"/>
              <w:bottom w:w="90" w:type="dxa"/>
              <w:end w:w="100" w:type="dxa"/>
            </w:tcMar>
          </w:tcPr>
          <w:p>
            <w:pPr>
              <w:spacing w:after="30"/>
            </w:pPr>
            <w:r>
              <w:rPr>
                <w:rFonts w:ascii="Aptos" w:hAnsi="Aptos"/>
                <w:sz w:val="18"/>
              </w:rPr>
              <w:t>Model name and scope</w:t>
            </w:r>
          </w:p>
        </w:tc>
        <w:tc>
          <w:tcPr>
            <w:tcW w:type="dxa" w:w="2664"/>
            <w:tcMar>
              <w:top w:w="90" w:type="dxa"/>
              <w:start w:w="100" w:type="dxa"/>
              <w:bottom w:w="90" w:type="dxa"/>
              <w:end w:w="100" w:type="dxa"/>
            </w:tcMar>
          </w:tcPr>
          <w:p>
            <w:pPr>
              <w:spacing w:after="30"/>
            </w:pPr>
            <w:r>
              <w:rPr>
                <w:rFonts w:ascii="Aptos" w:hAnsi="Aptos"/>
                <w:sz w:val="18"/>
              </w:rPr>
              <w:t>Cover, Executive Summary, Sections 1–3</w:t>
            </w:r>
          </w:p>
        </w:tc>
        <w:tc>
          <w:tcPr>
            <w:tcW w:type="dxa" w:w="2736"/>
            <w:tcMar>
              <w:top w:w="90" w:type="dxa"/>
              <w:start w:w="100" w:type="dxa"/>
              <w:bottom w:w="90" w:type="dxa"/>
              <w:end w:w="100" w:type="dxa"/>
            </w:tcMar>
          </w:tcPr>
          <w:p>
            <w:pPr>
              <w:spacing w:after="30"/>
            </w:pPr>
            <w:r>
              <w:rPr>
                <w:rFonts w:ascii="Aptos" w:hAnsi="Aptos"/>
                <w:sz w:val="18"/>
              </w:rPr>
              <w:t>README, CITATION.cff, Dynare model</w:t>
            </w:r>
          </w:p>
        </w:tc>
        <w:tc>
          <w:tcPr>
            <w:tcW w:type="dxa" w:w="2880"/>
            <w:tcMar>
              <w:top w:w="90" w:type="dxa"/>
              <w:start w:w="100" w:type="dxa"/>
              <w:bottom w:w="90" w:type="dxa"/>
              <w:end w:w="100" w:type="dxa"/>
            </w:tcMar>
          </w:tcPr>
          <w:p>
            <w:pPr>
              <w:spacing w:after="30"/>
            </w:pPr>
            <w:r>
              <w:rPr>
                <w:rFonts w:ascii="Aptos" w:hAnsi="Aptos"/>
                <w:sz w:val="18"/>
              </w:rPr>
              <w:t>Terminology and model definition must match.</w:t>
            </w:r>
          </w:p>
        </w:tc>
      </w:tr>
      <w:tr>
        <w:tc>
          <w:tcPr>
            <w:tcW w:type="dxa" w:w="2088"/>
            <w:tcMar>
              <w:top w:w="90" w:type="dxa"/>
              <w:start w:w="100" w:type="dxa"/>
              <w:bottom w:w="90" w:type="dxa"/>
              <w:end w:w="100" w:type="dxa"/>
            </w:tcMar>
          </w:tcPr>
          <w:p>
            <w:pPr>
              <w:spacing w:after="30"/>
            </w:pPr>
            <w:r>
              <w:rPr>
                <w:rFonts w:ascii="Aptos" w:hAnsi="Aptos"/>
                <w:sz w:val="18"/>
              </w:rPr>
              <w:t>Repository structure</w:t>
            </w:r>
          </w:p>
        </w:tc>
        <w:tc>
          <w:tcPr>
            <w:tcW w:type="dxa" w:w="2664"/>
            <w:tcMar>
              <w:top w:w="90" w:type="dxa"/>
              <w:start w:w="100" w:type="dxa"/>
              <w:bottom w:w="90" w:type="dxa"/>
              <w:end w:w="100" w:type="dxa"/>
            </w:tcMar>
          </w:tcPr>
          <w:p>
            <w:pPr>
              <w:spacing w:after="30"/>
            </w:pPr>
            <w:r>
              <w:rPr>
                <w:rFonts w:ascii="Aptos" w:hAnsi="Aptos"/>
                <w:sz w:val="18"/>
              </w:rPr>
              <w:t>Section 2</w:t>
            </w:r>
          </w:p>
        </w:tc>
        <w:tc>
          <w:tcPr>
            <w:tcW w:type="dxa" w:w="2736"/>
            <w:tcMar>
              <w:top w:w="90" w:type="dxa"/>
              <w:start w:w="100" w:type="dxa"/>
              <w:bottom w:w="90" w:type="dxa"/>
              <w:end w:w="100" w:type="dxa"/>
            </w:tcMar>
          </w:tcPr>
          <w:p>
            <w:pPr>
              <w:spacing w:after="30"/>
            </w:pPr>
            <w:r>
              <w:rPr>
                <w:rFonts w:ascii="Aptos" w:hAnsi="Aptos"/>
                <w:sz w:val="18"/>
              </w:rPr>
              <w:t>Actual file tree</w:t>
            </w:r>
          </w:p>
        </w:tc>
        <w:tc>
          <w:tcPr>
            <w:tcW w:type="dxa" w:w="2880"/>
            <w:tcMar>
              <w:top w:w="90" w:type="dxa"/>
              <w:start w:w="100" w:type="dxa"/>
              <w:bottom w:w="90" w:type="dxa"/>
              <w:end w:w="100" w:type="dxa"/>
            </w:tcMar>
          </w:tcPr>
          <w:p>
            <w:pPr>
              <w:spacing w:after="30"/>
            </w:pPr>
            <w:r>
              <w:rPr>
                <w:rFonts w:ascii="Aptos" w:hAnsi="Aptos"/>
                <w:sz w:val="18"/>
              </w:rPr>
              <w:t>Update report when public paths change.</w:t>
            </w:r>
          </w:p>
        </w:tc>
      </w:tr>
      <w:tr>
        <w:tc>
          <w:tcPr>
            <w:tcW w:type="dxa" w:w="2088"/>
            <w:tcMar>
              <w:top w:w="90" w:type="dxa"/>
              <w:start w:w="100" w:type="dxa"/>
              <w:bottom w:w="90" w:type="dxa"/>
              <w:end w:w="100" w:type="dxa"/>
            </w:tcMar>
          </w:tcPr>
          <w:p>
            <w:pPr>
              <w:spacing w:after="30"/>
            </w:pPr>
            <w:r>
              <w:rPr>
                <w:rFonts w:ascii="Aptos" w:hAnsi="Aptos"/>
                <w:sz w:val="18"/>
              </w:rPr>
              <w:t>Run instructions</w:t>
            </w:r>
          </w:p>
        </w:tc>
        <w:tc>
          <w:tcPr>
            <w:tcW w:type="dxa" w:w="2664"/>
            <w:tcMar>
              <w:top w:w="90" w:type="dxa"/>
              <w:start w:w="100" w:type="dxa"/>
              <w:bottom w:w="90" w:type="dxa"/>
              <w:end w:w="100" w:type="dxa"/>
            </w:tcMar>
          </w:tcPr>
          <w:p>
            <w:pPr>
              <w:spacing w:after="30"/>
            </w:pPr>
            <w:r>
              <w:rPr>
                <w:rFonts w:ascii="Aptos" w:hAnsi="Aptos"/>
                <w:sz w:val="18"/>
              </w:rPr>
              <w:t>Section 2.4</w:t>
            </w:r>
          </w:p>
        </w:tc>
        <w:tc>
          <w:tcPr>
            <w:tcW w:type="dxa" w:w="2736"/>
            <w:tcMar>
              <w:top w:w="90" w:type="dxa"/>
              <w:start w:w="100" w:type="dxa"/>
              <w:bottom w:w="90" w:type="dxa"/>
              <w:end w:w="100" w:type="dxa"/>
            </w:tcMar>
          </w:tcPr>
          <w:p>
            <w:pPr>
              <w:spacing w:after="30"/>
            </w:pPr>
            <w:r>
              <w:rPr>
                <w:rFonts w:ascii="Aptos" w:hAnsi="Aptos"/>
                <w:sz w:val="18"/>
              </w:rPr>
              <w:t>README/docs + runner scripts</w:t>
            </w:r>
          </w:p>
        </w:tc>
        <w:tc>
          <w:tcPr>
            <w:tcW w:type="dxa" w:w="2880"/>
            <w:tcMar>
              <w:top w:w="90" w:type="dxa"/>
              <w:start w:w="100" w:type="dxa"/>
              <w:bottom w:w="90" w:type="dxa"/>
              <w:end w:w="100" w:type="dxa"/>
            </w:tcMar>
          </w:tcPr>
          <w:p>
            <w:pPr>
              <w:spacing w:after="30"/>
            </w:pPr>
            <w:r>
              <w:rPr>
                <w:rFonts w:ascii="Aptos" w:hAnsi="Aptos"/>
                <w:sz w:val="18"/>
              </w:rPr>
              <w:t>Commands and environment variables must remain current.</w:t>
            </w:r>
          </w:p>
        </w:tc>
      </w:tr>
      <w:tr>
        <w:tc>
          <w:tcPr>
            <w:tcW w:type="dxa" w:w="2088"/>
            <w:tcMar>
              <w:top w:w="90" w:type="dxa"/>
              <w:start w:w="100" w:type="dxa"/>
              <w:bottom w:w="90" w:type="dxa"/>
              <w:end w:w="100" w:type="dxa"/>
            </w:tcMar>
          </w:tcPr>
          <w:p>
            <w:pPr>
              <w:spacing w:after="30"/>
            </w:pPr>
            <w:r>
              <w:rPr>
                <w:rFonts w:ascii="Aptos" w:hAnsi="Aptos"/>
                <w:sz w:val="18"/>
              </w:rPr>
              <w:t>Calibration</w:t>
            </w:r>
          </w:p>
        </w:tc>
        <w:tc>
          <w:tcPr>
            <w:tcW w:type="dxa" w:w="2664"/>
            <w:tcMar>
              <w:top w:w="90" w:type="dxa"/>
              <w:start w:w="100" w:type="dxa"/>
              <w:bottom w:w="90" w:type="dxa"/>
              <w:end w:w="100" w:type="dxa"/>
            </w:tcMar>
          </w:tcPr>
          <w:p>
            <w:pPr>
              <w:spacing w:after="30"/>
            </w:pPr>
            <w:r>
              <w:rPr>
                <w:rFonts w:ascii="Aptos" w:hAnsi="Aptos"/>
                <w:sz w:val="18"/>
              </w:rPr>
              <w:t>Section 4</w:t>
            </w:r>
          </w:p>
        </w:tc>
        <w:tc>
          <w:tcPr>
            <w:tcW w:type="dxa" w:w="2736"/>
            <w:tcMar>
              <w:top w:w="90" w:type="dxa"/>
              <w:start w:w="100" w:type="dxa"/>
              <w:bottom w:w="90" w:type="dxa"/>
              <w:end w:w="100" w:type="dxa"/>
            </w:tcMar>
          </w:tcPr>
          <w:p>
            <w:pPr>
              <w:spacing w:after="30"/>
            </w:pPr>
            <w:r>
              <w:rPr>
                <w:rFonts w:ascii="Aptos" w:hAnsi="Aptos"/>
                <w:sz w:val="18"/>
              </w:rPr>
              <w:t>Active workbooks + calibration code</w:t>
            </w:r>
          </w:p>
        </w:tc>
        <w:tc>
          <w:tcPr>
            <w:tcW w:type="dxa" w:w="2880"/>
            <w:tcMar>
              <w:top w:w="90" w:type="dxa"/>
              <w:start w:w="100" w:type="dxa"/>
              <w:bottom w:w="90" w:type="dxa"/>
              <w:end w:w="100" w:type="dxa"/>
            </w:tcMar>
          </w:tcPr>
          <w:p>
            <w:pPr>
              <w:spacing w:after="30"/>
            </w:pPr>
            <w:r>
              <w:rPr>
                <w:rFonts w:ascii="Aptos" w:hAnsi="Aptos"/>
                <w:sz w:val="18"/>
              </w:rPr>
              <w:t>Values and procedures must be scientifically consistent.</w:t>
            </w:r>
          </w:p>
        </w:tc>
      </w:tr>
      <w:tr>
        <w:tc>
          <w:tcPr>
            <w:tcW w:type="dxa" w:w="2088"/>
            <w:tcMar>
              <w:top w:w="90" w:type="dxa"/>
              <w:start w:w="100" w:type="dxa"/>
              <w:bottom w:w="90" w:type="dxa"/>
              <w:end w:w="100" w:type="dxa"/>
            </w:tcMar>
          </w:tcPr>
          <w:p>
            <w:pPr>
              <w:spacing w:after="30"/>
            </w:pPr>
            <w:r>
              <w:rPr>
                <w:rFonts w:ascii="Aptos" w:hAnsi="Aptos"/>
                <w:sz w:val="18"/>
              </w:rPr>
              <w:t>Scenario framework</w:t>
            </w:r>
          </w:p>
        </w:tc>
        <w:tc>
          <w:tcPr>
            <w:tcW w:type="dxa" w:w="2664"/>
            <w:tcMar>
              <w:top w:w="90" w:type="dxa"/>
              <w:start w:w="100" w:type="dxa"/>
              <w:bottom w:w="90" w:type="dxa"/>
              <w:end w:w="100" w:type="dxa"/>
            </w:tcMar>
          </w:tcPr>
          <w:p>
            <w:pPr>
              <w:spacing w:after="30"/>
            </w:pPr>
            <w:r>
              <w:rPr>
                <w:rFonts w:ascii="Aptos" w:hAnsi="Aptos"/>
                <w:sz w:val="18"/>
              </w:rPr>
              <w:t>Section 5</w:t>
            </w:r>
          </w:p>
        </w:tc>
        <w:tc>
          <w:tcPr>
            <w:tcW w:type="dxa" w:w="2736"/>
            <w:tcMar>
              <w:top w:w="90" w:type="dxa"/>
              <w:start w:w="100" w:type="dxa"/>
              <w:bottom w:w="90" w:type="dxa"/>
              <w:end w:w="100" w:type="dxa"/>
            </w:tcMar>
          </w:tcPr>
          <w:p>
            <w:pPr>
              <w:spacing w:after="30"/>
            </w:pPr>
            <w:r>
              <w:rPr>
                <w:rFonts w:ascii="Aptos" w:hAnsi="Aptos"/>
                <w:sz w:val="18"/>
              </w:rPr>
              <w:t>Scenario workbooks/registry + runner</w:t>
            </w:r>
          </w:p>
        </w:tc>
        <w:tc>
          <w:tcPr>
            <w:tcW w:type="dxa" w:w="2880"/>
            <w:tcMar>
              <w:top w:w="90" w:type="dxa"/>
              <w:start w:w="100" w:type="dxa"/>
              <w:bottom w:w="90" w:type="dxa"/>
              <w:end w:w="100" w:type="dxa"/>
            </w:tcMar>
          </w:tcPr>
          <w:p>
            <w:pPr>
              <w:spacing w:after="30"/>
            </w:pPr>
            <w:r>
              <w:rPr>
                <w:rFonts w:ascii="Aptos" w:hAnsi="Aptos"/>
                <w:sz w:val="18"/>
              </w:rPr>
              <w:t>Names, dependencies, and closures must match.</w:t>
            </w:r>
          </w:p>
        </w:tc>
      </w:tr>
      <w:tr>
        <w:tc>
          <w:tcPr>
            <w:tcW w:type="dxa" w:w="2088"/>
            <w:tcMar>
              <w:top w:w="90" w:type="dxa"/>
              <w:start w:w="100" w:type="dxa"/>
              <w:bottom w:w="90" w:type="dxa"/>
              <w:end w:w="100" w:type="dxa"/>
            </w:tcMar>
          </w:tcPr>
          <w:p>
            <w:pPr>
              <w:spacing w:after="30"/>
            </w:pPr>
            <w:r>
              <w:rPr>
                <w:rFonts w:ascii="Aptos" w:hAnsi="Aptos"/>
                <w:sz w:val="18"/>
              </w:rPr>
              <w:t>Solution method</w:t>
            </w:r>
          </w:p>
        </w:tc>
        <w:tc>
          <w:tcPr>
            <w:tcW w:type="dxa" w:w="2664"/>
            <w:tcMar>
              <w:top w:w="90" w:type="dxa"/>
              <w:start w:w="100" w:type="dxa"/>
              <w:bottom w:w="90" w:type="dxa"/>
              <w:end w:w="100" w:type="dxa"/>
            </w:tcMar>
          </w:tcPr>
          <w:p>
            <w:pPr>
              <w:spacing w:after="30"/>
            </w:pPr>
            <w:r>
              <w:rPr>
                <w:rFonts w:ascii="Aptos" w:hAnsi="Aptos"/>
                <w:sz w:val="18"/>
              </w:rPr>
              <w:t>Section 6</w:t>
            </w:r>
          </w:p>
        </w:tc>
        <w:tc>
          <w:tcPr>
            <w:tcW w:type="dxa" w:w="2736"/>
            <w:tcMar>
              <w:top w:w="90" w:type="dxa"/>
              <w:start w:w="100" w:type="dxa"/>
              <w:bottom w:w="90" w:type="dxa"/>
              <w:end w:w="100" w:type="dxa"/>
            </w:tcMar>
          </w:tcPr>
          <w:p>
            <w:pPr>
              <w:spacing w:after="30"/>
            </w:pPr>
            <w:r>
              <w:rPr>
                <w:rFonts w:ascii="Aptos" w:hAnsi="Aptos"/>
                <w:sz w:val="18"/>
              </w:rPr>
              <w:t>Dynare/MATLAB implementation</w:t>
            </w:r>
          </w:p>
        </w:tc>
        <w:tc>
          <w:tcPr>
            <w:tcW w:type="dxa" w:w="2880"/>
            <w:tcMar>
              <w:top w:w="90" w:type="dxa"/>
              <w:start w:w="100" w:type="dxa"/>
              <w:bottom w:w="90" w:type="dxa"/>
              <w:end w:w="100" w:type="dxa"/>
            </w:tcMar>
          </w:tcPr>
          <w:p>
            <w:pPr>
              <w:spacing w:after="30"/>
            </w:pPr>
            <w:r>
              <w:rPr>
                <w:rFonts w:ascii="Aptos" w:hAnsi="Aptos"/>
                <w:sz w:val="18"/>
              </w:rPr>
              <w:t>Methodological consistency required.</w:t>
            </w:r>
          </w:p>
        </w:tc>
      </w:tr>
      <w:tr>
        <w:tc>
          <w:tcPr>
            <w:tcW w:type="dxa" w:w="2088"/>
            <w:tcMar>
              <w:top w:w="90" w:type="dxa"/>
              <w:start w:w="100" w:type="dxa"/>
              <w:bottom w:w="90" w:type="dxa"/>
              <w:end w:w="100" w:type="dxa"/>
            </w:tcMar>
          </w:tcPr>
          <w:p>
            <w:pPr>
              <w:spacing w:after="30"/>
            </w:pPr>
            <w:r>
              <w:rPr>
                <w:rFonts w:ascii="Aptos" w:hAnsi="Aptos"/>
                <w:sz w:val="18"/>
              </w:rPr>
              <w:t>Figures and reported results</w:t>
            </w:r>
          </w:p>
        </w:tc>
        <w:tc>
          <w:tcPr>
            <w:tcW w:type="dxa" w:w="2664"/>
            <w:tcMar>
              <w:top w:w="90" w:type="dxa"/>
              <w:start w:w="100" w:type="dxa"/>
              <w:bottom w:w="90" w:type="dxa"/>
              <w:end w:w="100" w:type="dxa"/>
            </w:tcMar>
          </w:tcPr>
          <w:p>
            <w:pPr>
              <w:spacing w:after="30"/>
            </w:pPr>
            <w:r>
              <w:rPr>
                <w:rFonts w:ascii="Aptos" w:hAnsi="Aptos"/>
                <w:sz w:val="18"/>
              </w:rPr>
              <w:t>Sections 4–5</w:t>
            </w:r>
          </w:p>
        </w:tc>
        <w:tc>
          <w:tcPr>
            <w:tcW w:type="dxa" w:w="2736"/>
            <w:tcMar>
              <w:top w:w="90" w:type="dxa"/>
              <w:start w:w="100" w:type="dxa"/>
              <w:bottom w:w="90" w:type="dxa"/>
              <w:end w:w="100" w:type="dxa"/>
            </w:tcMar>
          </w:tcPr>
          <w:p>
            <w:pPr>
              <w:spacing w:after="30"/>
            </w:pPr>
            <w:r>
              <w:rPr>
                <w:rFonts w:ascii="Aptos" w:hAnsi="Aptos"/>
                <w:sz w:val="18"/>
              </w:rPr>
              <w:t>Reporting scripts + archived run metadata</w:t>
            </w:r>
          </w:p>
        </w:tc>
        <w:tc>
          <w:tcPr>
            <w:tcW w:type="dxa" w:w="2880"/>
            <w:tcMar>
              <w:top w:w="90" w:type="dxa"/>
              <w:start w:w="100" w:type="dxa"/>
              <w:bottom w:w="90" w:type="dxa"/>
              <w:end w:w="100" w:type="dxa"/>
            </w:tcMar>
          </w:tcPr>
          <w:p>
            <w:pPr>
              <w:spacing w:after="30"/>
            </w:pPr>
            <w:r>
              <w:rPr>
                <w:rFonts w:ascii="Aptos" w:hAnsi="Aptos"/>
                <w:sz w:val="18"/>
              </w:rPr>
              <w:t>Regenerate if result-producing code changes.</w:t>
            </w:r>
          </w:p>
        </w:tc>
      </w:tr>
    </w:tbl>
    <w:p>
      <w:pPr>
        <w:pStyle w:val="Heading1"/>
      </w:pPr>
      <w:r>
        <w:t>8. Permanent maintenance instructions for Claude</w:t>
      </w:r>
    </w:p>
    <w:p>
      <w:pPr>
        <w:pStyle w:val="Heading2"/>
      </w:pPr>
      <w:r>
        <w:t>Before editing:</w:t>
      </w:r>
    </w:p>
    <w:p>
      <w:pPr>
        <w:pStyle w:val="ListBullet"/>
        <w:spacing w:after="50"/>
      </w:pPr>
      <w:r>
        <w:t>Read README.md, CONTRIBUTING.md, CITATION.cff, and the latest CHANGELOG entry.</w:t>
      </w:r>
    </w:p>
    <w:p>
      <w:pPr>
        <w:pStyle w:val="ListBullet"/>
        <w:spacing w:after="50"/>
      </w:pPr>
      <w:r>
        <w:t>Identify whether the task affects the framework repository, the Viet Nam repository, or both.</w:t>
      </w:r>
    </w:p>
    <w:p>
      <w:pPr>
        <w:pStyle w:val="ListBullet"/>
        <w:spacing w:after="50"/>
      </w:pPr>
      <w:r>
        <w:t>Check the repository–report consistency matrix and classify Technical Report impact.</w:t>
      </w:r>
    </w:p>
    <w:p>
      <w:pPr>
        <w:pStyle w:val="ListBullet"/>
        <w:spacing w:after="50"/>
      </w:pPr>
      <w:r>
        <w:t>Identify whether any proposed change could alter numerical results or reproducibility.</w:t>
      </w:r>
    </w:p>
    <w:p>
      <w:pPr>
        <w:pStyle w:val="Heading2"/>
      </w:pPr>
      <w:r>
        <w:t>During editing:</w:t>
      </w:r>
    </w:p>
    <w:p>
      <w:pPr>
        <w:pStyle w:val="ListBullet"/>
        <w:spacing w:after="50"/>
      </w:pPr>
      <w:r>
        <w:t>Preserve canonical terminology and reciprocal repository links.</w:t>
      </w:r>
    </w:p>
    <w:p>
      <w:pPr>
        <w:pStyle w:val="ListBullet"/>
        <w:spacing w:after="50"/>
      </w:pPr>
      <w:r>
        <w:t>Keep operational instructions in one canonical location and link to them rather than duplicating them.</w:t>
      </w:r>
    </w:p>
    <w:p>
      <w:pPr>
        <w:pStyle w:val="ListBullet"/>
        <w:spacing w:after="50"/>
      </w:pPr>
      <w:r>
        <w:t>Do not introduce personal paths, machine-specific defaults, undocumented environment variables, or untracked scientific assumptions.</w:t>
      </w:r>
    </w:p>
    <w:p>
      <w:pPr>
        <w:pStyle w:val="ListBullet"/>
        <w:spacing w:after="50"/>
      </w:pPr>
      <w:r>
        <w:t>Keep scientific changes, path/structure changes, and public-presentation changes in separate commits whenever possible.</w:t>
      </w:r>
    </w:p>
    <w:p>
      <w:pPr>
        <w:pStyle w:val="Heading2"/>
      </w:pPr>
      <w:r>
        <w:t>After editing:</w:t>
      </w:r>
    </w:p>
    <w:p>
      <w:pPr>
        <w:pStyle w:val="ListBullet"/>
        <w:spacing w:after="50"/>
      </w:pPr>
      <w:r>
        <w:t>Check Markdown links, file paths, capitalization, code examples, and environment-variable names.</w:t>
      </w:r>
    </w:p>
    <w:p>
      <w:pPr>
        <w:pStyle w:val="ListBullet"/>
        <w:spacing w:after="50"/>
      </w:pPr>
      <w:r>
        <w:t>Run the smallest relevant validation and report exactly what was checked.</w:t>
      </w:r>
    </w:p>
    <w:p>
      <w:pPr>
        <w:pStyle w:val="ListBullet"/>
        <w:spacing w:after="50"/>
      </w:pPr>
      <w:r>
        <w:t>Update CHANGELOG.md when public behavior, structure, or scientific content changes.</w:t>
      </w:r>
    </w:p>
    <w:p>
      <w:pPr>
        <w:pStyle w:val="ListBullet"/>
        <w:spacing w:after="50"/>
      </w:pPr>
      <w:r>
        <w:t>Update the Technical Report or explicitly record why no update is required.</w:t>
      </w:r>
    </w:p>
    <w:p>
      <w:pPr>
        <w:pStyle w:val="ListBullet"/>
        <w:spacing w:after="50"/>
      </w:pPr>
      <w:r>
        <w:t>Check the other repository for contradictions introduced by the change.</w:t>
      </w:r>
    </w:p>
    <w:p>
      <w:pPr>
        <w:pStyle w:val="Heading1"/>
      </w:pPr>
      <w:r>
        <w:t>9. Suggested first Claude work package</w:t>
      </w:r>
    </w:p>
    <w:p>
      <w:pPr>
        <w:pStyle w:val="ListNumber"/>
        <w:spacing w:after="50"/>
      </w:pPr>
      <w:r>
        <w:t>Produce an audit of both repositories and the Technical Report references.</w:t>
      </w:r>
    </w:p>
    <w:p>
      <w:pPr>
        <w:pStyle w:val="ListNumber"/>
        <w:spacing w:after="50"/>
      </w:pPr>
      <w:r>
        <w:t>Propose, but do not yet execute, any directory renames.</w:t>
      </w:r>
    </w:p>
    <w:p>
      <w:pPr>
        <w:pStyle w:val="ListNumber"/>
        <w:spacing w:after="50"/>
      </w:pPr>
      <w:r>
        <w:t>Harmonize the two README introductions, navigation, model-family explanation, badges, and quick-start sections.</w:t>
      </w:r>
    </w:p>
    <w:p>
      <w:pPr>
        <w:pStyle w:val="ListNumber"/>
        <w:spacing w:after="50"/>
      </w:pPr>
      <w:r>
        <w:t>Correct cross-repository links and GitHub metadata.</w:t>
      </w:r>
    </w:p>
    <w:p>
      <w:pPr>
        <w:pStyle w:val="ListNumber"/>
        <w:spacing w:after="50"/>
      </w:pPr>
      <w:r>
        <w:t>Create the repository–report consistency matrix.</w:t>
      </w:r>
    </w:p>
    <w:p>
      <w:pPr>
        <w:pStyle w:val="ListNumber"/>
        <w:spacing w:after="50"/>
      </w:pPr>
      <w:r>
        <w:t>Prepare a list of Technical Report edits needed because of existing naming, path, or workflow inconsistencies.</w:t>
      </w:r>
    </w:p>
    <w:p>
      <w:pPr>
        <w:pStyle w:val="ListNumber"/>
        <w:spacing w:after="50"/>
      </w:pPr>
      <w:r>
        <w:t>Create CONTRIBUTING.md and CHANGELOG.md with the maintenance rules in this plan.</w:t>
      </w:r>
    </w:p>
    <w:p>
      <w:pPr>
        <w:pStyle w:val="ListNumber"/>
        <w:spacing w:after="50"/>
      </w:pPr>
      <w:r>
        <w:t>Report all proposed changes grouped as Low, Medium, or High risk; implement Low-risk changes first.</w:t>
      </w:r>
    </w:p>
    <w:p>
      <w:pPr>
        <w:pStyle w:val="Heading1"/>
      </w:pPr>
      <w:r>
        <w:t>10. Definition of done for the first improvement cycle</w:t>
      </w:r>
    </w:p>
    <w:p>
      <w:pPr>
        <w:spacing w:after="50"/>
      </w:pPr>
      <w:r>
        <w:rPr>
          <w:b/>
        </w:rPr>
        <w:t xml:space="preserve">☐ </w:t>
      </w:r>
      <w:r>
        <w:t>Both repositories visibly belong to the same DGE-METRIC model family.</w:t>
      </w:r>
    </w:p>
    <w:p>
      <w:pPr>
        <w:spacing w:after="50"/>
      </w:pPr>
      <w:r>
        <w:rPr>
          <w:b/>
        </w:rPr>
        <w:t xml:space="preserve">☐ </w:t>
      </w:r>
      <w:r>
        <w:t>The roles of framework and Viet Nam implementation are unambiguous.</w:t>
      </w:r>
    </w:p>
    <w:p>
      <w:pPr>
        <w:spacing w:after="50"/>
      </w:pPr>
      <w:r>
        <w:rPr>
          <w:b/>
        </w:rPr>
        <w:t xml:space="preserve">☐ </w:t>
      </w:r>
      <w:r>
        <w:t>A new user can find the correct entry point, documentation, citation, and reproduction instructions quickly.</w:t>
      </w:r>
    </w:p>
    <w:p>
      <w:pPr>
        <w:spacing w:after="50"/>
      </w:pPr>
      <w:r>
        <w:rPr>
          <w:b/>
        </w:rPr>
        <w:t xml:space="preserve">☐ </w:t>
      </w:r>
      <w:r>
        <w:t>The repository root no longer looks like an unmanaged working directory.</w:t>
      </w:r>
    </w:p>
    <w:p>
      <w:pPr>
        <w:spacing w:after="50"/>
      </w:pPr>
      <w:r>
        <w:rPr>
          <w:b/>
        </w:rPr>
        <w:t xml:space="preserve">☐ </w:t>
      </w:r>
      <w:r>
        <w:t>Source, configuration, data, generated output, and report artifacts are clearly distinguished.</w:t>
      </w:r>
    </w:p>
    <w:p>
      <w:pPr>
        <w:spacing w:after="50"/>
      </w:pPr>
      <w:r>
        <w:rPr>
          <w:b/>
        </w:rPr>
        <w:t xml:space="preserve">☐ </w:t>
      </w:r>
      <w:r>
        <w:t>Public setup instructions are portable.</w:t>
      </w:r>
    </w:p>
    <w:p>
      <w:pPr>
        <w:spacing w:after="50"/>
      </w:pPr>
      <w:r>
        <w:rPr>
          <w:b/>
        </w:rPr>
        <w:t xml:space="preserve">☐ </w:t>
      </w:r>
      <w:r>
        <w:t>The Technical Report and repositories use consistent naming, paths, scenario terminology, and workflow descriptions—or the report is explicitly pinned to an older release.</w:t>
      </w:r>
    </w:p>
    <w:p>
      <w:pPr>
        <w:spacing w:after="50"/>
      </w:pPr>
      <w:r>
        <w:rPr>
          <w:b/>
        </w:rPr>
        <w:t xml:space="preserve">☐ </w:t>
      </w:r>
      <w:r>
        <w:t>No unintended scientific or numerical behavior changed during the presentation cleanup.</w:t>
      </w:r>
    </w:p>
    <w:p>
      <w:pPr>
        <w:pStyle w:val="Heading1"/>
      </w:pPr>
      <w:r>
        <w:t>11. Required completion note after each Claude task</w:t>
      </w:r>
    </w:p>
    <w:tbl>
      <w:tblPr>
        <w:tblW w:type="auto" w:w="0"/>
        <w:jc w:val="center"/>
        <w:tblLayout w:type="fixed"/>
        <w:tblLook w:firstColumn="1" w:firstRow="1" w:lastColumn="0" w:lastRow="0" w:noHBand="0" w:noVBand="1" w:val="04A0"/>
      </w:tblPr>
      <w:tblGrid>
        <w:gridCol w:w="10080"/>
      </w:tblGrid>
      <w:tr>
        <w:tc>
          <w:tcPr>
            <w:tcW w:type="dxa" w:w="10080"/>
            <w:shd w:fill="EAF1F7"/>
            <w:tcMar>
              <w:top w:w="130" w:type="dxa"/>
              <w:start w:w="150" w:type="dxa"/>
              <w:bottom w:w="130" w:type="dxa"/>
              <w:end w:w="150" w:type="dxa"/>
            </w:tcMar>
          </w:tcPr>
          <w:p>
            <w:pPr>
              <w:spacing w:after="30"/>
            </w:pPr>
            <w:r>
              <w:rPr>
                <w:rFonts w:ascii="Aptos" w:hAnsi="Aptos"/>
                <w:b/>
                <w:color w:val="1F3A5F"/>
                <w:sz w:val="18"/>
              </w:rPr>
              <w:t>Claude should report</w:t>
            </w:r>
          </w:p>
          <w:p>
            <w:pPr>
              <w:spacing w:after="30"/>
            </w:pPr>
            <w:r>
              <w:rPr>
                <w:rFonts w:ascii="Aptos" w:hAnsi="Aptos"/>
                <w:sz w:val="18"/>
              </w:rPr>
              <w:t>Files changed • What improved • Scientific impact • Technical Report impact • Validation performed • Remaining work</w:t>
            </w:r>
          </w:p>
        </w:tc>
      </w:tr>
    </w:tbl>
    <w:p>
      <w:pPr>
        <w:spacing w:after="20"/>
      </w:pPr>
    </w:p>
    <w:p>
      <w:r>
        <w:rPr>
          <w:b/>
        </w:rPr>
        <w:t xml:space="preserve">Scientific impact: </w:t>
      </w:r>
      <w:r>
        <w:t>state either “No intended numerical/model impact” or explain precisely what changed.</w:t>
      </w:r>
    </w:p>
    <w:p>
      <w:r>
        <w:rPr>
          <w:b/>
        </w:rPr>
        <w:t xml:space="preserve">Validation: </w:t>
      </w:r>
      <w:r>
        <w:t>list only checks that were actually run; never imply that numerical equivalence was verified if it was not.</w:t>
      </w:r>
    </w:p>
    <w:p>
      <w:pPr>
        <w:spacing w:before="280"/>
        <w:jc w:val="center"/>
      </w:pPr>
      <w:r>
        <w:rPr>
          <w:b/>
          <w:color w:val="1F3A5F"/>
        </w:rPr>
        <w:t>Improve clarity before adding complexity. Preserve reproducibility before pursuing elegance.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D6EA3"/>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2D6E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