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313C"/>
          <w:sz w:val="32"/>
        </w:rPr>
        <w:t>From model results to implementation in Viet Nam's institutional context</w:t>
      </w:r>
    </w:p>
    <w:p>
      <w:r>
        <w:rPr>
          <w:i/>
          <w:color w:val="9DA6AE"/>
          <w:sz w:val="20"/>
        </w:rPr>
        <w:t>Companion to the integrated policy-package figure: each pillar linked to its policy implication, a solution that accounts for institutional and regulatory constraints, and the main implementation barriers.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744"/>
            <w:shd w:val="clear" w:color="auto" w:fill="242B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model result</w:t>
            </w:r>
          </w:p>
        </w:tc>
        <w:tc>
          <w:tcPr>
            <w:tcW w:type="dxa" w:w="3744"/>
            <w:shd w:val="clear" w:color="auto" w:fill="242B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Policy implication (derived from the result)</w:t>
            </w:r>
          </w:p>
        </w:tc>
        <w:tc>
          <w:tcPr>
            <w:tcW w:type="dxa" w:w="4896"/>
            <w:shd w:val="clear" w:color="auto" w:fill="242B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Proposed solution — institutional &amp; regulatory constraints</w:t>
            </w:r>
          </w:p>
        </w:tc>
        <w:tc>
          <w:tcPr>
            <w:tcW w:type="dxa" w:w="3744"/>
            <w:shd w:val="clear" w:color="auto" w:fill="242B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Potential barriers to implementation</w:t>
            </w:r>
          </w:p>
        </w:tc>
      </w:tr>
      <w:tr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242B84"/>
                <w:sz w:val="19"/>
              </w:rPr>
              <w:t>1  Efficiency first</w:t>
            </w:r>
          </w:p>
          <w:p>
            <w:r>
              <w:rPr>
                <w:rFonts w:ascii="Calibri" w:hAnsi="Calibri"/>
                <w:color w:val="28313C"/>
                <w:sz w:val="17"/>
              </w:rPr>
              <w:t>Accelerating energy efficiency, technological upgrading and fuel switching lowers electricity demand, generation and grid investment needs, and the carbon price required to stay on the net-zero path. It delivers the largest modelled economic gain per unit of cost.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Put demand-side efficiency at the centre of PDP8-rev implementation and treat avoided demand as a system resource on a par with new supply.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Enforce minimum energy-performance standards and the Directive 10/CT-TTg electricity-saving targets through binding sub-sector energy-intensity benchmarks and mandatory audits for designated large energy users; capitalise a revolving efficiency fund and ESCO / energy-performance contracting under the State Bank green-credit framework.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Split incentives between landlords and tenants and within SOEs; limited measurement, reporting and verification (MRV) and enforcement capacity at provincial DOIT level; subsidised retail tariffs lengthen payback; thin ESCO market and short project-finance track record.</w:t>
            </w:r>
          </w:p>
        </w:tc>
      </w:tr>
      <w:tr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4E7EA"/>
          </w:tcPr>
          <w:p>
            <w:r/>
            <w:r>
              <w:rPr>
                <w:rFonts w:ascii="Calibri" w:hAnsi="Calibri"/>
                <w:b/>
                <w:color w:val="C8781E"/>
                <w:sz w:val="19"/>
              </w:rPr>
              <w:t>2  Carbon pricing with enabling policies</w:t>
            </w:r>
          </w:p>
          <w:p>
            <w:r>
              <w:rPr>
                <w:rFonts w:ascii="Calibri" w:hAnsi="Calibri"/>
                <w:color w:val="28313C"/>
                <w:sz w:val="17"/>
              </w:rPr>
              <w:t>The emissions trading system (ETS) is markedly less costly when firms also have efficiency options and affordable finance. A gradual, coordinated price path reaches the emissions trajectory at lower GDP cost than carbon pricing alone.</w:t>
            </w:r>
          </w:p>
        </w:tc>
        <w:tc>
          <w:tcPr>
            <w:tcW w:type="dxa" w:w="3744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Phase the ETS in gradually, sequence it after efficiency and renewable-energy enabling measures, and give firms a predictable long-term price signal.</w:t>
            </w:r>
          </w:p>
        </w:tc>
        <w:tc>
          <w:tcPr>
            <w:tcW w:type="dxa" w:w="4896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Run the 2025-2028 pilot under Decree 06/2022/ND-CP and the amended Law on Environmental Protection with free, benchmarked allocation for trade-exposed industry; align the domestic price and MRV rules with the EU CBAM timeline; complete the national GHG inventory and registry and ring-fence a price-stability reserve.</w:t>
            </w:r>
          </w:p>
        </w:tc>
        <w:tc>
          <w:tcPr>
            <w:tcW w:type="dxa" w:w="3744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Incomplete facility-level emissions data; carbon-leakage and competitiveness concerns for cement, steel and textiles; institutional capacity to operate MRV, registry and auctions; political sensitivity of higher energy prices.</w:t>
            </w:r>
          </w:p>
        </w:tc>
      </w:tr>
      <w:tr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B2C823"/>
                <w:sz w:val="19"/>
              </w:rPr>
              <w:t>3  Affordable green finance</w:t>
            </w:r>
          </w:p>
          <w:p>
            <w:r>
              <w:rPr>
                <w:rFonts w:ascii="Calibri" w:hAnsi="Calibri"/>
                <w:color w:val="28313C"/>
                <w:sz w:val="17"/>
              </w:rPr>
              <w:t>Lowering the weighted average cost of capital — not raising the volume of public spending — accelerates investment and raises the economic payoff from greater climate ambition.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Prioritise instruments that cut financing cost and risk: blended finance, guarantees, risk-sharing facilities, green bonds and green credit, delivered through the JETP and the national green taxonomy.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Operationalise the green taxonomy and the State Bank green-banking framework; deploy partial credit guarantees and FX-hedging facilities within the public-debt ceiling and limited fiscal space; standardise bankable PPA terms and dispute resolution; speed JETP disbursement.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Sovereign and EVN off-taker credit risk; currency mismatch and a shallow domestic capital market; PPAs not yet bankable for many projects; public-debt and contingent-liability limits on guarantees; slow mobilisation of pledged concessional funds.</w:t>
            </w:r>
          </w:p>
        </w:tc>
      </w:tr>
      <w:tr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4E7EA"/>
          </w:tcPr>
          <w:p>
            <w:r/>
            <w:r>
              <w:rPr>
                <w:rFonts w:ascii="Calibri" w:hAnsi="Calibri"/>
                <w:b/>
                <w:color w:val="5286D2"/>
                <w:sz w:val="19"/>
              </w:rPr>
              <w:t>4  Strategic use of ETS revenues</w:t>
            </w:r>
          </w:p>
          <w:p>
            <w:r>
              <w:rPr>
                <w:rFonts w:ascii="Calibri" w:hAnsi="Calibri"/>
                <w:color w:val="28313C"/>
                <w:sz w:val="17"/>
              </w:rPr>
              <w:t>Recycling ETS revenue through non-fossil capital-tax reductions or targeted investment support stimulates investment more than broad per-capita dividends; targeted transfers still protect vulnerable households at low aggregate cost.</w:t>
            </w:r>
          </w:p>
        </w:tc>
        <w:tc>
          <w:tcPr>
            <w:tcW w:type="dxa" w:w="3744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Earmark ETS revenue for transition investment and a just-transition fund rather than the general budget or untargeted rebates.</w:t>
            </w:r>
          </w:p>
        </w:tc>
        <w:tc>
          <w:tcPr>
            <w:tcW w:type="dxa" w:w="4896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Given State Budget Law limits on hypothecating tax revenue, route receipts through a dedicated environmental-protection / transition fund with a statutory revenue mandate and published accounts; use existing social-assistance registries for targeted household transfers.</w:t>
            </w:r>
          </w:p>
        </w:tc>
        <w:tc>
          <w:tcPr>
            <w:tcW w:type="dxa" w:w="3744"/>
            <w:shd w:val="clear" w:color="auto" w:fill="E4E7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Legal restrictions on earmarking; competing budget priorities; weak targeting coverage for informal-sector households; governance and transparency risk in fund management.</w:t>
            </w:r>
          </w:p>
        </w:tc>
      </w:tr>
      <w:tr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F0D019"/>
                <w:sz w:val="19"/>
              </w:rPr>
              <w:t>5  Reliable and inclusive transition</w:t>
            </w:r>
          </w:p>
          <w:p>
            <w:r>
              <w:rPr>
                <w:rFonts w:ascii="Calibri" w:hAnsi="Calibri"/>
                <w:color w:val="28313C"/>
                <w:sz w:val="17"/>
              </w:rPr>
              <w:t>Treating battery storage as a grid-reliability requirement and supporting labour mobility, retraining and skills lowers adjustment costs and strengthens resilience. Headline efficiency gains are conditional on the assumed BESS and rooftop-solar rollout.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Plan storage and flexibility alongside renewable capacity in PDP8-rev, and pair transition policy with active labour-market and regional support for fossil-dependent provinces and workers.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Introduce a capacity / ancillary-services market and a storage procurement mandate; finalise direct power purchase agreement (DPPA) and rooftop-solar rules; fund reskilling through the vocational system and the Employment Fund; provide targeted support to coal-dependent communities such as Quang Ninh.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color w:val="28313C"/>
                <w:sz w:val="17"/>
              </w:rPr>
              <w:t>No market mechanism yet remunerates storage or flexibility; EVN single-buyer model and grid-code gaps; fiscal cost of reskilling; concentrated coal-sector employment and SOE-restructuring politics; land and grid-connection permitting delays.</w:t>
            </w:r>
          </w:p>
        </w:tc>
      </w:tr>
    </w:tbl>
    <w:p/>
    <w:p>
      <w:r>
        <w:rPr>
          <w:i/>
          <w:color w:val="9DA6AE"/>
          <w:sz w:val="15"/>
        </w:rPr>
        <w:t>Model results are directional, scenario-relative magnitudes from DGE-METRIC (five-sector annual general equilibrium, 2026-2050) under stated assumptions — not point forecasts. Source: DGE-METRIC Policy Brief / Technical Report; figure Vietnam_integrated_policy_package_revised.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