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32B0A" w14:textId="77777777" w:rsidR="00E14EDE" w:rsidRPr="00C9711D" w:rsidRDefault="002B6202">
      <w:pPr>
        <w:jc w:val="both"/>
        <w:rPr>
          <w:rFonts w:ascii="Brandon Grotesque Black" w:hAnsi="Brandon Grotesque Black"/>
          <w:color w:val="242B84" w:themeColor="accent1"/>
          <w:sz w:val="28"/>
          <w:szCs w:val="28"/>
          <w:lang w:val="en-US"/>
        </w:rPr>
      </w:pPr>
      <w:bookmarkStart w:id="2" w:name="_Toc183536321"/>
      <w:r w:rsidRPr="00C9711D">
        <w:rPr>
          <w:noProof/>
          <w:lang w:val="en-US" w:eastAsia="en-GB"/>
        </w:rPr>
        <w:drawing>
          <wp:anchor distT="0" distB="0" distL="114300" distR="114300" simplePos="0" relativeHeight="251661312" behindDoc="0" locked="0" layoutInCell="1" allowOverlap="1" wp14:anchorId="7EFA42E3" wp14:editId="61E50662">
            <wp:simplePos x="0" y="0"/>
            <wp:positionH relativeFrom="column">
              <wp:posOffset>3207969</wp:posOffset>
            </wp:positionH>
            <wp:positionV relativeFrom="paragraph">
              <wp:posOffset>-685</wp:posOffset>
            </wp:positionV>
            <wp:extent cx="2891155" cy="771525"/>
            <wp:effectExtent l="0" t="0" r="4445" b="9525"/>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WS_Logo_neutral_4c_klein.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91155" cy="771525"/>
                    </a:xfrm>
                    <a:prstGeom prst="rect">
                      <a:avLst/>
                    </a:prstGeom>
                  </pic:spPr>
                </pic:pic>
              </a:graphicData>
            </a:graphic>
            <wp14:sizeRelH relativeFrom="page">
              <wp14:pctWidth>0</wp14:pctWidth>
            </wp14:sizeRelH>
            <wp14:sizeRelV relativeFrom="page">
              <wp14:pctHeight>0</wp14:pctHeight>
            </wp14:sizeRelV>
          </wp:anchor>
        </w:drawing>
      </w:r>
      <w:r w:rsidRPr="00C9711D">
        <w:rPr>
          <w:rFonts w:ascii="Brandon Grotesque Black" w:hAnsi="Brandon Grotesque Black"/>
          <w:noProof/>
          <w:color w:val="242B84" w:themeColor="accent1"/>
          <w:sz w:val="28"/>
          <w:szCs w:val="28"/>
          <w:lang w:val="en-US" w:eastAsia="en-GB"/>
        </w:rPr>
        <w:drawing>
          <wp:inline distT="0" distB="0" distL="0" distR="0" wp14:anchorId="2A32CAA0" wp14:editId="79941A9D">
            <wp:extent cx="2683510" cy="795655"/>
            <wp:effectExtent l="0" t="0" r="2540" b="4445"/>
            <wp:docPr id="16" name="Grafik 16" descr="G:\Kdl\Privat\Vorlagen\Logos\IWH_Logo_RGB_EN_kle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Kdl\Privat\Vorlagen\Logos\IWH_Logo_RGB_EN_klein.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83510" cy="795655"/>
                    </a:xfrm>
                    <a:prstGeom prst="rect">
                      <a:avLst/>
                    </a:prstGeom>
                    <a:noFill/>
                    <a:ln>
                      <a:noFill/>
                    </a:ln>
                  </pic:spPr>
                </pic:pic>
              </a:graphicData>
            </a:graphic>
          </wp:inline>
        </w:drawing>
      </w:r>
    </w:p>
    <w:p w14:paraId="4606D003" w14:textId="77777777" w:rsidR="00E14EDE" w:rsidRPr="00C9711D" w:rsidRDefault="00E14EDE">
      <w:pPr>
        <w:jc w:val="both"/>
        <w:rPr>
          <w:rFonts w:ascii="Brandon Grotesque Black" w:hAnsi="Brandon Grotesque Black"/>
          <w:color w:val="242B84" w:themeColor="accent1"/>
          <w:sz w:val="28"/>
          <w:szCs w:val="28"/>
          <w:lang w:val="en-US"/>
        </w:rPr>
      </w:pPr>
    </w:p>
    <w:p w14:paraId="0E66D178" w14:textId="77777777" w:rsidR="00E14EDE" w:rsidRPr="00C9711D" w:rsidRDefault="00E14EDE">
      <w:pPr>
        <w:rPr>
          <w:rFonts w:ascii="Brandon Grotesque Black" w:hAnsi="Brandon Grotesque Black"/>
          <w:color w:val="242B84" w:themeColor="accent1"/>
          <w:sz w:val="28"/>
          <w:szCs w:val="28"/>
          <w:lang w:val="en-US"/>
        </w:rPr>
      </w:pPr>
    </w:p>
    <w:p w14:paraId="197EAA4F" w14:textId="77777777" w:rsidR="00E14EDE" w:rsidRPr="00C9711D" w:rsidRDefault="00E14EDE">
      <w:pPr>
        <w:rPr>
          <w:lang w:val="en-US"/>
        </w:rPr>
      </w:pPr>
    </w:p>
    <w:p w14:paraId="2B5857A4" w14:textId="77777777" w:rsidR="00E14EDE" w:rsidRPr="00C9711D" w:rsidRDefault="00E14EDE">
      <w:pPr>
        <w:rPr>
          <w:lang w:val="en-US"/>
        </w:rPr>
      </w:pPr>
    </w:p>
    <w:p w14:paraId="7726F83B" w14:textId="77777777" w:rsidR="00E14EDE" w:rsidRPr="00C9711D" w:rsidRDefault="00E14EDE">
      <w:pPr>
        <w:rPr>
          <w:lang w:val="en-US"/>
        </w:rPr>
      </w:pPr>
    </w:p>
    <w:p w14:paraId="2D0DDE7B" w14:textId="77777777" w:rsidR="00E14EDE" w:rsidRPr="00C9711D" w:rsidRDefault="00E14EDE">
      <w:pPr>
        <w:rPr>
          <w:lang w:val="en-US"/>
        </w:rPr>
      </w:pPr>
    </w:p>
    <w:p w14:paraId="081CCFA8" w14:textId="77777777" w:rsidR="00E14EDE" w:rsidRPr="00C9711D" w:rsidRDefault="00E14EDE">
      <w:pPr>
        <w:rPr>
          <w:lang w:val="en-US"/>
        </w:rPr>
      </w:pPr>
    </w:p>
    <w:p w14:paraId="545711A2" w14:textId="77777777" w:rsidR="00E14EDE" w:rsidRPr="00C9711D" w:rsidRDefault="00E14EDE">
      <w:pPr>
        <w:rPr>
          <w:lang w:val="en-US"/>
        </w:rPr>
      </w:pPr>
    </w:p>
    <w:p w14:paraId="2B4C5722" w14:textId="77777777" w:rsidR="00E14EDE" w:rsidRPr="00C9711D" w:rsidRDefault="00E14EDE">
      <w:pPr>
        <w:rPr>
          <w:lang w:val="en-US"/>
        </w:rPr>
      </w:pPr>
    </w:p>
    <w:p w14:paraId="2AB780AE" w14:textId="77777777" w:rsidR="00E14EDE" w:rsidRPr="00C9711D" w:rsidRDefault="00E14EDE">
      <w:pPr>
        <w:rPr>
          <w:lang w:val="en-US"/>
        </w:rPr>
      </w:pPr>
    </w:p>
    <w:p w14:paraId="5CD05812" w14:textId="77777777" w:rsidR="00E14EDE" w:rsidRPr="00C9711D" w:rsidRDefault="00E14EDE">
      <w:pPr>
        <w:rPr>
          <w:lang w:val="en-US"/>
        </w:rPr>
      </w:pPr>
    </w:p>
    <w:p w14:paraId="3FCF819B" w14:textId="77777777" w:rsidR="00E14EDE" w:rsidRPr="00C9711D" w:rsidRDefault="00E14EDE">
      <w:pPr>
        <w:rPr>
          <w:lang w:val="en-US"/>
        </w:rPr>
      </w:pPr>
    </w:p>
    <w:p w14:paraId="16ABF3B3" w14:textId="77777777" w:rsidR="00E14EDE" w:rsidRPr="00C9711D" w:rsidRDefault="00E14EDE">
      <w:pPr>
        <w:rPr>
          <w:lang w:val="en-US"/>
        </w:rPr>
      </w:pPr>
    </w:p>
    <w:p w14:paraId="5DB0CC14" w14:textId="77777777" w:rsidR="00E14EDE" w:rsidRPr="00C9711D" w:rsidRDefault="00E14EDE">
      <w:pPr>
        <w:rPr>
          <w:lang w:val="en-US"/>
        </w:rPr>
      </w:pPr>
    </w:p>
    <w:p w14:paraId="629201FE" w14:textId="77777777" w:rsidR="00E14EDE" w:rsidRPr="00C9711D" w:rsidRDefault="00E14EDE">
      <w:pPr>
        <w:rPr>
          <w:lang w:val="en-US"/>
        </w:rPr>
      </w:pPr>
    </w:p>
    <w:p w14:paraId="1663483D" w14:textId="1E2DA55E" w:rsidR="00E14EDE" w:rsidRPr="00C9711D" w:rsidRDefault="002B6202" w:rsidP="001314FA">
      <w:pPr>
        <w:ind w:left="681" w:hanging="539"/>
        <w:rPr>
          <w:rFonts w:ascii="Brandon Grotesque Bold" w:hAnsi="Brandon Grotesque Bold"/>
          <w:color w:val="242B84" w:themeColor="accent1"/>
          <w:sz w:val="28"/>
          <w:szCs w:val="28"/>
          <w:lang w:val="en-US"/>
        </w:rPr>
      </w:pPr>
      <w:r w:rsidRPr="00C9711D">
        <w:rPr>
          <w:rFonts w:ascii="Calibri" w:eastAsia="Calibri" w:hAnsi="Calibri" w:cs="Calibri"/>
          <w:noProof/>
          <w:lang w:val="en-US" w:eastAsia="en-GB"/>
        </w:rPr>
        <mc:AlternateContent>
          <mc:Choice Requires="wpg">
            <w:drawing>
              <wp:inline distT="0" distB="0" distL="0" distR="0" wp14:anchorId="41CDE59B" wp14:editId="12EE4CCB">
                <wp:extent cx="251987" cy="252004"/>
                <wp:effectExtent l="0" t="0" r="0" b="0"/>
                <wp:docPr id="3" name="Group 297622"/>
                <wp:cNvGraphicFramePr/>
                <a:graphic xmlns:a="http://schemas.openxmlformats.org/drawingml/2006/main">
                  <a:graphicData uri="http://schemas.microsoft.com/office/word/2010/wordprocessingGroup">
                    <wpg:wgp>
                      <wpg:cNvGrpSpPr/>
                      <wpg:grpSpPr>
                        <a:xfrm>
                          <a:off x="0" y="0"/>
                          <a:ext cx="251987" cy="252004"/>
                          <a:chOff x="0" y="0"/>
                          <a:chExt cx="251987" cy="252004"/>
                        </a:xfrm>
                      </wpg:grpSpPr>
                      <wps:wsp>
                        <wps:cNvPr id="17" name="Shape 177"/>
                        <wps:cNvSpPr/>
                        <wps:spPr>
                          <a:xfrm>
                            <a:off x="0" y="0"/>
                            <a:ext cx="240259" cy="72314"/>
                          </a:xfrm>
                          <a:custGeom>
                            <a:avLst/>
                            <a:gdLst/>
                            <a:ahLst/>
                            <a:cxnLst/>
                            <a:rect l="0" t="0" r="0" b="0"/>
                            <a:pathLst>
                              <a:path w="240259" h="72314">
                                <a:moveTo>
                                  <a:pt x="72301" y="0"/>
                                </a:moveTo>
                                <a:lnTo>
                                  <a:pt x="240259" y="0"/>
                                </a:lnTo>
                                <a:lnTo>
                                  <a:pt x="167932" y="72314"/>
                                </a:lnTo>
                                <a:lnTo>
                                  <a:pt x="0" y="72314"/>
                                </a:lnTo>
                                <a:lnTo>
                                  <a:pt x="72301" y="0"/>
                                </a:lnTo>
                                <a:close/>
                              </a:path>
                            </a:pathLst>
                          </a:custGeom>
                          <a:ln w="0" cap="flat">
                            <a:miter lim="127000"/>
                          </a:ln>
                        </wps:spPr>
                        <wps:style>
                          <a:lnRef idx="0">
                            <a:srgbClr val="000000">
                              <a:alpha val="0"/>
                            </a:srgbClr>
                          </a:lnRef>
                          <a:fillRef idx="1">
                            <a:srgbClr val="034DA1"/>
                          </a:fillRef>
                          <a:effectRef idx="0">
                            <a:scrgbClr r="0" g="0" b="0"/>
                          </a:effectRef>
                          <a:fontRef idx="none"/>
                        </wps:style>
                        <wps:bodyPr/>
                      </wps:wsp>
                      <wps:wsp>
                        <wps:cNvPr id="18" name="Shape 178"/>
                        <wps:cNvSpPr/>
                        <wps:spPr>
                          <a:xfrm>
                            <a:off x="179686" y="11720"/>
                            <a:ext cx="72301" cy="240284"/>
                          </a:xfrm>
                          <a:custGeom>
                            <a:avLst/>
                            <a:gdLst/>
                            <a:ahLst/>
                            <a:cxnLst/>
                            <a:rect l="0" t="0" r="0" b="0"/>
                            <a:pathLst>
                              <a:path w="72301" h="240284">
                                <a:moveTo>
                                  <a:pt x="72301" y="0"/>
                                </a:moveTo>
                                <a:lnTo>
                                  <a:pt x="72301" y="167958"/>
                                </a:lnTo>
                                <a:lnTo>
                                  <a:pt x="0" y="240284"/>
                                </a:lnTo>
                                <a:lnTo>
                                  <a:pt x="0" y="72314"/>
                                </a:lnTo>
                                <a:lnTo>
                                  <a:pt x="72301" y="0"/>
                                </a:lnTo>
                                <a:close/>
                              </a:path>
                            </a:pathLst>
                          </a:custGeom>
                          <a:ln w="0" cap="flat">
                            <a:miter lim="127000"/>
                          </a:ln>
                        </wps:spPr>
                        <wps:style>
                          <a:lnRef idx="0">
                            <a:srgbClr val="000000">
                              <a:alpha val="0"/>
                            </a:srgbClr>
                          </a:lnRef>
                          <a:fillRef idx="1">
                            <a:srgbClr val="034DA1"/>
                          </a:fillRef>
                          <a:effectRef idx="0">
                            <a:scrgbClr r="0" g="0" b="0"/>
                          </a:effectRef>
                          <a:fontRef idx="none"/>
                        </wps:style>
                        <wps:bodyPr/>
                      </wps:wsp>
                    </wpg:wgp>
                  </a:graphicData>
                </a:graphic>
              </wp:inline>
            </w:drawing>
          </mc:Choice>
          <mc:Fallback>
            <w:pict>
              <v:group w14:anchorId="4BA2D371" id="Group 297622" o:spid="_x0000_s1026" style="width:19.85pt;height:19.85pt;mso-position-horizontal-relative:char;mso-position-vertical-relative:line" coordsize="251987,25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">
                <v:shape id="Shape 177" o:spid="_x0000_s1027" style="position:absolute;width:240259;height:72314;visibility:visible;mso-wrap-style:square;v-text-anchor:top" coordsize="240259,72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" path="m72301,l240259,,167932,72314,,72314,72301,xe" fillcolor="#034da1" stroked="f" strokeweight="0">
                  <v:stroke miterlimit="83231f" joinstyle="miter"/>
                  <v:path arrowok="t" textboxrect="0,0,240259,72314"/>
                </v:shape>
                <v:shape id="Shape 178" o:spid="_x0000_s1028" style="position:absolute;left:179686;top:11720;width:72301;height:240284;visibility:visible;mso-wrap-style:square;v-text-anchor:top" coordsize="72301,24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" path="m72301,r,167958l,240284,,72314,72301,xe" fillcolor="#034da1" stroked="f" strokeweight="0">
                  <v:stroke miterlimit="83231f" joinstyle="miter"/>
                  <v:path arrowok="t" textboxrect="0,0,72301,240284"/>
                </v:shape>
                <w10:anchorlock/>
              </v:group>
            </w:pict>
          </mc:Fallback>
        </mc:AlternateContent>
      </w:r>
      <w:r w:rsidRPr="00C9711D">
        <w:rPr>
          <w:rFonts w:ascii="Brandon Grotesque Black" w:hAnsi="Brandon Grotesque Black"/>
          <w:color w:val="242B84" w:themeColor="accent1"/>
          <w:sz w:val="28"/>
          <w:szCs w:val="28"/>
          <w:lang w:val="en-US"/>
        </w:rPr>
        <w:tab/>
      </w:r>
      <w:r w:rsidR="001314FA" w:rsidRPr="00C9711D">
        <w:rPr>
          <w:rFonts w:ascii="Brandon Grotesque Bold" w:hAnsi="Brandon Grotesque Bold"/>
          <w:color w:val="242B84" w:themeColor="accent1"/>
          <w:sz w:val="36"/>
          <w:szCs w:val="36"/>
          <w:lang w:val="en-US"/>
        </w:rPr>
        <w:tab/>
        <w:t>DGE-METRIC: A Dynamic General Equilibrium Model for Vietnam’s Energy Transition</w:t>
      </w:r>
    </w:p>
    <w:p w14:paraId="79D71344" w14:textId="4CF0E698" w:rsidR="00E14EDE" w:rsidRPr="00C9711D" w:rsidRDefault="001314FA">
      <w:pPr>
        <w:ind w:left="709"/>
        <w:rPr>
          <w:rFonts w:ascii="Brandon Grotesque Bold" w:hAnsi="Brandon Grotesque Bold"/>
          <w:color w:val="242B84" w:themeColor="accent1"/>
          <w:sz w:val="28"/>
          <w:szCs w:val="28"/>
          <w:lang w:val="en-US"/>
        </w:rPr>
      </w:pPr>
      <w:r w:rsidRPr="00C9711D">
        <w:rPr>
          <w:rFonts w:ascii="Brandon Grotesque Bold" w:hAnsi="Brandon Grotesque Bold"/>
          <w:color w:val="242B84" w:themeColor="accent1"/>
          <w:sz w:val="28"/>
          <w:szCs w:val="28"/>
          <w:lang w:val="en-US"/>
        </w:rPr>
        <w:t>Technical Report</w:t>
      </w:r>
    </w:p>
    <w:p w14:paraId="4B0B0001" w14:textId="582DCF74" w:rsidR="00E14EDE" w:rsidRPr="00C9711D" w:rsidRDefault="002B6202">
      <w:pPr>
        <w:spacing w:after="681" w:line="259" w:lineRule="auto"/>
        <w:ind w:left="590" w:firstLine="91"/>
        <w:rPr>
          <w:rFonts w:ascii="Brandon Grotesque Regular" w:eastAsia="Brandon Grotesque" w:hAnsi="Brandon Grotesque Regular" w:cs="Brandon Grotesque"/>
          <w:color w:val="242B84" w:themeColor="accent1"/>
          <w:sz w:val="28"/>
          <w:lang w:val="en-US"/>
        </w:rPr>
      </w:pPr>
      <w:r w:rsidRPr="00C9711D">
        <w:rPr>
          <w:rFonts w:ascii="Brandon Grotesque Regular" w:eastAsia="Brandon Grotesque" w:hAnsi="Brandon Grotesque Regular" w:cs="Brandon Grotesque"/>
          <w:color w:val="242B84" w:themeColor="accent1"/>
          <w:sz w:val="28"/>
          <w:lang w:val="en-US"/>
        </w:rPr>
        <w:t>Christoph Schul</w:t>
      </w:r>
      <w:r w:rsidR="001314FA" w:rsidRPr="00C9711D">
        <w:rPr>
          <w:rFonts w:ascii="Brandon Grotesque Regular" w:eastAsia="Brandon Grotesque" w:hAnsi="Brandon Grotesque Regular" w:cs="Brandon Grotesque"/>
          <w:color w:val="242B84" w:themeColor="accent1"/>
          <w:sz w:val="28"/>
          <w:lang w:val="en-US"/>
        </w:rPr>
        <w:t>t</w:t>
      </w:r>
    </w:p>
    <w:bookmarkEnd w:id="2"/>
    <w:p w14:paraId="3F9BAFFE" w14:textId="2F9DF92C" w:rsidR="00E14EDE" w:rsidRPr="00C9711D" w:rsidRDefault="002B6202">
      <w:pPr>
        <w:spacing w:after="7590" w:line="265" w:lineRule="auto"/>
        <w:ind w:left="600" w:hanging="10"/>
        <w:rPr>
          <w:color w:val="28424E"/>
          <w:sz w:val="20"/>
          <w:lang w:val="en-US"/>
        </w:rPr>
      </w:pPr>
      <w:r w:rsidRPr="00C9711D">
        <w:rPr>
          <w:color w:val="28424E"/>
          <w:sz w:val="20"/>
          <w:lang w:val="en-US"/>
        </w:rPr>
        <w:t xml:space="preserve">Halle (Saale), </w:t>
      </w:r>
      <w:r w:rsidR="001314FA" w:rsidRPr="00C9711D">
        <w:rPr>
          <w:color w:val="28424E"/>
          <w:sz w:val="20"/>
          <w:lang w:val="en-US"/>
        </w:rPr>
        <w:t>30.07.2026</w:t>
      </w:r>
    </w:p>
    <w:p w14:paraId="52BB8701" w14:textId="77777777" w:rsidR="00E14EDE" w:rsidRPr="00C9711D" w:rsidRDefault="00E14EDE">
      <w:pPr>
        <w:spacing w:after="7590" w:line="265" w:lineRule="auto"/>
        <w:ind w:left="600" w:hanging="10"/>
        <w:rPr>
          <w:del w:id="3" w:author="Heinisch, Katja" w:date="2026-07-27T09:22:00Z" w16du:dateUtc="2026-07-27T07:22:00Z"/>
          <w:color w:val="28424E"/>
          <w:sz w:val="20"/>
          <w:lang w:val="en-US"/>
        </w:rPr>
        <w:sectPr w:rsidR="00E14EDE" w:rsidRPr="00C9711D" w:rsidSect="00AE1001">
          <w:footerReference w:type="even" r:id="rId11"/>
          <w:footerReference w:type="default" r:id="rId12"/>
          <w:headerReference w:type="first" r:id="rId13"/>
          <w:pgSz w:w="11907" w:h="16840" w:code="9"/>
          <w:pgMar w:top="1418" w:right="1134" w:bottom="1588" w:left="1134" w:header="964" w:footer="964" w:gutter="0"/>
          <w:paperSrc w:first="7" w:other="7"/>
          <w:pgNumType w:fmt="upperRoman"/>
          <w:cols w:space="567"/>
          <w:titlePg/>
          <w:docGrid w:linePitch="299"/>
        </w:sectPr>
      </w:pPr>
      <w:bookmarkStart w:id="4" w:name="X735bccc18ce8fca99275a2e59be3577ef829e36"/>
    </w:p>
    <w:p w14:paraId="398ECE5A" w14:textId="77777777" w:rsidR="001314FA" w:rsidRPr="00C9711D" w:rsidRDefault="001314FA" w:rsidP="001314FA">
      <w:pPr>
        <w:pStyle w:val="FirstParagraph"/>
        <w:rPr>
          <w:lang w:val="en-US"/>
        </w:rPr>
      </w:pPr>
      <w:r w:rsidRPr="00C9711D">
        <w:rPr>
          <w:i/>
          <w:iCs/>
          <w:lang w:val="en-US"/>
        </w:rPr>
        <w:t>Prepared under the joint GIZ–IWH research project supporting Vietnam’s energy and climate policy dialogue.</w:t>
      </w:r>
    </w:p>
    <w:p w14:paraId="368F311B" w14:textId="57988421" w:rsidR="001314FA" w:rsidRPr="00C9711D" w:rsidRDefault="001314FA" w:rsidP="001314FA">
      <w:pPr>
        <w:pStyle w:val="IWHFlietext"/>
        <w:rPr>
          <w:lang w:val="en-US"/>
        </w:rPr>
      </w:pPr>
      <w:r w:rsidRPr="00C9711D">
        <w:rPr>
          <w:b/>
          <w:bCs/>
          <w:lang w:val="en-US"/>
        </w:rPr>
        <w:t>How to use this document.</w:t>
      </w:r>
      <w:r w:rsidRPr="00C9711D">
        <w:rPr>
          <w:lang w:val="en-US"/>
        </w:rPr>
        <w:t xml:space="preserve"> This is the methodological companion to the </w:t>
      </w:r>
      <w:hyperlink r:id="rId14">
        <w:r w:rsidRPr="00C9711D">
          <w:rPr>
            <w:rStyle w:val="Hyperlink"/>
            <w:lang w:val="en-US"/>
          </w:rPr>
          <w:t>PDP8 Macroeconomic Impact Assessment</w:t>
        </w:r>
      </w:hyperlink>
      <w:r w:rsidRPr="00C9711D">
        <w:rPr>
          <w:lang w:val="en-US"/>
        </w:rPr>
        <w:t xml:space="preserve">, which presents policy findings. This report documents the model, its data foundations, its solution method, and its limitations, so that results can be reproduced, audited, and extended. It is written to convert cleanly to Word/PDF (e.g. via </w:t>
      </w:r>
      <w:r w:rsidRPr="00C9711D">
        <w:rPr>
          <w:rStyle w:val="VerbatimChar"/>
          <w:rFonts w:eastAsiaTheme="minorHAnsi"/>
          <w:lang w:val="en-US"/>
        </w:rPr>
        <w:t>pandoc</w:t>
      </w:r>
      <w:r w:rsidRPr="00C9711D">
        <w:rPr>
          <w:lang w:val="en-US"/>
        </w:rPr>
        <w:t>) for circulation as a standalone technical annex.</w:t>
      </w:r>
    </w:p>
    <w:p w14:paraId="2E5BAD8E" w14:textId="77777777" w:rsidR="001314FA" w:rsidRPr="00C9711D" w:rsidRDefault="001314FA" w:rsidP="001314FA">
      <w:pPr>
        <w:pStyle w:val="IWHFlietext"/>
        <w:rPr>
          <w:lang w:val="en-US"/>
        </w:rPr>
      </w:pPr>
      <w:r w:rsidRPr="00C9711D">
        <w:rPr>
          <w:b/>
          <w:bCs/>
          <w:lang w:val="en-US"/>
        </w:rPr>
        <w:t>Reporting conventions used in this technical report.</w:t>
      </w:r>
      <w:r w:rsidRPr="00C9711D">
        <w:rPr>
          <w:lang w:val="en-US"/>
        </w:rPr>
        <w:t xml:space="preserve"> The document follows standard technical-report practice used by international financial institutions: (i) clear separation of evidence, assumptions, and modeled outcomes; (ii) explicit statement of limitations and interpretation risks; (iii) figure-by-figure documentation using caption, note, and source; and (iv) reproducibility through direct file and script references.</w:t>
      </w:r>
    </w:p>
    <w:p w14:paraId="583B6E2D" w14:textId="1111DCAE" w:rsidR="00C70881" w:rsidRPr="00C9711D" w:rsidRDefault="00C70881">
      <w:pPr>
        <w:rPr>
          <w:lang w:val="en-US"/>
        </w:rPr>
      </w:pPr>
    </w:p>
    <w:p w14:paraId="3C8ECF23" w14:textId="77777777" w:rsidR="00AE1001" w:rsidRDefault="00AE1001">
      <w:pPr>
        <w:rPr>
          <w:lang w:val="en-US"/>
        </w:rPr>
        <w:sectPr w:rsidR="00AE1001" w:rsidSect="00AE1001">
          <w:footerReference w:type="even" r:id="rId15"/>
          <w:footerReference w:type="default" r:id="rId16"/>
          <w:pgSz w:w="11907" w:h="16840" w:code="9"/>
          <w:pgMar w:top="1418" w:right="1134" w:bottom="1588" w:left="1134" w:header="964" w:footer="964" w:gutter="0"/>
          <w:paperSrc w:first="7" w:other="7"/>
          <w:pgNumType w:fmt="upperRoman"/>
          <w:cols w:space="567"/>
          <w:docGrid w:linePitch="299"/>
        </w:sectPr>
      </w:pPr>
    </w:p>
    <w:p w14:paraId="7F370222" w14:textId="67C8C66C" w:rsidR="00E14EDE" w:rsidRPr="00C9711D" w:rsidRDefault="002B6202" w:rsidP="00752B43">
      <w:pPr>
        <w:pStyle w:val="berschrift1"/>
        <w:numPr>
          <w:ilvl w:val="0"/>
          <w:numId w:val="0"/>
        </w:numPr>
        <w:rPr>
          <w:lang w:val="en-US"/>
        </w:rPr>
      </w:pPr>
      <w:bookmarkStart w:id="6" w:name="_Toc236050637"/>
      <w:r w:rsidRPr="00C9711D">
        <w:rPr>
          <w:lang w:val="en-US"/>
        </w:rPr>
        <w:lastRenderedPageBreak/>
        <w:t>Table of Contents</w:t>
      </w:r>
      <w:bookmarkEnd w:id="6"/>
    </w:p>
    <w:p w14:paraId="33BDAD15" w14:textId="4FE9B6A1" w:rsidR="00754689" w:rsidRDefault="002B6202">
      <w:pPr>
        <w:pStyle w:val="Verzeichnis1"/>
        <w:rPr>
          <w:rFonts w:eastAsiaTheme="minorEastAsia"/>
          <w:b w:val="0"/>
          <w:kern w:val="2"/>
          <w:sz w:val="24"/>
          <w:szCs w:val="24"/>
          <w:lang w:eastAsia="de-DE"/>
          <w14:ligatures w14:val="standardContextual"/>
        </w:rPr>
      </w:pPr>
      <w:r w:rsidRPr="00C9711D">
        <w:rPr>
          <w:rFonts w:asciiTheme="majorHAnsi" w:eastAsiaTheme="majorEastAsia" w:hAnsiTheme="majorHAnsi" w:cstheme="majorBidi"/>
          <w:b w:val="0"/>
          <w:bCs/>
          <w:color w:val="1B2062" w:themeColor="accent1" w:themeShade="BF"/>
          <w:sz w:val="26"/>
          <w:szCs w:val="28"/>
          <w:lang w:val="en-US"/>
        </w:rPr>
        <w:fldChar w:fldCharType="begin"/>
      </w:r>
      <w:r w:rsidRPr="00C9711D">
        <w:rPr>
          <w:rFonts w:asciiTheme="majorHAnsi" w:eastAsiaTheme="majorEastAsia" w:hAnsiTheme="majorHAnsi" w:cstheme="majorBidi"/>
          <w:b w:val="0"/>
          <w:bCs/>
          <w:color w:val="1B2062" w:themeColor="accent1" w:themeShade="BF"/>
          <w:sz w:val="26"/>
          <w:szCs w:val="28"/>
          <w:lang w:val="en-US"/>
        </w:rPr>
        <w:instrText xml:space="preserve"> TOC \o "1-2" \u </w:instrText>
      </w:r>
      <w:r w:rsidRPr="00C9711D">
        <w:rPr>
          <w:rFonts w:asciiTheme="majorHAnsi" w:eastAsiaTheme="majorEastAsia" w:hAnsiTheme="majorHAnsi" w:cstheme="majorBidi"/>
          <w:b w:val="0"/>
          <w:bCs/>
          <w:color w:val="1B2062" w:themeColor="accent1" w:themeShade="BF"/>
          <w:sz w:val="26"/>
          <w:szCs w:val="28"/>
          <w:lang w:val="en-US"/>
        </w:rPr>
        <w:fldChar w:fldCharType="separate"/>
      </w:r>
      <w:r w:rsidR="00754689" w:rsidRPr="00F6562E">
        <w:rPr>
          <w:lang w:val="en-US"/>
        </w:rPr>
        <w:t>Table of Contents</w:t>
      </w:r>
      <w:r w:rsidR="00754689">
        <w:tab/>
      </w:r>
      <w:r w:rsidR="00754689">
        <w:fldChar w:fldCharType="begin"/>
      </w:r>
      <w:r w:rsidR="00754689">
        <w:instrText xml:space="preserve"> PAGEREF _Toc236050637 \h </w:instrText>
      </w:r>
      <w:r w:rsidR="00754689">
        <w:fldChar w:fldCharType="separate"/>
      </w:r>
      <w:r w:rsidR="00754689">
        <w:t>I</w:t>
      </w:r>
      <w:r w:rsidR="00754689">
        <w:fldChar w:fldCharType="end"/>
      </w:r>
    </w:p>
    <w:p w14:paraId="0EA5DF11" w14:textId="085FA1BE" w:rsidR="00754689" w:rsidRDefault="00754689">
      <w:pPr>
        <w:pStyle w:val="Verzeichnis1"/>
        <w:rPr>
          <w:rFonts w:eastAsiaTheme="minorEastAsia"/>
          <w:b w:val="0"/>
          <w:kern w:val="2"/>
          <w:sz w:val="24"/>
          <w:szCs w:val="24"/>
          <w:lang w:eastAsia="de-DE"/>
          <w14:ligatures w14:val="standardContextual"/>
        </w:rPr>
      </w:pPr>
      <w:r w:rsidRPr="00F6562E">
        <w:rPr>
          <w:lang w:val="en-US"/>
        </w:rPr>
        <w:t>List of Figures</w:t>
      </w:r>
      <w:r>
        <w:tab/>
      </w:r>
      <w:r>
        <w:fldChar w:fldCharType="begin"/>
      </w:r>
      <w:r>
        <w:instrText xml:space="preserve"> PAGEREF _Toc236050638 \h </w:instrText>
      </w:r>
      <w:r>
        <w:fldChar w:fldCharType="separate"/>
      </w:r>
      <w:r>
        <w:t>III</w:t>
      </w:r>
      <w:r>
        <w:fldChar w:fldCharType="end"/>
      </w:r>
    </w:p>
    <w:p w14:paraId="0C6B39E3" w14:textId="632792CE" w:rsidR="00754689" w:rsidRDefault="00754689">
      <w:pPr>
        <w:pStyle w:val="Verzeichnis1"/>
        <w:rPr>
          <w:rFonts w:eastAsiaTheme="minorEastAsia"/>
          <w:b w:val="0"/>
          <w:kern w:val="2"/>
          <w:sz w:val="24"/>
          <w:szCs w:val="24"/>
          <w:lang w:eastAsia="de-DE"/>
          <w14:ligatures w14:val="standardContextual"/>
        </w:rPr>
      </w:pPr>
      <w:r w:rsidRPr="00F6562E">
        <w:rPr>
          <w:lang w:val="en-US"/>
        </w:rPr>
        <w:t>List of Tables</w:t>
      </w:r>
      <w:r>
        <w:tab/>
      </w:r>
      <w:r>
        <w:fldChar w:fldCharType="begin"/>
      </w:r>
      <w:r>
        <w:instrText xml:space="preserve"> PAGEREF _Toc236050639 \h </w:instrText>
      </w:r>
      <w:r>
        <w:fldChar w:fldCharType="separate"/>
      </w:r>
      <w:r>
        <w:t>III</w:t>
      </w:r>
      <w:r>
        <w:fldChar w:fldCharType="end"/>
      </w:r>
    </w:p>
    <w:p w14:paraId="0898817A" w14:textId="7A6D07E4" w:rsidR="00754689" w:rsidRDefault="00754689">
      <w:pPr>
        <w:pStyle w:val="Verzeichnis1"/>
        <w:rPr>
          <w:rFonts w:eastAsiaTheme="minorEastAsia"/>
          <w:b w:val="0"/>
          <w:kern w:val="2"/>
          <w:sz w:val="24"/>
          <w:szCs w:val="24"/>
          <w:lang w:eastAsia="de-DE"/>
          <w14:ligatures w14:val="standardContextual"/>
        </w:rPr>
      </w:pPr>
      <w:r w:rsidRPr="00F6562E">
        <w:rPr>
          <w:lang w:val="en-US"/>
        </w:rPr>
        <w:t>Abbreviations</w:t>
      </w:r>
      <w:r>
        <w:tab/>
      </w:r>
      <w:r>
        <w:fldChar w:fldCharType="begin"/>
      </w:r>
      <w:r>
        <w:instrText xml:space="preserve"> PAGEREF _Toc236050640 \h </w:instrText>
      </w:r>
      <w:r>
        <w:fldChar w:fldCharType="separate"/>
      </w:r>
      <w:r>
        <w:t>IV</w:t>
      </w:r>
      <w:r>
        <w:fldChar w:fldCharType="end"/>
      </w:r>
    </w:p>
    <w:p w14:paraId="5DABC7C9" w14:textId="50080BAE" w:rsidR="00754689" w:rsidRDefault="00754689">
      <w:pPr>
        <w:pStyle w:val="Verzeichnis1"/>
        <w:rPr>
          <w:rFonts w:eastAsiaTheme="minorEastAsia"/>
          <w:b w:val="0"/>
          <w:kern w:val="2"/>
          <w:sz w:val="24"/>
          <w:szCs w:val="24"/>
          <w:lang w:eastAsia="de-DE"/>
          <w14:ligatures w14:val="standardContextual"/>
        </w:rPr>
      </w:pPr>
      <w:r w:rsidRPr="00F6562E">
        <w:rPr>
          <w:lang w:val="en-US"/>
        </w:rPr>
        <w:t>Executive Summary</w:t>
      </w:r>
      <w:r>
        <w:tab/>
      </w:r>
      <w:r>
        <w:fldChar w:fldCharType="begin"/>
      </w:r>
      <w:r>
        <w:instrText xml:space="preserve"> PAGEREF _Toc236050641 \h </w:instrText>
      </w:r>
      <w:r>
        <w:fldChar w:fldCharType="separate"/>
      </w:r>
      <w:r>
        <w:t>V</w:t>
      </w:r>
      <w:r>
        <w:fldChar w:fldCharType="end"/>
      </w:r>
    </w:p>
    <w:p w14:paraId="221C5924" w14:textId="3BD054E3" w:rsidR="00754689" w:rsidRDefault="00754689">
      <w:pPr>
        <w:pStyle w:val="Verzeichnis1"/>
        <w:rPr>
          <w:rFonts w:eastAsiaTheme="minorEastAsia"/>
          <w:b w:val="0"/>
          <w:kern w:val="2"/>
          <w:sz w:val="24"/>
          <w:szCs w:val="24"/>
          <w:lang w:eastAsia="de-DE"/>
          <w14:ligatures w14:val="standardContextual"/>
        </w:rPr>
      </w:pPr>
      <w:r w:rsidRPr="00F6562E">
        <w:rPr>
          <w:lang w:val="en-US"/>
        </w:rPr>
        <w:t>1</w:t>
      </w:r>
      <w:r>
        <w:rPr>
          <w:rFonts w:eastAsiaTheme="minorEastAsia"/>
          <w:b w:val="0"/>
          <w:kern w:val="2"/>
          <w:sz w:val="24"/>
          <w:szCs w:val="24"/>
          <w:lang w:eastAsia="de-DE"/>
          <w14:ligatures w14:val="standardContextual"/>
        </w:rPr>
        <w:tab/>
      </w:r>
      <w:r w:rsidRPr="00F6562E">
        <w:rPr>
          <w:lang w:val="en-US"/>
        </w:rPr>
        <w:t>Introduction and Motivation</w:t>
      </w:r>
      <w:r>
        <w:tab/>
      </w:r>
      <w:r>
        <w:fldChar w:fldCharType="begin"/>
      </w:r>
      <w:r>
        <w:instrText xml:space="preserve"> PAGEREF _Toc236050642 \h </w:instrText>
      </w:r>
      <w:r>
        <w:fldChar w:fldCharType="separate"/>
      </w:r>
      <w:r>
        <w:t>1</w:t>
      </w:r>
      <w:r>
        <w:fldChar w:fldCharType="end"/>
      </w:r>
    </w:p>
    <w:p w14:paraId="34947BDE" w14:textId="5D5EE1E6" w:rsidR="00754689" w:rsidRDefault="00754689">
      <w:pPr>
        <w:pStyle w:val="Verzeichnis2"/>
        <w:rPr>
          <w:rFonts w:eastAsiaTheme="minorEastAsia"/>
          <w:noProof/>
          <w:kern w:val="2"/>
          <w:sz w:val="24"/>
          <w:szCs w:val="24"/>
          <w:lang w:eastAsia="de-DE"/>
          <w14:ligatures w14:val="standardContextual"/>
        </w:rPr>
      </w:pPr>
      <w:r w:rsidRPr="00F6562E">
        <w:rPr>
          <w:noProof/>
          <w:lang w:val="en-US"/>
        </w:rPr>
        <w:t>1.1</w:t>
      </w:r>
      <w:r>
        <w:rPr>
          <w:rFonts w:eastAsiaTheme="minorEastAsia"/>
          <w:noProof/>
          <w:kern w:val="2"/>
          <w:sz w:val="24"/>
          <w:szCs w:val="24"/>
          <w:lang w:eastAsia="de-DE"/>
          <w14:ligatures w14:val="standardContextual"/>
        </w:rPr>
        <w:tab/>
      </w:r>
      <w:r w:rsidRPr="00F6562E">
        <w:rPr>
          <w:noProof/>
          <w:lang w:val="en-US"/>
        </w:rPr>
        <w:t>The Policy Motivation</w:t>
      </w:r>
      <w:r>
        <w:rPr>
          <w:noProof/>
        </w:rPr>
        <w:tab/>
      </w:r>
      <w:r>
        <w:rPr>
          <w:noProof/>
        </w:rPr>
        <w:fldChar w:fldCharType="begin"/>
      </w:r>
      <w:r>
        <w:rPr>
          <w:noProof/>
        </w:rPr>
        <w:instrText xml:space="preserve"> PAGEREF _Toc236050643 \h </w:instrText>
      </w:r>
      <w:r>
        <w:rPr>
          <w:noProof/>
        </w:rPr>
      </w:r>
      <w:r>
        <w:rPr>
          <w:noProof/>
        </w:rPr>
        <w:fldChar w:fldCharType="separate"/>
      </w:r>
      <w:r>
        <w:rPr>
          <w:noProof/>
        </w:rPr>
        <w:t>1</w:t>
      </w:r>
      <w:r>
        <w:rPr>
          <w:noProof/>
        </w:rPr>
        <w:fldChar w:fldCharType="end"/>
      </w:r>
    </w:p>
    <w:p w14:paraId="3F60B98F" w14:textId="3E974BB7" w:rsidR="00754689" w:rsidRDefault="00754689">
      <w:pPr>
        <w:pStyle w:val="Verzeichnis2"/>
        <w:rPr>
          <w:rFonts w:eastAsiaTheme="minorEastAsia"/>
          <w:noProof/>
          <w:kern w:val="2"/>
          <w:sz w:val="24"/>
          <w:szCs w:val="24"/>
          <w:lang w:eastAsia="de-DE"/>
          <w14:ligatures w14:val="standardContextual"/>
        </w:rPr>
      </w:pPr>
      <w:r w:rsidRPr="00F6562E">
        <w:rPr>
          <w:noProof/>
          <w:lang w:val="en-US"/>
        </w:rPr>
        <w:t>1.2</w:t>
      </w:r>
      <w:r>
        <w:rPr>
          <w:rFonts w:eastAsiaTheme="minorEastAsia"/>
          <w:noProof/>
          <w:kern w:val="2"/>
          <w:sz w:val="24"/>
          <w:szCs w:val="24"/>
          <w:lang w:eastAsia="de-DE"/>
          <w14:ligatures w14:val="standardContextual"/>
        </w:rPr>
        <w:tab/>
      </w:r>
      <w:r w:rsidRPr="00F6562E">
        <w:rPr>
          <w:noProof/>
          <w:lang w:val="en-US"/>
        </w:rPr>
        <w:t>Scope of the Model</w:t>
      </w:r>
      <w:r>
        <w:rPr>
          <w:noProof/>
        </w:rPr>
        <w:tab/>
      </w:r>
      <w:r>
        <w:rPr>
          <w:noProof/>
        </w:rPr>
        <w:fldChar w:fldCharType="begin"/>
      </w:r>
      <w:r>
        <w:rPr>
          <w:noProof/>
        </w:rPr>
        <w:instrText xml:space="preserve"> PAGEREF _Toc236050644 \h </w:instrText>
      </w:r>
      <w:r>
        <w:rPr>
          <w:noProof/>
        </w:rPr>
      </w:r>
      <w:r>
        <w:rPr>
          <w:noProof/>
        </w:rPr>
        <w:fldChar w:fldCharType="separate"/>
      </w:r>
      <w:r>
        <w:rPr>
          <w:noProof/>
        </w:rPr>
        <w:t>2</w:t>
      </w:r>
      <w:r>
        <w:rPr>
          <w:noProof/>
        </w:rPr>
        <w:fldChar w:fldCharType="end"/>
      </w:r>
    </w:p>
    <w:p w14:paraId="7CBB687B" w14:textId="3C92ABA1" w:rsidR="00754689" w:rsidRDefault="00754689">
      <w:pPr>
        <w:pStyle w:val="Verzeichnis1"/>
        <w:rPr>
          <w:rFonts w:eastAsiaTheme="minorEastAsia"/>
          <w:b w:val="0"/>
          <w:kern w:val="2"/>
          <w:sz w:val="24"/>
          <w:szCs w:val="24"/>
          <w:lang w:eastAsia="de-DE"/>
          <w14:ligatures w14:val="standardContextual"/>
        </w:rPr>
      </w:pPr>
      <w:r w:rsidRPr="00F6562E">
        <w:rPr>
          <w:lang w:val="en-US"/>
        </w:rPr>
        <w:t>2</w:t>
      </w:r>
      <w:r>
        <w:rPr>
          <w:rFonts w:eastAsiaTheme="minorEastAsia"/>
          <w:b w:val="0"/>
          <w:kern w:val="2"/>
          <w:sz w:val="24"/>
          <w:szCs w:val="24"/>
          <w:lang w:eastAsia="de-DE"/>
          <w14:ligatures w14:val="standardContextual"/>
        </w:rPr>
        <w:tab/>
      </w:r>
      <w:r w:rsidRPr="00F6562E">
        <w:rPr>
          <w:lang w:val="en-US"/>
        </w:rPr>
        <w:t>Model Structure</w:t>
      </w:r>
      <w:r>
        <w:tab/>
      </w:r>
      <w:r>
        <w:fldChar w:fldCharType="begin"/>
      </w:r>
      <w:r>
        <w:instrText xml:space="preserve"> PAGEREF _Toc236050645 \h </w:instrText>
      </w:r>
      <w:r>
        <w:fldChar w:fldCharType="separate"/>
      </w:r>
      <w:r>
        <w:t>3</w:t>
      </w:r>
      <w:r>
        <w:fldChar w:fldCharType="end"/>
      </w:r>
    </w:p>
    <w:p w14:paraId="3CA4261A" w14:textId="60566555" w:rsidR="00754689" w:rsidRDefault="00754689">
      <w:pPr>
        <w:pStyle w:val="Verzeichnis2"/>
        <w:rPr>
          <w:rFonts w:eastAsiaTheme="minorEastAsia"/>
          <w:noProof/>
          <w:kern w:val="2"/>
          <w:sz w:val="24"/>
          <w:szCs w:val="24"/>
          <w:lang w:eastAsia="de-DE"/>
          <w14:ligatures w14:val="standardContextual"/>
        </w:rPr>
      </w:pPr>
      <w:r w:rsidRPr="00F6562E">
        <w:rPr>
          <w:noProof/>
          <w:lang w:val="en-US"/>
        </w:rPr>
        <w:t>2.1</w:t>
      </w:r>
      <w:r>
        <w:rPr>
          <w:rFonts w:eastAsiaTheme="minorEastAsia"/>
          <w:noProof/>
          <w:kern w:val="2"/>
          <w:sz w:val="24"/>
          <w:szCs w:val="24"/>
          <w:lang w:eastAsia="de-DE"/>
          <w14:ligatures w14:val="standardContextual"/>
        </w:rPr>
        <w:tab/>
      </w:r>
      <w:r w:rsidRPr="00F6562E">
        <w:rPr>
          <w:noProof/>
          <w:lang w:val="en-US"/>
        </w:rPr>
        <w:t>Sectors</w:t>
      </w:r>
      <w:r>
        <w:rPr>
          <w:noProof/>
        </w:rPr>
        <w:tab/>
      </w:r>
      <w:r>
        <w:rPr>
          <w:noProof/>
        </w:rPr>
        <w:fldChar w:fldCharType="begin"/>
      </w:r>
      <w:r>
        <w:rPr>
          <w:noProof/>
        </w:rPr>
        <w:instrText xml:space="preserve"> PAGEREF _Toc236050646 \h </w:instrText>
      </w:r>
      <w:r>
        <w:rPr>
          <w:noProof/>
        </w:rPr>
      </w:r>
      <w:r>
        <w:rPr>
          <w:noProof/>
        </w:rPr>
        <w:fldChar w:fldCharType="separate"/>
      </w:r>
      <w:r>
        <w:rPr>
          <w:noProof/>
        </w:rPr>
        <w:t>3</w:t>
      </w:r>
      <w:r>
        <w:rPr>
          <w:noProof/>
        </w:rPr>
        <w:fldChar w:fldCharType="end"/>
      </w:r>
    </w:p>
    <w:p w14:paraId="0056912F" w14:textId="0B769D78" w:rsidR="00754689" w:rsidRDefault="00754689">
      <w:pPr>
        <w:pStyle w:val="Verzeichnis2"/>
        <w:rPr>
          <w:rFonts w:eastAsiaTheme="minorEastAsia"/>
          <w:noProof/>
          <w:kern w:val="2"/>
          <w:sz w:val="24"/>
          <w:szCs w:val="24"/>
          <w:lang w:eastAsia="de-DE"/>
          <w14:ligatures w14:val="standardContextual"/>
        </w:rPr>
      </w:pPr>
      <w:r w:rsidRPr="00F6562E">
        <w:rPr>
          <w:noProof/>
          <w:lang w:val="en-US"/>
        </w:rPr>
        <w:t>2.2</w:t>
      </w:r>
      <w:r>
        <w:rPr>
          <w:rFonts w:eastAsiaTheme="minorEastAsia"/>
          <w:noProof/>
          <w:kern w:val="2"/>
          <w:sz w:val="24"/>
          <w:szCs w:val="24"/>
          <w:lang w:eastAsia="de-DE"/>
          <w14:ligatures w14:val="standardContextual"/>
        </w:rPr>
        <w:tab/>
      </w:r>
      <w:r w:rsidRPr="00F6562E">
        <w:rPr>
          <w:noProof/>
          <w:lang w:val="en-US"/>
        </w:rPr>
        <w:t>Representative Household</w:t>
      </w:r>
      <w:r>
        <w:rPr>
          <w:noProof/>
        </w:rPr>
        <w:tab/>
      </w:r>
      <w:r>
        <w:rPr>
          <w:noProof/>
        </w:rPr>
        <w:fldChar w:fldCharType="begin"/>
      </w:r>
      <w:r>
        <w:rPr>
          <w:noProof/>
        </w:rPr>
        <w:instrText xml:space="preserve"> PAGEREF _Toc236050647 \h </w:instrText>
      </w:r>
      <w:r>
        <w:rPr>
          <w:noProof/>
        </w:rPr>
      </w:r>
      <w:r>
        <w:rPr>
          <w:noProof/>
        </w:rPr>
        <w:fldChar w:fldCharType="separate"/>
      </w:r>
      <w:r>
        <w:rPr>
          <w:noProof/>
        </w:rPr>
        <w:t>4</w:t>
      </w:r>
      <w:r>
        <w:rPr>
          <w:noProof/>
        </w:rPr>
        <w:fldChar w:fldCharType="end"/>
      </w:r>
    </w:p>
    <w:p w14:paraId="140C7478" w14:textId="3AA08089" w:rsidR="00754689" w:rsidRDefault="00754689">
      <w:pPr>
        <w:pStyle w:val="Verzeichnis2"/>
        <w:rPr>
          <w:rFonts w:eastAsiaTheme="minorEastAsia"/>
          <w:noProof/>
          <w:kern w:val="2"/>
          <w:sz w:val="24"/>
          <w:szCs w:val="24"/>
          <w:lang w:eastAsia="de-DE"/>
          <w14:ligatures w14:val="standardContextual"/>
        </w:rPr>
      </w:pPr>
      <w:r w:rsidRPr="00F6562E">
        <w:rPr>
          <w:noProof/>
          <w:lang w:val="en-US"/>
        </w:rPr>
        <w:t>2.3</w:t>
      </w:r>
      <w:r>
        <w:rPr>
          <w:rFonts w:eastAsiaTheme="minorEastAsia"/>
          <w:noProof/>
          <w:kern w:val="2"/>
          <w:sz w:val="24"/>
          <w:szCs w:val="24"/>
          <w:lang w:eastAsia="de-DE"/>
          <w14:ligatures w14:val="standardContextual"/>
        </w:rPr>
        <w:tab/>
      </w:r>
      <w:r w:rsidRPr="00F6562E">
        <w:rPr>
          <w:noProof/>
          <w:lang w:val="en-US"/>
        </w:rPr>
        <w:t>Firms and production structure</w:t>
      </w:r>
      <w:r>
        <w:rPr>
          <w:noProof/>
        </w:rPr>
        <w:tab/>
      </w:r>
      <w:r>
        <w:rPr>
          <w:noProof/>
        </w:rPr>
        <w:fldChar w:fldCharType="begin"/>
      </w:r>
      <w:r>
        <w:rPr>
          <w:noProof/>
        </w:rPr>
        <w:instrText xml:space="preserve"> PAGEREF _Toc236050648 \h </w:instrText>
      </w:r>
      <w:r>
        <w:rPr>
          <w:noProof/>
        </w:rPr>
      </w:r>
      <w:r>
        <w:rPr>
          <w:noProof/>
        </w:rPr>
        <w:fldChar w:fldCharType="separate"/>
      </w:r>
      <w:r>
        <w:rPr>
          <w:noProof/>
        </w:rPr>
        <w:t>5</w:t>
      </w:r>
      <w:r>
        <w:rPr>
          <w:noProof/>
        </w:rPr>
        <w:fldChar w:fldCharType="end"/>
      </w:r>
    </w:p>
    <w:p w14:paraId="3CDCE282" w14:textId="712EEF57" w:rsidR="00754689" w:rsidRDefault="00754689">
      <w:pPr>
        <w:pStyle w:val="Verzeichnis2"/>
        <w:rPr>
          <w:rFonts w:eastAsiaTheme="minorEastAsia"/>
          <w:noProof/>
          <w:kern w:val="2"/>
          <w:sz w:val="24"/>
          <w:szCs w:val="24"/>
          <w:lang w:eastAsia="de-DE"/>
          <w14:ligatures w14:val="standardContextual"/>
        </w:rPr>
      </w:pPr>
      <w:r w:rsidRPr="00F6562E">
        <w:rPr>
          <w:noProof/>
          <w:lang w:val="en-US"/>
        </w:rPr>
        <w:t>2.4</w:t>
      </w:r>
      <w:r>
        <w:rPr>
          <w:rFonts w:eastAsiaTheme="minorEastAsia"/>
          <w:noProof/>
          <w:kern w:val="2"/>
          <w:sz w:val="24"/>
          <w:szCs w:val="24"/>
          <w:lang w:eastAsia="de-DE"/>
          <w14:ligatures w14:val="standardContextual"/>
        </w:rPr>
        <w:tab/>
      </w:r>
      <w:r w:rsidRPr="00F6562E">
        <w:rPr>
          <w:noProof/>
          <w:lang w:val="en-US"/>
        </w:rPr>
        <w:t>Wholesale, Retail, and Export Sectors</w:t>
      </w:r>
      <w:r>
        <w:rPr>
          <w:noProof/>
        </w:rPr>
        <w:tab/>
      </w:r>
      <w:r>
        <w:rPr>
          <w:noProof/>
        </w:rPr>
        <w:fldChar w:fldCharType="begin"/>
      </w:r>
      <w:r>
        <w:rPr>
          <w:noProof/>
        </w:rPr>
        <w:instrText xml:space="preserve"> PAGEREF _Toc236050649 \h </w:instrText>
      </w:r>
      <w:r>
        <w:rPr>
          <w:noProof/>
        </w:rPr>
      </w:r>
      <w:r>
        <w:rPr>
          <w:noProof/>
        </w:rPr>
        <w:fldChar w:fldCharType="separate"/>
      </w:r>
      <w:r>
        <w:rPr>
          <w:noProof/>
        </w:rPr>
        <w:t>5</w:t>
      </w:r>
      <w:r>
        <w:rPr>
          <w:noProof/>
        </w:rPr>
        <w:fldChar w:fldCharType="end"/>
      </w:r>
    </w:p>
    <w:p w14:paraId="00EA5EF1" w14:textId="263283B9" w:rsidR="00754689" w:rsidRDefault="00754689">
      <w:pPr>
        <w:pStyle w:val="Verzeichnis2"/>
        <w:rPr>
          <w:rFonts w:eastAsiaTheme="minorEastAsia"/>
          <w:noProof/>
          <w:kern w:val="2"/>
          <w:sz w:val="24"/>
          <w:szCs w:val="24"/>
          <w:lang w:eastAsia="de-DE"/>
          <w14:ligatures w14:val="standardContextual"/>
        </w:rPr>
      </w:pPr>
      <w:r w:rsidRPr="00F6562E">
        <w:rPr>
          <w:noProof/>
          <w:lang w:val="en-US"/>
        </w:rPr>
        <w:t>2.5</w:t>
      </w:r>
      <w:r>
        <w:rPr>
          <w:rFonts w:eastAsiaTheme="minorEastAsia"/>
          <w:noProof/>
          <w:kern w:val="2"/>
          <w:sz w:val="24"/>
          <w:szCs w:val="24"/>
          <w:lang w:eastAsia="de-DE"/>
          <w14:ligatures w14:val="standardContextual"/>
        </w:rPr>
        <w:tab/>
      </w:r>
      <w:r w:rsidRPr="00F6562E">
        <w:rPr>
          <w:noProof/>
          <w:lang w:val="en-US"/>
        </w:rPr>
        <w:t>Government and the Emissions Trading System</w:t>
      </w:r>
      <w:r>
        <w:rPr>
          <w:noProof/>
        </w:rPr>
        <w:tab/>
      </w:r>
      <w:r>
        <w:rPr>
          <w:noProof/>
        </w:rPr>
        <w:fldChar w:fldCharType="begin"/>
      </w:r>
      <w:r>
        <w:rPr>
          <w:noProof/>
        </w:rPr>
        <w:instrText xml:space="preserve"> PAGEREF _Toc236050650 \h </w:instrText>
      </w:r>
      <w:r>
        <w:rPr>
          <w:noProof/>
        </w:rPr>
      </w:r>
      <w:r>
        <w:rPr>
          <w:noProof/>
        </w:rPr>
        <w:fldChar w:fldCharType="separate"/>
      </w:r>
      <w:r>
        <w:rPr>
          <w:noProof/>
        </w:rPr>
        <w:t>6</w:t>
      </w:r>
      <w:r>
        <w:rPr>
          <w:noProof/>
        </w:rPr>
        <w:fldChar w:fldCharType="end"/>
      </w:r>
    </w:p>
    <w:p w14:paraId="3A48F4B4" w14:textId="02ECCC52" w:rsidR="00754689" w:rsidRDefault="00754689">
      <w:pPr>
        <w:pStyle w:val="Verzeichnis2"/>
        <w:rPr>
          <w:rFonts w:eastAsiaTheme="minorEastAsia"/>
          <w:noProof/>
          <w:kern w:val="2"/>
          <w:sz w:val="24"/>
          <w:szCs w:val="24"/>
          <w:lang w:eastAsia="de-DE"/>
          <w14:ligatures w14:val="standardContextual"/>
        </w:rPr>
      </w:pPr>
      <w:r w:rsidRPr="00F6562E">
        <w:rPr>
          <w:noProof/>
          <w:lang w:val="en-US"/>
        </w:rPr>
        <w:t>2.6</w:t>
      </w:r>
      <w:r>
        <w:rPr>
          <w:rFonts w:eastAsiaTheme="minorEastAsia"/>
          <w:noProof/>
          <w:kern w:val="2"/>
          <w:sz w:val="24"/>
          <w:szCs w:val="24"/>
          <w:lang w:eastAsia="de-DE"/>
          <w14:ligatures w14:val="standardContextual"/>
        </w:rPr>
        <w:tab/>
      </w:r>
      <w:r w:rsidRPr="00F6562E">
        <w:rPr>
          <w:noProof/>
          <w:lang w:val="en-US"/>
        </w:rPr>
        <w:t>Key extensions beyond a textbook DGE model</w:t>
      </w:r>
      <w:r>
        <w:rPr>
          <w:noProof/>
        </w:rPr>
        <w:tab/>
      </w:r>
      <w:r>
        <w:rPr>
          <w:noProof/>
        </w:rPr>
        <w:fldChar w:fldCharType="begin"/>
      </w:r>
      <w:r>
        <w:rPr>
          <w:noProof/>
        </w:rPr>
        <w:instrText xml:space="preserve"> PAGEREF _Toc236050651 \h </w:instrText>
      </w:r>
      <w:r>
        <w:rPr>
          <w:noProof/>
        </w:rPr>
      </w:r>
      <w:r>
        <w:rPr>
          <w:noProof/>
        </w:rPr>
        <w:fldChar w:fldCharType="separate"/>
      </w:r>
      <w:r>
        <w:rPr>
          <w:noProof/>
        </w:rPr>
        <w:t>7</w:t>
      </w:r>
      <w:r>
        <w:rPr>
          <w:noProof/>
        </w:rPr>
        <w:fldChar w:fldCharType="end"/>
      </w:r>
    </w:p>
    <w:p w14:paraId="1BE07D3A" w14:textId="7C608A71" w:rsidR="00754689" w:rsidRDefault="00754689">
      <w:pPr>
        <w:pStyle w:val="Verzeichnis2"/>
        <w:rPr>
          <w:rFonts w:eastAsiaTheme="minorEastAsia"/>
          <w:noProof/>
          <w:kern w:val="2"/>
          <w:sz w:val="24"/>
          <w:szCs w:val="24"/>
          <w:lang w:eastAsia="de-DE"/>
          <w14:ligatures w14:val="standardContextual"/>
        </w:rPr>
      </w:pPr>
      <w:r w:rsidRPr="00F6562E">
        <w:rPr>
          <w:noProof/>
          <w:lang w:val="en-US"/>
        </w:rPr>
        <w:t>2.7</w:t>
      </w:r>
      <w:r>
        <w:rPr>
          <w:rFonts w:eastAsiaTheme="minorEastAsia"/>
          <w:noProof/>
          <w:kern w:val="2"/>
          <w:sz w:val="24"/>
          <w:szCs w:val="24"/>
          <w:lang w:eastAsia="de-DE"/>
          <w14:ligatures w14:val="standardContextual"/>
        </w:rPr>
        <w:tab/>
      </w:r>
      <w:r w:rsidRPr="00F6562E">
        <w:rPr>
          <w:noProof/>
          <w:lang w:val="en-US"/>
        </w:rPr>
        <w:t>External sector</w:t>
      </w:r>
      <w:r>
        <w:rPr>
          <w:noProof/>
        </w:rPr>
        <w:tab/>
      </w:r>
      <w:r>
        <w:rPr>
          <w:noProof/>
        </w:rPr>
        <w:fldChar w:fldCharType="begin"/>
      </w:r>
      <w:r>
        <w:rPr>
          <w:noProof/>
        </w:rPr>
        <w:instrText xml:space="preserve"> PAGEREF _Toc236050652 \h </w:instrText>
      </w:r>
      <w:r>
        <w:rPr>
          <w:noProof/>
        </w:rPr>
      </w:r>
      <w:r>
        <w:rPr>
          <w:noProof/>
        </w:rPr>
        <w:fldChar w:fldCharType="separate"/>
      </w:r>
      <w:r>
        <w:rPr>
          <w:noProof/>
        </w:rPr>
        <w:t>7</w:t>
      </w:r>
      <w:r>
        <w:rPr>
          <w:noProof/>
        </w:rPr>
        <w:fldChar w:fldCharType="end"/>
      </w:r>
    </w:p>
    <w:p w14:paraId="0E30E53A" w14:textId="493BA680" w:rsidR="00754689" w:rsidRDefault="00754689">
      <w:pPr>
        <w:pStyle w:val="Verzeichnis1"/>
        <w:rPr>
          <w:rFonts w:eastAsiaTheme="minorEastAsia"/>
          <w:b w:val="0"/>
          <w:kern w:val="2"/>
          <w:sz w:val="24"/>
          <w:szCs w:val="24"/>
          <w:lang w:eastAsia="de-DE"/>
          <w14:ligatures w14:val="standardContextual"/>
        </w:rPr>
      </w:pPr>
      <w:r w:rsidRPr="00F6562E">
        <w:rPr>
          <w:lang w:val="en-US"/>
        </w:rPr>
        <w:t>3</w:t>
      </w:r>
      <w:r>
        <w:rPr>
          <w:rFonts w:eastAsiaTheme="minorEastAsia"/>
          <w:b w:val="0"/>
          <w:kern w:val="2"/>
          <w:sz w:val="24"/>
          <w:szCs w:val="24"/>
          <w:lang w:eastAsia="de-DE"/>
          <w14:ligatures w14:val="standardContextual"/>
        </w:rPr>
        <w:tab/>
      </w:r>
      <w:r w:rsidRPr="00F6562E">
        <w:rPr>
          <w:lang w:val="en-US"/>
        </w:rPr>
        <w:t>Data and Calibration</w:t>
      </w:r>
      <w:r>
        <w:tab/>
      </w:r>
      <w:r>
        <w:fldChar w:fldCharType="begin"/>
      </w:r>
      <w:r>
        <w:instrText xml:space="preserve"> PAGEREF _Toc236050653 \h </w:instrText>
      </w:r>
      <w:r>
        <w:fldChar w:fldCharType="separate"/>
      </w:r>
      <w:r>
        <w:t>8</w:t>
      </w:r>
      <w:r>
        <w:fldChar w:fldCharType="end"/>
      </w:r>
    </w:p>
    <w:p w14:paraId="04D69CAB" w14:textId="1D0A99DB" w:rsidR="00754689" w:rsidRDefault="00754689">
      <w:pPr>
        <w:pStyle w:val="Verzeichnis2"/>
        <w:rPr>
          <w:rFonts w:eastAsiaTheme="minorEastAsia"/>
          <w:noProof/>
          <w:kern w:val="2"/>
          <w:sz w:val="24"/>
          <w:szCs w:val="24"/>
          <w:lang w:eastAsia="de-DE"/>
          <w14:ligatures w14:val="standardContextual"/>
        </w:rPr>
      </w:pPr>
      <w:r w:rsidRPr="00F6562E">
        <w:rPr>
          <w:noProof/>
          <w:lang w:val="en-US"/>
        </w:rPr>
        <w:t>3.1</w:t>
      </w:r>
      <w:r>
        <w:rPr>
          <w:rFonts w:eastAsiaTheme="minorEastAsia"/>
          <w:noProof/>
          <w:kern w:val="2"/>
          <w:sz w:val="24"/>
          <w:szCs w:val="24"/>
          <w:lang w:eastAsia="de-DE"/>
          <w14:ligatures w14:val="standardContextual"/>
        </w:rPr>
        <w:tab/>
      </w:r>
      <w:r w:rsidRPr="00F6562E">
        <w:rPr>
          <w:noProof/>
          <w:lang w:val="en-US"/>
        </w:rPr>
        <w:t>Data sources</w:t>
      </w:r>
      <w:r>
        <w:rPr>
          <w:noProof/>
        </w:rPr>
        <w:tab/>
      </w:r>
      <w:r>
        <w:rPr>
          <w:noProof/>
        </w:rPr>
        <w:fldChar w:fldCharType="begin"/>
      </w:r>
      <w:r>
        <w:rPr>
          <w:noProof/>
        </w:rPr>
        <w:instrText xml:space="preserve"> PAGEREF _Toc236050654 \h </w:instrText>
      </w:r>
      <w:r>
        <w:rPr>
          <w:noProof/>
        </w:rPr>
      </w:r>
      <w:r>
        <w:rPr>
          <w:noProof/>
        </w:rPr>
        <w:fldChar w:fldCharType="separate"/>
      </w:r>
      <w:r>
        <w:rPr>
          <w:noProof/>
        </w:rPr>
        <w:t>8</w:t>
      </w:r>
      <w:r>
        <w:rPr>
          <w:noProof/>
        </w:rPr>
        <w:fldChar w:fldCharType="end"/>
      </w:r>
    </w:p>
    <w:p w14:paraId="3845013F" w14:textId="02F30493" w:rsidR="00754689" w:rsidRDefault="00754689">
      <w:pPr>
        <w:pStyle w:val="Verzeichnis2"/>
        <w:rPr>
          <w:rFonts w:eastAsiaTheme="minorEastAsia"/>
          <w:noProof/>
          <w:kern w:val="2"/>
          <w:sz w:val="24"/>
          <w:szCs w:val="24"/>
          <w:lang w:eastAsia="de-DE"/>
          <w14:ligatures w14:val="standardContextual"/>
        </w:rPr>
      </w:pPr>
      <w:r w:rsidRPr="00F6562E">
        <w:rPr>
          <w:noProof/>
          <w:lang w:val="en-US"/>
        </w:rPr>
        <w:t>3.2</w:t>
      </w:r>
      <w:r>
        <w:rPr>
          <w:rFonts w:eastAsiaTheme="minorEastAsia"/>
          <w:noProof/>
          <w:kern w:val="2"/>
          <w:sz w:val="24"/>
          <w:szCs w:val="24"/>
          <w:lang w:eastAsia="de-DE"/>
          <w14:ligatures w14:val="standardContextual"/>
        </w:rPr>
        <w:tab/>
      </w:r>
      <w:r w:rsidRPr="00F6562E">
        <w:rPr>
          <w:noProof/>
          <w:lang w:val="en-US"/>
        </w:rPr>
        <w:t>Calibration workflow</w:t>
      </w:r>
      <w:r>
        <w:rPr>
          <w:noProof/>
        </w:rPr>
        <w:tab/>
      </w:r>
      <w:r>
        <w:rPr>
          <w:noProof/>
        </w:rPr>
        <w:fldChar w:fldCharType="begin"/>
      </w:r>
      <w:r>
        <w:rPr>
          <w:noProof/>
        </w:rPr>
        <w:instrText xml:space="preserve"> PAGEREF _Toc236050655 \h </w:instrText>
      </w:r>
      <w:r>
        <w:rPr>
          <w:noProof/>
        </w:rPr>
      </w:r>
      <w:r>
        <w:rPr>
          <w:noProof/>
        </w:rPr>
        <w:fldChar w:fldCharType="separate"/>
      </w:r>
      <w:r>
        <w:rPr>
          <w:noProof/>
        </w:rPr>
        <w:t>10</w:t>
      </w:r>
      <w:r>
        <w:rPr>
          <w:noProof/>
        </w:rPr>
        <w:fldChar w:fldCharType="end"/>
      </w:r>
    </w:p>
    <w:p w14:paraId="4A4D9F69" w14:textId="570A49D0" w:rsidR="00754689" w:rsidRDefault="00754689">
      <w:pPr>
        <w:pStyle w:val="Verzeichnis2"/>
        <w:rPr>
          <w:rFonts w:eastAsiaTheme="minorEastAsia"/>
          <w:noProof/>
          <w:kern w:val="2"/>
          <w:sz w:val="24"/>
          <w:szCs w:val="24"/>
          <w:lang w:eastAsia="de-DE"/>
          <w14:ligatures w14:val="standardContextual"/>
        </w:rPr>
      </w:pPr>
      <w:r w:rsidRPr="00F6562E">
        <w:rPr>
          <w:noProof/>
          <w:lang w:val="en-US"/>
        </w:rPr>
        <w:t>3.3</w:t>
      </w:r>
      <w:r>
        <w:rPr>
          <w:rFonts w:eastAsiaTheme="minorEastAsia"/>
          <w:noProof/>
          <w:kern w:val="2"/>
          <w:sz w:val="24"/>
          <w:szCs w:val="24"/>
          <w:lang w:eastAsia="de-DE"/>
          <w14:ligatures w14:val="standardContextual"/>
        </w:rPr>
        <w:tab/>
      </w:r>
      <w:r w:rsidRPr="00F6562E">
        <w:rPr>
          <w:noProof/>
          <w:lang w:val="en-US"/>
        </w:rPr>
        <w:t>Calibration Consistency</w:t>
      </w:r>
      <w:r>
        <w:rPr>
          <w:noProof/>
        </w:rPr>
        <w:tab/>
      </w:r>
      <w:r>
        <w:rPr>
          <w:noProof/>
        </w:rPr>
        <w:fldChar w:fldCharType="begin"/>
      </w:r>
      <w:r>
        <w:rPr>
          <w:noProof/>
        </w:rPr>
        <w:instrText xml:space="preserve"> PAGEREF _Toc236050656 \h </w:instrText>
      </w:r>
      <w:r>
        <w:rPr>
          <w:noProof/>
        </w:rPr>
      </w:r>
      <w:r>
        <w:rPr>
          <w:noProof/>
        </w:rPr>
        <w:fldChar w:fldCharType="separate"/>
      </w:r>
      <w:r>
        <w:rPr>
          <w:noProof/>
        </w:rPr>
        <w:t>10</w:t>
      </w:r>
      <w:r>
        <w:rPr>
          <w:noProof/>
        </w:rPr>
        <w:fldChar w:fldCharType="end"/>
      </w:r>
    </w:p>
    <w:p w14:paraId="1EE94A9A" w14:textId="6C8AB827" w:rsidR="00754689" w:rsidRDefault="00754689">
      <w:pPr>
        <w:pStyle w:val="Verzeichnis2"/>
        <w:rPr>
          <w:rFonts w:eastAsiaTheme="minorEastAsia"/>
          <w:noProof/>
          <w:kern w:val="2"/>
          <w:sz w:val="24"/>
          <w:szCs w:val="24"/>
          <w:lang w:eastAsia="de-DE"/>
          <w14:ligatures w14:val="standardContextual"/>
        </w:rPr>
      </w:pPr>
      <w:r w:rsidRPr="00F6562E">
        <w:rPr>
          <w:noProof/>
          <w:lang w:val="en-US"/>
        </w:rPr>
        <w:t>3.4</w:t>
      </w:r>
      <w:r>
        <w:rPr>
          <w:rFonts w:eastAsiaTheme="minorEastAsia"/>
          <w:noProof/>
          <w:kern w:val="2"/>
          <w:sz w:val="24"/>
          <w:szCs w:val="24"/>
          <w:lang w:eastAsia="de-DE"/>
          <w14:ligatures w14:val="standardContextual"/>
        </w:rPr>
        <w:tab/>
      </w:r>
      <w:r w:rsidRPr="00F6562E">
        <w:rPr>
          <w:noProof/>
          <w:lang w:val="en-US"/>
        </w:rPr>
        <w:t>Code defaults vs. active calibration</w:t>
      </w:r>
      <w:r>
        <w:rPr>
          <w:noProof/>
        </w:rPr>
        <w:tab/>
      </w:r>
      <w:r>
        <w:rPr>
          <w:noProof/>
        </w:rPr>
        <w:fldChar w:fldCharType="begin"/>
      </w:r>
      <w:r>
        <w:rPr>
          <w:noProof/>
        </w:rPr>
        <w:instrText xml:space="preserve"> PAGEREF _Toc236050657 \h </w:instrText>
      </w:r>
      <w:r>
        <w:rPr>
          <w:noProof/>
        </w:rPr>
      </w:r>
      <w:r>
        <w:rPr>
          <w:noProof/>
        </w:rPr>
        <w:fldChar w:fldCharType="separate"/>
      </w:r>
      <w:r>
        <w:rPr>
          <w:noProof/>
        </w:rPr>
        <w:t>11</w:t>
      </w:r>
      <w:r>
        <w:rPr>
          <w:noProof/>
        </w:rPr>
        <w:fldChar w:fldCharType="end"/>
      </w:r>
    </w:p>
    <w:p w14:paraId="76DFA60C" w14:textId="23E36B02" w:rsidR="00754689" w:rsidRDefault="00754689">
      <w:pPr>
        <w:pStyle w:val="Verzeichnis2"/>
        <w:rPr>
          <w:rFonts w:eastAsiaTheme="minorEastAsia"/>
          <w:noProof/>
          <w:kern w:val="2"/>
          <w:sz w:val="24"/>
          <w:szCs w:val="24"/>
          <w:lang w:eastAsia="de-DE"/>
          <w14:ligatures w14:val="standardContextual"/>
        </w:rPr>
      </w:pPr>
      <w:r w:rsidRPr="00F6562E">
        <w:rPr>
          <w:noProof/>
          <w:lang w:val="en-US"/>
        </w:rPr>
        <w:t>3.5</w:t>
      </w:r>
      <w:r>
        <w:rPr>
          <w:rFonts w:eastAsiaTheme="minorEastAsia"/>
          <w:noProof/>
          <w:kern w:val="2"/>
          <w:sz w:val="24"/>
          <w:szCs w:val="24"/>
          <w:lang w:eastAsia="de-DE"/>
          <w14:ligatures w14:val="standardContextual"/>
        </w:rPr>
        <w:tab/>
      </w:r>
      <w:r w:rsidRPr="00F6562E">
        <w:rPr>
          <w:noProof/>
          <w:lang w:val="en-US"/>
        </w:rPr>
        <w:t>Baseline Validation and Diagnostic Assessment</w:t>
      </w:r>
      <w:r>
        <w:rPr>
          <w:noProof/>
        </w:rPr>
        <w:tab/>
      </w:r>
      <w:r>
        <w:rPr>
          <w:noProof/>
        </w:rPr>
        <w:fldChar w:fldCharType="begin"/>
      </w:r>
      <w:r>
        <w:rPr>
          <w:noProof/>
        </w:rPr>
        <w:instrText xml:space="preserve"> PAGEREF _Toc236050658 \h </w:instrText>
      </w:r>
      <w:r>
        <w:rPr>
          <w:noProof/>
        </w:rPr>
      </w:r>
      <w:r>
        <w:rPr>
          <w:noProof/>
        </w:rPr>
        <w:fldChar w:fldCharType="separate"/>
      </w:r>
      <w:r>
        <w:rPr>
          <w:noProof/>
        </w:rPr>
        <w:t>11</w:t>
      </w:r>
      <w:r>
        <w:rPr>
          <w:noProof/>
        </w:rPr>
        <w:fldChar w:fldCharType="end"/>
      </w:r>
    </w:p>
    <w:p w14:paraId="7CF20BB9" w14:textId="474CE930" w:rsidR="00754689" w:rsidRDefault="00754689">
      <w:pPr>
        <w:pStyle w:val="Verzeichnis1"/>
        <w:rPr>
          <w:rFonts w:eastAsiaTheme="minorEastAsia"/>
          <w:b w:val="0"/>
          <w:kern w:val="2"/>
          <w:sz w:val="24"/>
          <w:szCs w:val="24"/>
          <w:lang w:eastAsia="de-DE"/>
          <w14:ligatures w14:val="standardContextual"/>
        </w:rPr>
      </w:pPr>
      <w:r w:rsidRPr="00F6562E">
        <w:rPr>
          <w:lang w:val="en-US"/>
        </w:rPr>
        <w:t>4</w:t>
      </w:r>
      <w:r>
        <w:rPr>
          <w:rFonts w:eastAsiaTheme="minorEastAsia"/>
          <w:b w:val="0"/>
          <w:kern w:val="2"/>
          <w:sz w:val="24"/>
          <w:szCs w:val="24"/>
          <w:lang w:eastAsia="de-DE"/>
          <w14:ligatures w14:val="standardContextual"/>
        </w:rPr>
        <w:tab/>
      </w:r>
      <w:r w:rsidRPr="00F6562E">
        <w:rPr>
          <w:lang w:val="en-US"/>
        </w:rPr>
        <w:t>Solution Method</w:t>
      </w:r>
      <w:r>
        <w:tab/>
      </w:r>
      <w:r>
        <w:fldChar w:fldCharType="begin"/>
      </w:r>
      <w:r>
        <w:instrText xml:space="preserve"> PAGEREF _Toc236050659 \h </w:instrText>
      </w:r>
      <w:r>
        <w:fldChar w:fldCharType="separate"/>
      </w:r>
      <w:r>
        <w:t>16</w:t>
      </w:r>
      <w:r>
        <w:fldChar w:fldCharType="end"/>
      </w:r>
    </w:p>
    <w:p w14:paraId="6CB8B1AA" w14:textId="07BC6AB3" w:rsidR="00754689" w:rsidRDefault="00754689">
      <w:pPr>
        <w:pStyle w:val="Verzeichnis2"/>
        <w:rPr>
          <w:rFonts w:eastAsiaTheme="minorEastAsia"/>
          <w:noProof/>
          <w:kern w:val="2"/>
          <w:sz w:val="24"/>
          <w:szCs w:val="24"/>
          <w:lang w:eastAsia="de-DE"/>
          <w14:ligatures w14:val="standardContextual"/>
        </w:rPr>
      </w:pPr>
      <w:r w:rsidRPr="00F6562E">
        <w:rPr>
          <w:noProof/>
          <w:lang w:val="en-US"/>
        </w:rPr>
        <w:t>4.1</w:t>
      </w:r>
      <w:r>
        <w:rPr>
          <w:rFonts w:eastAsiaTheme="minorEastAsia"/>
          <w:noProof/>
          <w:kern w:val="2"/>
          <w:sz w:val="24"/>
          <w:szCs w:val="24"/>
          <w:lang w:eastAsia="de-DE"/>
          <w14:ligatures w14:val="standardContextual"/>
        </w:rPr>
        <w:tab/>
      </w:r>
      <w:r w:rsidRPr="00F6562E">
        <w:rPr>
          <w:noProof/>
          <w:lang w:val="en-US"/>
        </w:rPr>
        <w:t>Dynare perfect-foresight solving</w:t>
      </w:r>
      <w:r>
        <w:rPr>
          <w:noProof/>
        </w:rPr>
        <w:tab/>
      </w:r>
      <w:r>
        <w:rPr>
          <w:noProof/>
        </w:rPr>
        <w:fldChar w:fldCharType="begin"/>
      </w:r>
      <w:r>
        <w:rPr>
          <w:noProof/>
        </w:rPr>
        <w:instrText xml:space="preserve"> PAGEREF _Toc236050660 \h </w:instrText>
      </w:r>
      <w:r>
        <w:rPr>
          <w:noProof/>
        </w:rPr>
      </w:r>
      <w:r>
        <w:rPr>
          <w:noProof/>
        </w:rPr>
        <w:fldChar w:fldCharType="separate"/>
      </w:r>
      <w:r>
        <w:rPr>
          <w:noProof/>
        </w:rPr>
        <w:t>17</w:t>
      </w:r>
      <w:r>
        <w:rPr>
          <w:noProof/>
        </w:rPr>
        <w:fldChar w:fldCharType="end"/>
      </w:r>
    </w:p>
    <w:p w14:paraId="0484B189" w14:textId="1826DED5" w:rsidR="00754689" w:rsidRDefault="00754689">
      <w:pPr>
        <w:pStyle w:val="Verzeichnis2"/>
        <w:rPr>
          <w:rFonts w:eastAsiaTheme="minorEastAsia"/>
          <w:noProof/>
          <w:kern w:val="2"/>
          <w:sz w:val="24"/>
          <w:szCs w:val="24"/>
          <w:lang w:eastAsia="de-DE"/>
          <w14:ligatures w14:val="standardContextual"/>
        </w:rPr>
      </w:pPr>
      <w:r w:rsidRPr="00F6562E">
        <w:rPr>
          <w:noProof/>
          <w:lang w:val="en-US"/>
        </w:rPr>
        <w:t>4.2</w:t>
      </w:r>
      <w:r>
        <w:rPr>
          <w:rFonts w:eastAsiaTheme="minorEastAsia"/>
          <w:noProof/>
          <w:kern w:val="2"/>
          <w:sz w:val="24"/>
          <w:szCs w:val="24"/>
          <w:lang w:eastAsia="de-DE"/>
          <w14:ligatures w14:val="standardContextual"/>
        </w:rPr>
        <w:tab/>
      </w:r>
      <w:r w:rsidRPr="00F6562E">
        <w:rPr>
          <w:noProof/>
          <w:lang w:val="en-US"/>
        </w:rPr>
        <w:t>Steady-state / calibration pipeline</w:t>
      </w:r>
      <w:r>
        <w:rPr>
          <w:noProof/>
        </w:rPr>
        <w:tab/>
      </w:r>
      <w:r>
        <w:rPr>
          <w:noProof/>
        </w:rPr>
        <w:fldChar w:fldCharType="begin"/>
      </w:r>
      <w:r>
        <w:rPr>
          <w:noProof/>
        </w:rPr>
        <w:instrText xml:space="preserve"> PAGEREF _Toc236050661 \h </w:instrText>
      </w:r>
      <w:r>
        <w:rPr>
          <w:noProof/>
        </w:rPr>
      </w:r>
      <w:r>
        <w:rPr>
          <w:noProof/>
        </w:rPr>
        <w:fldChar w:fldCharType="separate"/>
      </w:r>
      <w:r>
        <w:rPr>
          <w:noProof/>
        </w:rPr>
        <w:t>17</w:t>
      </w:r>
      <w:r>
        <w:rPr>
          <w:noProof/>
        </w:rPr>
        <w:fldChar w:fldCharType="end"/>
      </w:r>
    </w:p>
    <w:p w14:paraId="719B8219" w14:textId="6743B492" w:rsidR="00754689" w:rsidRDefault="00754689">
      <w:pPr>
        <w:pStyle w:val="Verzeichnis2"/>
        <w:rPr>
          <w:rFonts w:eastAsiaTheme="minorEastAsia"/>
          <w:noProof/>
          <w:kern w:val="2"/>
          <w:sz w:val="24"/>
          <w:szCs w:val="24"/>
          <w:lang w:eastAsia="de-DE"/>
          <w14:ligatures w14:val="standardContextual"/>
        </w:rPr>
      </w:pPr>
      <w:r w:rsidRPr="00F6562E">
        <w:rPr>
          <w:noProof/>
          <w:lang w:val="en-US"/>
        </w:rPr>
        <w:t>4.3</w:t>
      </w:r>
      <w:r>
        <w:rPr>
          <w:rFonts w:eastAsiaTheme="minorEastAsia"/>
          <w:noProof/>
          <w:kern w:val="2"/>
          <w:sz w:val="24"/>
          <w:szCs w:val="24"/>
          <w:lang w:eastAsia="de-DE"/>
          <w14:ligatures w14:val="standardContextual"/>
        </w:rPr>
        <w:tab/>
      </w:r>
      <w:r w:rsidRPr="00F6562E">
        <w:rPr>
          <w:noProof/>
          <w:lang w:val="en-US"/>
        </w:rPr>
        <w:t>Simulation</w:t>
      </w:r>
      <w:r>
        <w:rPr>
          <w:noProof/>
        </w:rPr>
        <w:tab/>
      </w:r>
      <w:r>
        <w:rPr>
          <w:noProof/>
        </w:rPr>
        <w:fldChar w:fldCharType="begin"/>
      </w:r>
      <w:r>
        <w:rPr>
          <w:noProof/>
        </w:rPr>
        <w:instrText xml:space="preserve"> PAGEREF _Toc236050662 \h </w:instrText>
      </w:r>
      <w:r>
        <w:rPr>
          <w:noProof/>
        </w:rPr>
      </w:r>
      <w:r>
        <w:rPr>
          <w:noProof/>
        </w:rPr>
        <w:fldChar w:fldCharType="separate"/>
      </w:r>
      <w:r>
        <w:rPr>
          <w:noProof/>
        </w:rPr>
        <w:t>18</w:t>
      </w:r>
      <w:r>
        <w:rPr>
          <w:noProof/>
        </w:rPr>
        <w:fldChar w:fldCharType="end"/>
      </w:r>
    </w:p>
    <w:p w14:paraId="75DAF529" w14:textId="7B99A237" w:rsidR="00754689" w:rsidRDefault="00754689">
      <w:pPr>
        <w:pStyle w:val="Verzeichnis2"/>
        <w:rPr>
          <w:rFonts w:eastAsiaTheme="minorEastAsia"/>
          <w:noProof/>
          <w:kern w:val="2"/>
          <w:sz w:val="24"/>
          <w:szCs w:val="24"/>
          <w:lang w:eastAsia="de-DE"/>
          <w14:ligatures w14:val="standardContextual"/>
        </w:rPr>
      </w:pPr>
      <w:r w:rsidRPr="00F6562E">
        <w:rPr>
          <w:noProof/>
          <w:lang w:val="en-US"/>
        </w:rPr>
        <w:t>4.4</w:t>
      </w:r>
      <w:r>
        <w:rPr>
          <w:rFonts w:eastAsiaTheme="minorEastAsia"/>
          <w:noProof/>
          <w:kern w:val="2"/>
          <w:sz w:val="24"/>
          <w:szCs w:val="24"/>
          <w:lang w:eastAsia="de-DE"/>
          <w14:ligatures w14:val="standardContextual"/>
        </w:rPr>
        <w:tab/>
      </w:r>
      <w:r w:rsidRPr="00F6562E">
        <w:rPr>
          <w:noProof/>
          <w:lang w:val="en-US"/>
        </w:rPr>
        <w:t>Verification approach</w:t>
      </w:r>
      <w:r>
        <w:rPr>
          <w:noProof/>
        </w:rPr>
        <w:tab/>
      </w:r>
      <w:r>
        <w:rPr>
          <w:noProof/>
        </w:rPr>
        <w:fldChar w:fldCharType="begin"/>
      </w:r>
      <w:r>
        <w:rPr>
          <w:noProof/>
        </w:rPr>
        <w:instrText xml:space="preserve"> PAGEREF _Toc236050663 \h </w:instrText>
      </w:r>
      <w:r>
        <w:rPr>
          <w:noProof/>
        </w:rPr>
      </w:r>
      <w:r>
        <w:rPr>
          <w:noProof/>
        </w:rPr>
        <w:fldChar w:fldCharType="separate"/>
      </w:r>
      <w:r>
        <w:rPr>
          <w:noProof/>
        </w:rPr>
        <w:t>19</w:t>
      </w:r>
      <w:r>
        <w:rPr>
          <w:noProof/>
        </w:rPr>
        <w:fldChar w:fldCharType="end"/>
      </w:r>
    </w:p>
    <w:p w14:paraId="6BFC1E4D" w14:textId="6F6792C0" w:rsidR="00754689" w:rsidRDefault="00754689">
      <w:pPr>
        <w:pStyle w:val="Verzeichnis1"/>
        <w:rPr>
          <w:rFonts w:eastAsiaTheme="minorEastAsia"/>
          <w:b w:val="0"/>
          <w:kern w:val="2"/>
          <w:sz w:val="24"/>
          <w:szCs w:val="24"/>
          <w:lang w:eastAsia="de-DE"/>
          <w14:ligatures w14:val="standardContextual"/>
        </w:rPr>
      </w:pPr>
      <w:r w:rsidRPr="00F6562E">
        <w:rPr>
          <w:lang w:val="en-US"/>
        </w:rPr>
        <w:t>5</w:t>
      </w:r>
      <w:r>
        <w:rPr>
          <w:rFonts w:eastAsiaTheme="minorEastAsia"/>
          <w:b w:val="0"/>
          <w:kern w:val="2"/>
          <w:sz w:val="24"/>
          <w:szCs w:val="24"/>
          <w:lang w:eastAsia="de-DE"/>
          <w14:ligatures w14:val="standardContextual"/>
        </w:rPr>
        <w:tab/>
      </w:r>
      <w:r w:rsidRPr="00F6562E">
        <w:rPr>
          <w:lang w:val="en-US"/>
        </w:rPr>
        <w:t>Scenario Design Framework</w:t>
      </w:r>
      <w:r>
        <w:tab/>
      </w:r>
      <w:r>
        <w:fldChar w:fldCharType="begin"/>
      </w:r>
      <w:r>
        <w:instrText xml:space="preserve"> PAGEREF _Toc236050664 \h </w:instrText>
      </w:r>
      <w:r>
        <w:fldChar w:fldCharType="separate"/>
      </w:r>
      <w:r>
        <w:t>21</w:t>
      </w:r>
      <w:r>
        <w:fldChar w:fldCharType="end"/>
      </w:r>
    </w:p>
    <w:p w14:paraId="42236C47" w14:textId="068FD9CF" w:rsidR="00754689" w:rsidRDefault="00754689">
      <w:pPr>
        <w:pStyle w:val="Verzeichnis2"/>
        <w:rPr>
          <w:rFonts w:eastAsiaTheme="minorEastAsia"/>
          <w:noProof/>
          <w:kern w:val="2"/>
          <w:sz w:val="24"/>
          <w:szCs w:val="24"/>
          <w:lang w:eastAsia="de-DE"/>
          <w14:ligatures w14:val="standardContextual"/>
        </w:rPr>
      </w:pPr>
      <w:r w:rsidRPr="00F6562E">
        <w:rPr>
          <w:noProof/>
          <w:lang w:val="en-US"/>
        </w:rPr>
        <w:t>5.1</w:t>
      </w:r>
      <w:r>
        <w:rPr>
          <w:rFonts w:eastAsiaTheme="minorEastAsia"/>
          <w:noProof/>
          <w:kern w:val="2"/>
          <w:sz w:val="24"/>
          <w:szCs w:val="24"/>
          <w:lang w:eastAsia="de-DE"/>
          <w14:ligatures w14:val="standardContextual"/>
        </w:rPr>
        <w:tab/>
      </w:r>
      <w:r w:rsidRPr="00F6562E">
        <w:rPr>
          <w:noProof/>
          <w:lang w:val="en-US"/>
        </w:rPr>
        <w:t>Nested-counterfactual logic</w:t>
      </w:r>
      <w:r>
        <w:rPr>
          <w:noProof/>
        </w:rPr>
        <w:tab/>
      </w:r>
      <w:r>
        <w:rPr>
          <w:noProof/>
        </w:rPr>
        <w:fldChar w:fldCharType="begin"/>
      </w:r>
      <w:r>
        <w:rPr>
          <w:noProof/>
        </w:rPr>
        <w:instrText xml:space="preserve"> PAGEREF _Toc236050665 \h </w:instrText>
      </w:r>
      <w:r>
        <w:rPr>
          <w:noProof/>
        </w:rPr>
      </w:r>
      <w:r>
        <w:rPr>
          <w:noProof/>
        </w:rPr>
        <w:fldChar w:fldCharType="separate"/>
      </w:r>
      <w:r>
        <w:rPr>
          <w:noProof/>
        </w:rPr>
        <w:t>21</w:t>
      </w:r>
      <w:r>
        <w:rPr>
          <w:noProof/>
        </w:rPr>
        <w:fldChar w:fldCharType="end"/>
      </w:r>
    </w:p>
    <w:p w14:paraId="63FDC6D1" w14:textId="35D8960B" w:rsidR="00754689" w:rsidRDefault="00754689">
      <w:pPr>
        <w:pStyle w:val="Verzeichnis2"/>
        <w:rPr>
          <w:rFonts w:eastAsiaTheme="minorEastAsia"/>
          <w:noProof/>
          <w:kern w:val="2"/>
          <w:sz w:val="24"/>
          <w:szCs w:val="24"/>
          <w:lang w:eastAsia="de-DE"/>
          <w14:ligatures w14:val="standardContextual"/>
        </w:rPr>
      </w:pPr>
      <w:r w:rsidRPr="00F6562E">
        <w:rPr>
          <w:noProof/>
          <w:lang w:val="en-US"/>
        </w:rPr>
        <w:t>5.2</w:t>
      </w:r>
      <w:r>
        <w:rPr>
          <w:rFonts w:eastAsiaTheme="minorEastAsia"/>
          <w:noProof/>
          <w:kern w:val="2"/>
          <w:sz w:val="24"/>
          <w:szCs w:val="24"/>
          <w:lang w:eastAsia="de-DE"/>
          <w14:ligatures w14:val="standardContextual"/>
        </w:rPr>
        <w:tab/>
      </w:r>
      <w:r w:rsidRPr="00F6562E">
        <w:rPr>
          <w:noProof/>
          <w:lang w:val="en-US"/>
        </w:rPr>
        <w:t>Net-Zero decomposition</w:t>
      </w:r>
      <w:r>
        <w:rPr>
          <w:noProof/>
        </w:rPr>
        <w:tab/>
      </w:r>
      <w:r>
        <w:rPr>
          <w:noProof/>
        </w:rPr>
        <w:fldChar w:fldCharType="begin"/>
      </w:r>
      <w:r>
        <w:rPr>
          <w:noProof/>
        </w:rPr>
        <w:instrText xml:space="preserve"> PAGEREF _Toc236050666 \h </w:instrText>
      </w:r>
      <w:r>
        <w:rPr>
          <w:noProof/>
        </w:rPr>
      </w:r>
      <w:r>
        <w:rPr>
          <w:noProof/>
        </w:rPr>
        <w:fldChar w:fldCharType="separate"/>
      </w:r>
      <w:r>
        <w:rPr>
          <w:noProof/>
        </w:rPr>
        <w:t>22</w:t>
      </w:r>
      <w:r>
        <w:rPr>
          <w:noProof/>
        </w:rPr>
        <w:fldChar w:fldCharType="end"/>
      </w:r>
    </w:p>
    <w:p w14:paraId="19C136C4" w14:textId="2A4B3821" w:rsidR="00754689" w:rsidRDefault="00754689">
      <w:pPr>
        <w:pStyle w:val="Verzeichnis2"/>
        <w:rPr>
          <w:rFonts w:eastAsiaTheme="minorEastAsia"/>
          <w:noProof/>
          <w:kern w:val="2"/>
          <w:sz w:val="24"/>
          <w:szCs w:val="24"/>
          <w:lang w:eastAsia="de-DE"/>
          <w14:ligatures w14:val="standardContextual"/>
        </w:rPr>
      </w:pPr>
      <w:r w:rsidRPr="00F6562E">
        <w:rPr>
          <w:noProof/>
          <w:lang w:val="en-US"/>
        </w:rPr>
        <w:t>5.3</w:t>
      </w:r>
      <w:r>
        <w:rPr>
          <w:rFonts w:eastAsiaTheme="minorEastAsia"/>
          <w:noProof/>
          <w:kern w:val="2"/>
          <w:sz w:val="24"/>
          <w:szCs w:val="24"/>
          <w:lang w:eastAsia="de-DE"/>
          <w14:ligatures w14:val="standardContextual"/>
        </w:rPr>
        <w:tab/>
      </w:r>
      <w:r w:rsidRPr="00F6562E">
        <w:rPr>
          <w:noProof/>
          <w:lang w:val="en-US"/>
        </w:rPr>
        <w:t>Green finance as a reduced-form cost-of-capital shock</w:t>
      </w:r>
      <w:r>
        <w:rPr>
          <w:noProof/>
        </w:rPr>
        <w:tab/>
      </w:r>
      <w:r>
        <w:rPr>
          <w:noProof/>
        </w:rPr>
        <w:fldChar w:fldCharType="begin"/>
      </w:r>
      <w:r>
        <w:rPr>
          <w:noProof/>
        </w:rPr>
        <w:instrText xml:space="preserve"> PAGEREF _Toc236050667 \h </w:instrText>
      </w:r>
      <w:r>
        <w:rPr>
          <w:noProof/>
        </w:rPr>
      </w:r>
      <w:r>
        <w:rPr>
          <w:noProof/>
        </w:rPr>
        <w:fldChar w:fldCharType="separate"/>
      </w:r>
      <w:r>
        <w:rPr>
          <w:noProof/>
        </w:rPr>
        <w:t>23</w:t>
      </w:r>
      <w:r>
        <w:rPr>
          <w:noProof/>
        </w:rPr>
        <w:fldChar w:fldCharType="end"/>
      </w:r>
    </w:p>
    <w:p w14:paraId="245EB3D4" w14:textId="16217C3F" w:rsidR="00754689" w:rsidRDefault="00754689">
      <w:pPr>
        <w:pStyle w:val="Verzeichnis2"/>
        <w:rPr>
          <w:rFonts w:eastAsiaTheme="minorEastAsia"/>
          <w:noProof/>
          <w:kern w:val="2"/>
          <w:sz w:val="24"/>
          <w:szCs w:val="24"/>
          <w:lang w:eastAsia="de-DE"/>
          <w14:ligatures w14:val="standardContextual"/>
        </w:rPr>
      </w:pPr>
      <w:r w:rsidRPr="00F6562E">
        <w:rPr>
          <w:noProof/>
          <w:lang w:val="en-US"/>
        </w:rPr>
        <w:t>5.4</w:t>
      </w:r>
      <w:r>
        <w:rPr>
          <w:rFonts w:eastAsiaTheme="minorEastAsia"/>
          <w:noProof/>
          <w:kern w:val="2"/>
          <w:sz w:val="24"/>
          <w:szCs w:val="24"/>
          <w:lang w:eastAsia="de-DE"/>
          <w14:ligatures w14:val="standardContextual"/>
        </w:rPr>
        <w:tab/>
      </w:r>
      <w:r w:rsidRPr="00F6562E">
        <w:rPr>
          <w:noProof/>
          <w:lang w:val="en-US"/>
        </w:rPr>
        <w:t>Operational status vs. scenario capability</w:t>
      </w:r>
      <w:r>
        <w:rPr>
          <w:noProof/>
        </w:rPr>
        <w:tab/>
      </w:r>
      <w:r>
        <w:rPr>
          <w:noProof/>
        </w:rPr>
        <w:fldChar w:fldCharType="begin"/>
      </w:r>
      <w:r>
        <w:rPr>
          <w:noProof/>
        </w:rPr>
        <w:instrText xml:space="preserve"> PAGEREF _Toc236050668 \h </w:instrText>
      </w:r>
      <w:r>
        <w:rPr>
          <w:noProof/>
        </w:rPr>
      </w:r>
      <w:r>
        <w:rPr>
          <w:noProof/>
        </w:rPr>
        <w:fldChar w:fldCharType="separate"/>
      </w:r>
      <w:r>
        <w:rPr>
          <w:noProof/>
        </w:rPr>
        <w:t>24</w:t>
      </w:r>
      <w:r>
        <w:rPr>
          <w:noProof/>
        </w:rPr>
        <w:fldChar w:fldCharType="end"/>
      </w:r>
    </w:p>
    <w:p w14:paraId="60258F73" w14:textId="5C1FC5BE" w:rsidR="00754689" w:rsidRDefault="00754689">
      <w:pPr>
        <w:pStyle w:val="Verzeichnis2"/>
        <w:rPr>
          <w:rFonts w:eastAsiaTheme="minorEastAsia"/>
          <w:noProof/>
          <w:kern w:val="2"/>
          <w:sz w:val="24"/>
          <w:szCs w:val="24"/>
          <w:lang w:eastAsia="de-DE"/>
          <w14:ligatures w14:val="standardContextual"/>
        </w:rPr>
      </w:pPr>
      <w:r w:rsidRPr="00F6562E">
        <w:rPr>
          <w:noProof/>
          <w:lang w:val="en-US"/>
        </w:rPr>
        <w:lastRenderedPageBreak/>
        <w:t>5.5</w:t>
      </w:r>
      <w:r>
        <w:rPr>
          <w:rFonts w:eastAsiaTheme="minorEastAsia"/>
          <w:noProof/>
          <w:kern w:val="2"/>
          <w:sz w:val="24"/>
          <w:szCs w:val="24"/>
          <w:lang w:eastAsia="de-DE"/>
          <w14:ligatures w14:val="standardContextual"/>
        </w:rPr>
        <w:tab/>
      </w:r>
      <w:r w:rsidRPr="00F6562E">
        <w:rPr>
          <w:noProof/>
          <w:lang w:val="en-US"/>
        </w:rPr>
        <w:t>EE scenario reporting figures</w:t>
      </w:r>
      <w:r>
        <w:rPr>
          <w:noProof/>
        </w:rPr>
        <w:tab/>
      </w:r>
      <w:r>
        <w:rPr>
          <w:noProof/>
        </w:rPr>
        <w:fldChar w:fldCharType="begin"/>
      </w:r>
      <w:r>
        <w:rPr>
          <w:noProof/>
        </w:rPr>
        <w:instrText xml:space="preserve"> PAGEREF _Toc236050669 \h </w:instrText>
      </w:r>
      <w:r>
        <w:rPr>
          <w:noProof/>
        </w:rPr>
      </w:r>
      <w:r>
        <w:rPr>
          <w:noProof/>
        </w:rPr>
        <w:fldChar w:fldCharType="separate"/>
      </w:r>
      <w:r>
        <w:rPr>
          <w:noProof/>
        </w:rPr>
        <w:t>24</w:t>
      </w:r>
      <w:r>
        <w:rPr>
          <w:noProof/>
        </w:rPr>
        <w:fldChar w:fldCharType="end"/>
      </w:r>
    </w:p>
    <w:p w14:paraId="1BFD1AE7" w14:textId="63A7B9F3" w:rsidR="00754689" w:rsidRDefault="00754689">
      <w:pPr>
        <w:pStyle w:val="Verzeichnis2"/>
        <w:rPr>
          <w:rFonts w:eastAsiaTheme="minorEastAsia"/>
          <w:noProof/>
          <w:kern w:val="2"/>
          <w:sz w:val="24"/>
          <w:szCs w:val="24"/>
          <w:lang w:eastAsia="de-DE"/>
          <w14:ligatures w14:val="standardContextual"/>
        </w:rPr>
      </w:pPr>
      <w:r w:rsidRPr="00F6562E">
        <w:rPr>
          <w:noProof/>
          <w:lang w:val="en-US"/>
        </w:rPr>
        <w:t>5.6</w:t>
      </w:r>
      <w:r>
        <w:rPr>
          <w:rFonts w:eastAsiaTheme="minorEastAsia"/>
          <w:noProof/>
          <w:kern w:val="2"/>
          <w:sz w:val="24"/>
          <w:szCs w:val="24"/>
          <w:lang w:eastAsia="de-DE"/>
          <w14:ligatures w14:val="standardContextual"/>
        </w:rPr>
        <w:tab/>
      </w:r>
      <w:r w:rsidRPr="00F6562E">
        <w:rPr>
          <w:noProof/>
          <w:lang w:val="en-US"/>
        </w:rPr>
        <w:t>Green finance scenario reporting figures</w:t>
      </w:r>
      <w:r>
        <w:rPr>
          <w:noProof/>
        </w:rPr>
        <w:tab/>
      </w:r>
      <w:r>
        <w:rPr>
          <w:noProof/>
        </w:rPr>
        <w:fldChar w:fldCharType="begin"/>
      </w:r>
      <w:r>
        <w:rPr>
          <w:noProof/>
        </w:rPr>
        <w:instrText xml:space="preserve"> PAGEREF _Toc236050670 \h </w:instrText>
      </w:r>
      <w:r>
        <w:rPr>
          <w:noProof/>
        </w:rPr>
      </w:r>
      <w:r>
        <w:rPr>
          <w:noProof/>
        </w:rPr>
        <w:fldChar w:fldCharType="separate"/>
      </w:r>
      <w:r>
        <w:rPr>
          <w:noProof/>
        </w:rPr>
        <w:t>29</w:t>
      </w:r>
      <w:r>
        <w:rPr>
          <w:noProof/>
        </w:rPr>
        <w:fldChar w:fldCharType="end"/>
      </w:r>
    </w:p>
    <w:p w14:paraId="57FDC783" w14:textId="68CF5D7A" w:rsidR="00754689" w:rsidRDefault="00754689">
      <w:pPr>
        <w:pStyle w:val="Verzeichnis1"/>
        <w:rPr>
          <w:rFonts w:eastAsiaTheme="minorEastAsia"/>
          <w:b w:val="0"/>
          <w:kern w:val="2"/>
          <w:sz w:val="24"/>
          <w:szCs w:val="24"/>
          <w:lang w:eastAsia="de-DE"/>
          <w14:ligatures w14:val="standardContextual"/>
        </w:rPr>
      </w:pPr>
      <w:r w:rsidRPr="00F6562E">
        <w:rPr>
          <w:lang w:val="en-US"/>
        </w:rPr>
        <w:t>6</w:t>
      </w:r>
      <w:r>
        <w:rPr>
          <w:rFonts w:eastAsiaTheme="minorEastAsia"/>
          <w:b w:val="0"/>
          <w:kern w:val="2"/>
          <w:sz w:val="24"/>
          <w:szCs w:val="24"/>
          <w:lang w:eastAsia="de-DE"/>
          <w14:ligatures w14:val="standardContextual"/>
        </w:rPr>
        <w:tab/>
      </w:r>
      <w:r w:rsidRPr="00F6562E">
        <w:rPr>
          <w:lang w:val="en-US"/>
        </w:rPr>
        <w:t>Limitations, Implementation Risks, and Interpretation Guidance</w:t>
      </w:r>
      <w:r>
        <w:tab/>
      </w:r>
      <w:r>
        <w:fldChar w:fldCharType="begin"/>
      </w:r>
      <w:r>
        <w:instrText xml:space="preserve"> PAGEREF _Toc236050671 \h </w:instrText>
      </w:r>
      <w:r>
        <w:fldChar w:fldCharType="separate"/>
      </w:r>
      <w:r>
        <w:t>33</w:t>
      </w:r>
      <w:r>
        <w:fldChar w:fldCharType="end"/>
      </w:r>
    </w:p>
    <w:p w14:paraId="3DDBE440" w14:textId="5DDB280B" w:rsidR="00754689" w:rsidRDefault="00754689">
      <w:pPr>
        <w:pStyle w:val="Verzeichnis1"/>
        <w:rPr>
          <w:rFonts w:eastAsiaTheme="minorEastAsia"/>
          <w:b w:val="0"/>
          <w:kern w:val="2"/>
          <w:sz w:val="24"/>
          <w:szCs w:val="24"/>
          <w:lang w:eastAsia="de-DE"/>
          <w14:ligatures w14:val="standardContextual"/>
        </w:rPr>
      </w:pPr>
      <w:r w:rsidRPr="00F6562E">
        <w:rPr>
          <w:lang w:val="en-US"/>
        </w:rPr>
        <w:t>7</w:t>
      </w:r>
      <w:r>
        <w:rPr>
          <w:rFonts w:eastAsiaTheme="minorEastAsia"/>
          <w:b w:val="0"/>
          <w:kern w:val="2"/>
          <w:sz w:val="24"/>
          <w:szCs w:val="24"/>
          <w:lang w:eastAsia="de-DE"/>
          <w14:ligatures w14:val="standardContextual"/>
        </w:rPr>
        <w:tab/>
      </w:r>
      <w:r w:rsidRPr="00F6562E">
        <w:rPr>
          <w:lang w:val="en-US"/>
        </w:rPr>
        <w:t>Conclusion</w:t>
      </w:r>
      <w:r>
        <w:tab/>
      </w:r>
      <w:r>
        <w:fldChar w:fldCharType="begin"/>
      </w:r>
      <w:r>
        <w:instrText xml:space="preserve"> PAGEREF _Toc236050672 \h </w:instrText>
      </w:r>
      <w:r>
        <w:fldChar w:fldCharType="separate"/>
      </w:r>
      <w:r>
        <w:t>34</w:t>
      </w:r>
      <w:r>
        <w:fldChar w:fldCharType="end"/>
      </w:r>
    </w:p>
    <w:p w14:paraId="37D04829" w14:textId="6CEDE283" w:rsidR="00754689" w:rsidRDefault="00754689">
      <w:pPr>
        <w:pStyle w:val="Verzeichnis1"/>
        <w:rPr>
          <w:rFonts w:eastAsiaTheme="minorEastAsia"/>
          <w:b w:val="0"/>
          <w:kern w:val="2"/>
          <w:sz w:val="24"/>
          <w:szCs w:val="24"/>
          <w:lang w:eastAsia="de-DE"/>
          <w14:ligatures w14:val="standardContextual"/>
        </w:rPr>
      </w:pPr>
      <w:r w:rsidRPr="00F6562E">
        <w:rPr>
          <w:lang w:val="en-US"/>
        </w:rPr>
        <w:t>References</w:t>
      </w:r>
      <w:r>
        <w:tab/>
      </w:r>
      <w:r>
        <w:fldChar w:fldCharType="begin"/>
      </w:r>
      <w:r>
        <w:instrText xml:space="preserve"> PAGEREF _Toc236050673 \h </w:instrText>
      </w:r>
      <w:r>
        <w:fldChar w:fldCharType="separate"/>
      </w:r>
      <w:r>
        <w:t>35</w:t>
      </w:r>
      <w:r>
        <w:fldChar w:fldCharType="end"/>
      </w:r>
    </w:p>
    <w:p w14:paraId="4C6D2FB9" w14:textId="13276583" w:rsidR="00754689" w:rsidRDefault="00754689">
      <w:pPr>
        <w:pStyle w:val="Verzeichnis1"/>
        <w:rPr>
          <w:rFonts w:eastAsiaTheme="minorEastAsia"/>
          <w:b w:val="0"/>
          <w:kern w:val="2"/>
          <w:sz w:val="24"/>
          <w:szCs w:val="24"/>
          <w:lang w:eastAsia="de-DE"/>
          <w14:ligatures w14:val="standardContextual"/>
        </w:rPr>
      </w:pPr>
      <w:r w:rsidRPr="00F6562E">
        <w:rPr>
          <w:lang w:val="en-US"/>
        </w:rPr>
        <w:t>A. Technical Appendix</w:t>
      </w:r>
      <w:r>
        <w:tab/>
      </w:r>
      <w:r>
        <w:fldChar w:fldCharType="begin"/>
      </w:r>
      <w:r>
        <w:instrText xml:space="preserve"> PAGEREF _Toc236050674 \h </w:instrText>
      </w:r>
      <w:r>
        <w:fldChar w:fldCharType="separate"/>
      </w:r>
      <w:r>
        <w:t>36</w:t>
      </w:r>
      <w:r>
        <w:fldChar w:fldCharType="end"/>
      </w:r>
    </w:p>
    <w:p w14:paraId="13CCBC74" w14:textId="3F0DB347" w:rsidR="00754689" w:rsidRDefault="00754689">
      <w:pPr>
        <w:pStyle w:val="Verzeichnis2"/>
        <w:rPr>
          <w:rFonts w:eastAsiaTheme="minorEastAsia"/>
          <w:noProof/>
          <w:kern w:val="2"/>
          <w:sz w:val="24"/>
          <w:szCs w:val="24"/>
          <w:lang w:eastAsia="de-DE"/>
          <w14:ligatures w14:val="standardContextual"/>
        </w:rPr>
      </w:pPr>
      <w:r w:rsidRPr="00F6562E">
        <w:rPr>
          <w:noProof/>
          <w:lang w:val="en-US"/>
        </w:rPr>
        <w:t>A.1 Equation reference</w:t>
      </w:r>
      <w:r>
        <w:rPr>
          <w:noProof/>
        </w:rPr>
        <w:tab/>
      </w:r>
      <w:r>
        <w:rPr>
          <w:noProof/>
        </w:rPr>
        <w:fldChar w:fldCharType="begin"/>
      </w:r>
      <w:r>
        <w:rPr>
          <w:noProof/>
        </w:rPr>
        <w:instrText xml:space="preserve"> PAGEREF _Toc236050675 \h </w:instrText>
      </w:r>
      <w:r>
        <w:rPr>
          <w:noProof/>
        </w:rPr>
      </w:r>
      <w:r>
        <w:rPr>
          <w:noProof/>
        </w:rPr>
        <w:fldChar w:fldCharType="separate"/>
      </w:r>
      <w:r>
        <w:rPr>
          <w:noProof/>
        </w:rPr>
        <w:t>36</w:t>
      </w:r>
      <w:r>
        <w:rPr>
          <w:noProof/>
        </w:rPr>
        <w:fldChar w:fldCharType="end"/>
      </w:r>
    </w:p>
    <w:p w14:paraId="3066655D" w14:textId="18B72876" w:rsidR="00754689" w:rsidRDefault="00754689">
      <w:pPr>
        <w:pStyle w:val="Verzeichnis2"/>
        <w:rPr>
          <w:rFonts w:eastAsiaTheme="minorEastAsia"/>
          <w:noProof/>
          <w:kern w:val="2"/>
          <w:sz w:val="24"/>
          <w:szCs w:val="24"/>
          <w:lang w:eastAsia="de-DE"/>
          <w14:ligatures w14:val="standardContextual"/>
        </w:rPr>
      </w:pPr>
      <w:r w:rsidRPr="00F6562E">
        <w:rPr>
          <w:noProof/>
          <w:lang w:val="en-US"/>
        </w:rPr>
        <w:t>A.2 Parameter reference</w:t>
      </w:r>
      <w:r>
        <w:rPr>
          <w:noProof/>
        </w:rPr>
        <w:tab/>
      </w:r>
      <w:r>
        <w:rPr>
          <w:noProof/>
        </w:rPr>
        <w:fldChar w:fldCharType="begin"/>
      </w:r>
      <w:r>
        <w:rPr>
          <w:noProof/>
        </w:rPr>
        <w:instrText xml:space="preserve"> PAGEREF _Toc236050676 \h </w:instrText>
      </w:r>
      <w:r>
        <w:rPr>
          <w:noProof/>
        </w:rPr>
      </w:r>
      <w:r>
        <w:rPr>
          <w:noProof/>
        </w:rPr>
        <w:fldChar w:fldCharType="separate"/>
      </w:r>
      <w:r>
        <w:rPr>
          <w:noProof/>
        </w:rPr>
        <w:t>36</w:t>
      </w:r>
      <w:r>
        <w:rPr>
          <w:noProof/>
        </w:rPr>
        <w:fldChar w:fldCharType="end"/>
      </w:r>
    </w:p>
    <w:p w14:paraId="634B759A" w14:textId="711FB6F7" w:rsidR="00754689" w:rsidRDefault="00754689">
      <w:pPr>
        <w:pStyle w:val="Verzeichnis2"/>
        <w:rPr>
          <w:rFonts w:eastAsiaTheme="minorEastAsia"/>
          <w:noProof/>
          <w:kern w:val="2"/>
          <w:sz w:val="24"/>
          <w:szCs w:val="24"/>
          <w:lang w:eastAsia="de-DE"/>
          <w14:ligatures w14:val="standardContextual"/>
        </w:rPr>
      </w:pPr>
      <w:r w:rsidRPr="00F6562E">
        <w:rPr>
          <w:noProof/>
          <w:lang w:val="en-US"/>
        </w:rPr>
        <w:t>A.3 Repository map</w:t>
      </w:r>
      <w:r>
        <w:rPr>
          <w:noProof/>
        </w:rPr>
        <w:tab/>
      </w:r>
      <w:r>
        <w:rPr>
          <w:noProof/>
        </w:rPr>
        <w:fldChar w:fldCharType="begin"/>
      </w:r>
      <w:r>
        <w:rPr>
          <w:noProof/>
        </w:rPr>
        <w:instrText xml:space="preserve"> PAGEREF _Toc236050677 \h </w:instrText>
      </w:r>
      <w:r>
        <w:rPr>
          <w:noProof/>
        </w:rPr>
      </w:r>
      <w:r>
        <w:rPr>
          <w:noProof/>
        </w:rPr>
        <w:fldChar w:fldCharType="separate"/>
      </w:r>
      <w:r>
        <w:rPr>
          <w:noProof/>
        </w:rPr>
        <w:t>36</w:t>
      </w:r>
      <w:r>
        <w:rPr>
          <w:noProof/>
        </w:rPr>
        <w:fldChar w:fldCharType="end"/>
      </w:r>
    </w:p>
    <w:p w14:paraId="27251E9B" w14:textId="60EB8676" w:rsidR="00E14EDE" w:rsidRPr="00C9711D" w:rsidRDefault="002B6202">
      <w:pPr>
        <w:rPr>
          <w:rFonts w:asciiTheme="majorHAnsi" w:hAnsiTheme="majorHAnsi"/>
          <w:b/>
          <w:szCs w:val="26"/>
          <w:lang w:val="en-US"/>
        </w:rPr>
      </w:pPr>
      <w:r w:rsidRPr="00C9711D">
        <w:rPr>
          <w:rFonts w:asciiTheme="majorHAnsi" w:eastAsiaTheme="majorEastAsia" w:hAnsiTheme="majorHAnsi" w:cstheme="majorBidi"/>
          <w:b/>
          <w:bCs/>
          <w:noProof/>
          <w:color w:val="1B2062" w:themeColor="accent1" w:themeShade="BF"/>
          <w:sz w:val="26"/>
          <w:szCs w:val="28"/>
          <w:lang w:val="en-US"/>
        </w:rPr>
        <w:fldChar w:fldCharType="end"/>
      </w:r>
      <w:bookmarkStart w:id="7" w:name="_Toc73638014"/>
      <w:r w:rsidRPr="00C9711D">
        <w:rPr>
          <w:rFonts w:asciiTheme="majorHAnsi" w:hAnsiTheme="majorHAnsi"/>
          <w:b/>
          <w:szCs w:val="26"/>
          <w:lang w:val="en-US"/>
        </w:rPr>
        <w:br w:type="page"/>
      </w:r>
    </w:p>
    <w:p w14:paraId="5613E04C" w14:textId="77777777" w:rsidR="00E14EDE" w:rsidRPr="00C9711D" w:rsidRDefault="002B6202" w:rsidP="00752B43">
      <w:pPr>
        <w:pStyle w:val="berschrift1"/>
        <w:numPr>
          <w:ilvl w:val="0"/>
          <w:numId w:val="0"/>
        </w:numPr>
        <w:rPr>
          <w:lang w:val="en-US"/>
        </w:rPr>
      </w:pPr>
      <w:bookmarkStart w:id="8" w:name="_Toc66275642"/>
      <w:bookmarkStart w:id="9" w:name="_Toc236050638"/>
      <w:r w:rsidRPr="00C9711D">
        <w:rPr>
          <w:lang w:val="en-US"/>
        </w:rPr>
        <w:lastRenderedPageBreak/>
        <w:t>List of Figures</w:t>
      </w:r>
      <w:bookmarkEnd w:id="8"/>
      <w:bookmarkEnd w:id="9"/>
    </w:p>
    <w:bookmarkStart w:id="10" w:name="_Toc42790028"/>
    <w:p w14:paraId="2B3CED27" w14:textId="64CFE236" w:rsidR="00752B43" w:rsidRDefault="009A2BBC">
      <w:pPr>
        <w:pStyle w:val="Abbildungsverzeichnis"/>
        <w:tabs>
          <w:tab w:val="right" w:leader="dot" w:pos="9629"/>
        </w:tabs>
        <w:rPr>
          <w:rFonts w:eastAsiaTheme="minorEastAsia"/>
          <w:noProof/>
          <w:color w:val="auto"/>
          <w:kern w:val="2"/>
          <w:sz w:val="24"/>
          <w:szCs w:val="24"/>
          <w:lang w:eastAsia="de-DE"/>
          <w14:ligatures w14:val="standardContextual"/>
        </w:rPr>
      </w:pPr>
      <w:r w:rsidRPr="00C9711D">
        <w:rPr>
          <w:rFonts w:ascii="Cambria" w:hAnsi="Cambria"/>
          <w:b/>
          <w:lang w:val="en-US"/>
        </w:rPr>
        <w:fldChar w:fldCharType="begin"/>
      </w:r>
      <w:r w:rsidRPr="00C9711D">
        <w:rPr>
          <w:rFonts w:ascii="Cambria" w:hAnsi="Cambria"/>
          <w:b/>
          <w:lang w:val="en-US"/>
        </w:rPr>
        <w:instrText xml:space="preserve"> TOC \h \z \c "Figure" </w:instrText>
      </w:r>
      <w:r w:rsidRPr="00C9711D">
        <w:rPr>
          <w:rFonts w:ascii="Cambria" w:hAnsi="Cambria"/>
          <w:b/>
          <w:lang w:val="en-US"/>
        </w:rPr>
        <w:fldChar w:fldCharType="separate"/>
      </w:r>
      <w:hyperlink w:anchor="_Toc236050716" w:history="1">
        <w:r w:rsidR="00752B43" w:rsidRPr="00B35CE4">
          <w:rPr>
            <w:rStyle w:val="Hyperlink"/>
            <w:noProof/>
            <w:lang w:val="en-US"/>
          </w:rPr>
          <w:t>Figure 1: Expenditure-side GDP components: actual 2019 vs simulated baseline start and end.</w:t>
        </w:r>
        <w:r w:rsidR="00752B43">
          <w:rPr>
            <w:noProof/>
            <w:webHidden/>
          </w:rPr>
          <w:tab/>
        </w:r>
        <w:r w:rsidR="00752B43">
          <w:rPr>
            <w:noProof/>
            <w:webHidden/>
          </w:rPr>
          <w:fldChar w:fldCharType="begin"/>
        </w:r>
        <w:r w:rsidR="00752B43">
          <w:rPr>
            <w:noProof/>
            <w:webHidden/>
          </w:rPr>
          <w:instrText xml:space="preserve"> PAGEREF _Toc236050716 \h </w:instrText>
        </w:r>
        <w:r w:rsidR="00752B43">
          <w:rPr>
            <w:noProof/>
            <w:webHidden/>
          </w:rPr>
        </w:r>
        <w:r w:rsidR="00752B43">
          <w:rPr>
            <w:noProof/>
            <w:webHidden/>
          </w:rPr>
          <w:fldChar w:fldCharType="separate"/>
        </w:r>
        <w:r w:rsidR="00752B43">
          <w:rPr>
            <w:noProof/>
            <w:webHidden/>
          </w:rPr>
          <w:t>9</w:t>
        </w:r>
        <w:r w:rsidR="00752B43">
          <w:rPr>
            <w:noProof/>
            <w:webHidden/>
          </w:rPr>
          <w:fldChar w:fldCharType="end"/>
        </w:r>
      </w:hyperlink>
    </w:p>
    <w:p w14:paraId="5B62B520" w14:textId="4D10D37C"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17" w:history="1">
        <w:r w:rsidRPr="00B35CE4">
          <w:rPr>
            <w:rStyle w:val="Hyperlink"/>
            <w:noProof/>
            <w:lang w:val="en-US"/>
          </w:rPr>
          <w:t>Figure 2: Baseline simulation vs PDP8 target for renewable installed capacity (end-year levels).</w:t>
        </w:r>
        <w:r>
          <w:rPr>
            <w:noProof/>
            <w:webHidden/>
          </w:rPr>
          <w:tab/>
        </w:r>
        <w:r>
          <w:rPr>
            <w:noProof/>
            <w:webHidden/>
          </w:rPr>
          <w:fldChar w:fldCharType="begin"/>
        </w:r>
        <w:r>
          <w:rPr>
            <w:noProof/>
            <w:webHidden/>
          </w:rPr>
          <w:instrText xml:space="preserve"> PAGEREF _Toc236050717 \h </w:instrText>
        </w:r>
        <w:r>
          <w:rPr>
            <w:noProof/>
            <w:webHidden/>
          </w:rPr>
        </w:r>
        <w:r>
          <w:rPr>
            <w:noProof/>
            <w:webHidden/>
          </w:rPr>
          <w:fldChar w:fldCharType="separate"/>
        </w:r>
        <w:r>
          <w:rPr>
            <w:noProof/>
            <w:webHidden/>
          </w:rPr>
          <w:t>13</w:t>
        </w:r>
        <w:r>
          <w:rPr>
            <w:noProof/>
            <w:webHidden/>
          </w:rPr>
          <w:fldChar w:fldCharType="end"/>
        </w:r>
      </w:hyperlink>
    </w:p>
    <w:p w14:paraId="74CB8329" w14:textId="7C6BA5CE"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18" w:history="1">
        <w:r w:rsidRPr="00B35CE4">
          <w:rPr>
            <w:rStyle w:val="Hyperlink"/>
            <w:noProof/>
            <w:lang w:val="en-US"/>
          </w:rPr>
          <w:t>Figure 3: Baseline simulation vs PDP8 target for fossil installed capacity (end-year levels).</w:t>
        </w:r>
        <w:r>
          <w:rPr>
            <w:noProof/>
            <w:webHidden/>
          </w:rPr>
          <w:tab/>
        </w:r>
        <w:r>
          <w:rPr>
            <w:noProof/>
            <w:webHidden/>
          </w:rPr>
          <w:fldChar w:fldCharType="begin"/>
        </w:r>
        <w:r>
          <w:rPr>
            <w:noProof/>
            <w:webHidden/>
          </w:rPr>
          <w:instrText xml:space="preserve"> PAGEREF _Toc236050718 \h </w:instrText>
        </w:r>
        <w:r>
          <w:rPr>
            <w:noProof/>
            <w:webHidden/>
          </w:rPr>
        </w:r>
        <w:r>
          <w:rPr>
            <w:noProof/>
            <w:webHidden/>
          </w:rPr>
          <w:fldChar w:fldCharType="separate"/>
        </w:r>
        <w:r>
          <w:rPr>
            <w:noProof/>
            <w:webHidden/>
          </w:rPr>
          <w:t>14</w:t>
        </w:r>
        <w:r>
          <w:rPr>
            <w:noProof/>
            <w:webHidden/>
          </w:rPr>
          <w:fldChar w:fldCharType="end"/>
        </w:r>
      </w:hyperlink>
    </w:p>
    <w:p w14:paraId="3E73A35F" w14:textId="3F17FC48"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19" w:history="1">
        <w:r w:rsidRPr="00B35CE4">
          <w:rPr>
            <w:rStyle w:val="Hyperlink"/>
            <w:noProof/>
          </w:rPr>
          <w:t>Figure 4:</w:t>
        </w:r>
        <w:r w:rsidRPr="00B35CE4">
          <w:rPr>
            <w:rStyle w:val="Hyperlink"/>
            <w:noProof/>
            <w:lang w:val="en-US"/>
          </w:rPr>
          <w:t>Baseline simulation vs PDP8 target for renewable investment share.</w:t>
        </w:r>
        <w:r>
          <w:rPr>
            <w:noProof/>
            <w:webHidden/>
          </w:rPr>
          <w:tab/>
        </w:r>
        <w:r>
          <w:rPr>
            <w:noProof/>
            <w:webHidden/>
          </w:rPr>
          <w:fldChar w:fldCharType="begin"/>
        </w:r>
        <w:r>
          <w:rPr>
            <w:noProof/>
            <w:webHidden/>
          </w:rPr>
          <w:instrText xml:space="preserve"> PAGEREF _Toc236050719 \h </w:instrText>
        </w:r>
        <w:r>
          <w:rPr>
            <w:noProof/>
            <w:webHidden/>
          </w:rPr>
        </w:r>
        <w:r>
          <w:rPr>
            <w:noProof/>
            <w:webHidden/>
          </w:rPr>
          <w:fldChar w:fldCharType="separate"/>
        </w:r>
        <w:r>
          <w:rPr>
            <w:noProof/>
            <w:webHidden/>
          </w:rPr>
          <w:t>15</w:t>
        </w:r>
        <w:r>
          <w:rPr>
            <w:noProof/>
            <w:webHidden/>
          </w:rPr>
          <w:fldChar w:fldCharType="end"/>
        </w:r>
      </w:hyperlink>
    </w:p>
    <w:p w14:paraId="754F4781" w14:textId="35105B83"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0" w:history="1">
        <w:r w:rsidRPr="00B35CE4">
          <w:rPr>
            <w:rStyle w:val="Hyperlink"/>
            <w:noProof/>
          </w:rPr>
          <w:t>Figure 5:</w:t>
        </w:r>
        <w:r w:rsidRPr="00B35CE4">
          <w:rPr>
            <w:rStyle w:val="Hyperlink"/>
            <w:noProof/>
            <w:lang w:val="en-US"/>
          </w:rPr>
          <w:t>Baseline simulation vs PDP8 target for fossil investment share.</w:t>
        </w:r>
        <w:r>
          <w:rPr>
            <w:noProof/>
            <w:webHidden/>
          </w:rPr>
          <w:tab/>
        </w:r>
        <w:r>
          <w:rPr>
            <w:noProof/>
            <w:webHidden/>
          </w:rPr>
          <w:fldChar w:fldCharType="begin"/>
        </w:r>
        <w:r>
          <w:rPr>
            <w:noProof/>
            <w:webHidden/>
          </w:rPr>
          <w:instrText xml:space="preserve"> PAGEREF _Toc236050720 \h </w:instrText>
        </w:r>
        <w:r>
          <w:rPr>
            <w:noProof/>
            <w:webHidden/>
          </w:rPr>
        </w:r>
        <w:r>
          <w:rPr>
            <w:noProof/>
            <w:webHidden/>
          </w:rPr>
          <w:fldChar w:fldCharType="separate"/>
        </w:r>
        <w:r>
          <w:rPr>
            <w:noProof/>
            <w:webHidden/>
          </w:rPr>
          <w:t>16</w:t>
        </w:r>
        <w:r>
          <w:rPr>
            <w:noProof/>
            <w:webHidden/>
          </w:rPr>
          <w:fldChar w:fldCharType="end"/>
        </w:r>
      </w:hyperlink>
    </w:p>
    <w:p w14:paraId="7D771173" w14:textId="68AE6117"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1" w:history="1">
        <w:r w:rsidRPr="00B35CE4">
          <w:rPr>
            <w:rStyle w:val="Hyperlink"/>
            <w:noProof/>
          </w:rPr>
          <w:t>Figure 6: Hierarchical organisation of the DGE-METRIC scenario framework</w:t>
        </w:r>
        <w:r>
          <w:rPr>
            <w:noProof/>
            <w:webHidden/>
          </w:rPr>
          <w:tab/>
        </w:r>
        <w:r>
          <w:rPr>
            <w:noProof/>
            <w:webHidden/>
          </w:rPr>
          <w:fldChar w:fldCharType="begin"/>
        </w:r>
        <w:r>
          <w:rPr>
            <w:noProof/>
            <w:webHidden/>
          </w:rPr>
          <w:instrText xml:space="preserve"> PAGEREF _Toc236050721 \h </w:instrText>
        </w:r>
        <w:r>
          <w:rPr>
            <w:noProof/>
            <w:webHidden/>
          </w:rPr>
        </w:r>
        <w:r>
          <w:rPr>
            <w:noProof/>
            <w:webHidden/>
          </w:rPr>
          <w:fldChar w:fldCharType="separate"/>
        </w:r>
        <w:r>
          <w:rPr>
            <w:noProof/>
            <w:webHidden/>
          </w:rPr>
          <w:t>21</w:t>
        </w:r>
        <w:r>
          <w:rPr>
            <w:noProof/>
            <w:webHidden/>
          </w:rPr>
          <w:fldChar w:fldCharType="end"/>
        </w:r>
      </w:hyperlink>
    </w:p>
    <w:p w14:paraId="5BE57711" w14:textId="2BA09460"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2" w:history="1">
        <w:r w:rsidRPr="00B35CE4">
          <w:rPr>
            <w:rStyle w:val="Hyperlink"/>
            <w:noProof/>
          </w:rPr>
          <w:t>Figure 7:</w:t>
        </w:r>
        <w:r w:rsidRPr="00B35CE4">
          <w:rPr>
            <w:rStyle w:val="Hyperlink"/>
            <w:noProof/>
            <w:lang w:val="en-US"/>
          </w:rPr>
          <w:t xml:space="preserve"> Energy-intensity deviation of EE scenarios from the Baseline.</w:t>
        </w:r>
        <w:r>
          <w:rPr>
            <w:noProof/>
            <w:webHidden/>
          </w:rPr>
          <w:tab/>
        </w:r>
        <w:r>
          <w:rPr>
            <w:noProof/>
            <w:webHidden/>
          </w:rPr>
          <w:fldChar w:fldCharType="begin"/>
        </w:r>
        <w:r>
          <w:rPr>
            <w:noProof/>
            <w:webHidden/>
          </w:rPr>
          <w:instrText xml:space="preserve"> PAGEREF _Toc236050722 \h </w:instrText>
        </w:r>
        <w:r>
          <w:rPr>
            <w:noProof/>
            <w:webHidden/>
          </w:rPr>
        </w:r>
        <w:r>
          <w:rPr>
            <w:noProof/>
            <w:webHidden/>
          </w:rPr>
          <w:fldChar w:fldCharType="separate"/>
        </w:r>
        <w:r>
          <w:rPr>
            <w:noProof/>
            <w:webHidden/>
          </w:rPr>
          <w:t>26</w:t>
        </w:r>
        <w:r>
          <w:rPr>
            <w:noProof/>
            <w:webHidden/>
          </w:rPr>
          <w:fldChar w:fldCharType="end"/>
        </w:r>
      </w:hyperlink>
    </w:p>
    <w:p w14:paraId="0D159E9F" w14:textId="39729C79"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3" w:history="1">
        <w:r w:rsidRPr="00B35CE4">
          <w:rPr>
            <w:rStyle w:val="Hyperlink"/>
            <w:noProof/>
          </w:rPr>
          <w:t>Figure 8:</w:t>
        </w:r>
        <w:r w:rsidRPr="00B35CE4">
          <w:rPr>
            <w:rStyle w:val="Hyperlink"/>
            <w:noProof/>
            <w:lang w:val="en-US"/>
          </w:rPr>
          <w:t xml:space="preserve"> Government consumption share deviation versus Baseline (5-year average).</w:t>
        </w:r>
        <w:r>
          <w:rPr>
            <w:noProof/>
            <w:webHidden/>
          </w:rPr>
          <w:tab/>
        </w:r>
        <w:r>
          <w:rPr>
            <w:noProof/>
            <w:webHidden/>
          </w:rPr>
          <w:fldChar w:fldCharType="begin"/>
        </w:r>
        <w:r>
          <w:rPr>
            <w:noProof/>
            <w:webHidden/>
          </w:rPr>
          <w:instrText xml:space="preserve"> PAGEREF _Toc236050723 \h </w:instrText>
        </w:r>
        <w:r>
          <w:rPr>
            <w:noProof/>
            <w:webHidden/>
          </w:rPr>
        </w:r>
        <w:r>
          <w:rPr>
            <w:noProof/>
            <w:webHidden/>
          </w:rPr>
          <w:fldChar w:fldCharType="separate"/>
        </w:r>
        <w:r>
          <w:rPr>
            <w:noProof/>
            <w:webHidden/>
          </w:rPr>
          <w:t>26</w:t>
        </w:r>
        <w:r>
          <w:rPr>
            <w:noProof/>
            <w:webHidden/>
          </w:rPr>
          <w:fldChar w:fldCharType="end"/>
        </w:r>
      </w:hyperlink>
    </w:p>
    <w:p w14:paraId="1172EC44" w14:textId="287E49D0"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4" w:history="1">
        <w:r w:rsidRPr="00B35CE4">
          <w:rPr>
            <w:rStyle w:val="Hyperlink"/>
            <w:noProof/>
          </w:rPr>
          <w:t xml:space="preserve">Figure 9: </w:t>
        </w:r>
        <w:r w:rsidRPr="00B35CE4">
          <w:rPr>
            <w:rStyle w:val="Hyperlink"/>
            <w:noProof/>
            <w:lang w:val="en-US"/>
          </w:rPr>
          <w:t>Housing investment share deviation versus Baseline (5-year average).</w:t>
        </w:r>
        <w:r>
          <w:rPr>
            <w:noProof/>
            <w:webHidden/>
          </w:rPr>
          <w:tab/>
        </w:r>
        <w:r>
          <w:rPr>
            <w:noProof/>
            <w:webHidden/>
          </w:rPr>
          <w:fldChar w:fldCharType="begin"/>
        </w:r>
        <w:r>
          <w:rPr>
            <w:noProof/>
            <w:webHidden/>
          </w:rPr>
          <w:instrText xml:space="preserve"> PAGEREF _Toc236050724 \h </w:instrText>
        </w:r>
        <w:r>
          <w:rPr>
            <w:noProof/>
            <w:webHidden/>
          </w:rPr>
        </w:r>
        <w:r>
          <w:rPr>
            <w:noProof/>
            <w:webHidden/>
          </w:rPr>
          <w:fldChar w:fldCharType="separate"/>
        </w:r>
        <w:r>
          <w:rPr>
            <w:noProof/>
            <w:webHidden/>
          </w:rPr>
          <w:t>27</w:t>
        </w:r>
        <w:r>
          <w:rPr>
            <w:noProof/>
            <w:webHidden/>
          </w:rPr>
          <w:fldChar w:fldCharType="end"/>
        </w:r>
      </w:hyperlink>
    </w:p>
    <w:p w14:paraId="00DEB084" w14:textId="7DAE4813"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5" w:history="1">
        <w:r w:rsidRPr="00B35CE4">
          <w:rPr>
            <w:rStyle w:val="Hyperlink"/>
            <w:noProof/>
          </w:rPr>
          <w:t>Figure 10:</w:t>
        </w:r>
        <w:r w:rsidRPr="00B35CE4">
          <w:rPr>
            <w:rStyle w:val="Hyperlink"/>
            <w:noProof/>
            <w:lang w:val="en-US"/>
          </w:rPr>
          <w:t xml:space="preserve"> Net exports share deviation versus Baseline (5-year average).</w:t>
        </w:r>
        <w:r>
          <w:rPr>
            <w:noProof/>
            <w:webHidden/>
          </w:rPr>
          <w:tab/>
        </w:r>
        <w:r>
          <w:rPr>
            <w:noProof/>
            <w:webHidden/>
          </w:rPr>
          <w:fldChar w:fldCharType="begin"/>
        </w:r>
        <w:r>
          <w:rPr>
            <w:noProof/>
            <w:webHidden/>
          </w:rPr>
          <w:instrText xml:space="preserve"> PAGEREF _Toc236050725 \h </w:instrText>
        </w:r>
        <w:r>
          <w:rPr>
            <w:noProof/>
            <w:webHidden/>
          </w:rPr>
        </w:r>
        <w:r>
          <w:rPr>
            <w:noProof/>
            <w:webHidden/>
          </w:rPr>
          <w:fldChar w:fldCharType="separate"/>
        </w:r>
        <w:r>
          <w:rPr>
            <w:noProof/>
            <w:webHidden/>
          </w:rPr>
          <w:t>27</w:t>
        </w:r>
        <w:r>
          <w:rPr>
            <w:noProof/>
            <w:webHidden/>
          </w:rPr>
          <w:fldChar w:fldCharType="end"/>
        </w:r>
      </w:hyperlink>
    </w:p>
    <w:p w14:paraId="7A267A30" w14:textId="595DCDB2"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6" w:history="1">
        <w:r w:rsidRPr="00B35CE4">
          <w:rPr>
            <w:rStyle w:val="Hyperlink"/>
            <w:noProof/>
          </w:rPr>
          <w:t xml:space="preserve">Figure 11: </w:t>
        </w:r>
        <w:r w:rsidRPr="00B35CE4">
          <w:rPr>
            <w:rStyle w:val="Hyperlink"/>
            <w:noProof/>
            <w:lang w:val="en-US"/>
          </w:rPr>
          <w:t>GDP level deviation versus Baseline across EE scenarios (5-year average).</w:t>
        </w:r>
        <w:r>
          <w:rPr>
            <w:noProof/>
            <w:webHidden/>
          </w:rPr>
          <w:tab/>
        </w:r>
        <w:r>
          <w:rPr>
            <w:noProof/>
            <w:webHidden/>
          </w:rPr>
          <w:fldChar w:fldCharType="begin"/>
        </w:r>
        <w:r>
          <w:rPr>
            <w:noProof/>
            <w:webHidden/>
          </w:rPr>
          <w:instrText xml:space="preserve"> PAGEREF _Toc236050726 \h </w:instrText>
        </w:r>
        <w:r>
          <w:rPr>
            <w:noProof/>
            <w:webHidden/>
          </w:rPr>
        </w:r>
        <w:r>
          <w:rPr>
            <w:noProof/>
            <w:webHidden/>
          </w:rPr>
          <w:fldChar w:fldCharType="separate"/>
        </w:r>
        <w:r>
          <w:rPr>
            <w:noProof/>
            <w:webHidden/>
          </w:rPr>
          <w:t>28</w:t>
        </w:r>
        <w:r>
          <w:rPr>
            <w:noProof/>
            <w:webHidden/>
          </w:rPr>
          <w:fldChar w:fldCharType="end"/>
        </w:r>
      </w:hyperlink>
    </w:p>
    <w:p w14:paraId="312A7328" w14:textId="34C36502"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7" w:history="1">
        <w:r w:rsidRPr="00B35CE4">
          <w:rPr>
            <w:rStyle w:val="Hyperlink"/>
            <w:noProof/>
          </w:rPr>
          <w:t xml:space="preserve">Figure 12: </w:t>
        </w:r>
        <w:r w:rsidRPr="00B35CE4">
          <w:rPr>
            <w:rStyle w:val="Hyperlink"/>
            <w:noProof/>
            <w:lang w:val="en-US"/>
          </w:rPr>
          <w:t>Consumption share deviation versus Baseline across EE scenarios (5-year average).</w:t>
        </w:r>
        <w:r>
          <w:rPr>
            <w:noProof/>
            <w:webHidden/>
          </w:rPr>
          <w:tab/>
        </w:r>
        <w:r>
          <w:rPr>
            <w:noProof/>
            <w:webHidden/>
          </w:rPr>
          <w:fldChar w:fldCharType="begin"/>
        </w:r>
        <w:r>
          <w:rPr>
            <w:noProof/>
            <w:webHidden/>
          </w:rPr>
          <w:instrText xml:space="preserve"> PAGEREF _Toc236050727 \h </w:instrText>
        </w:r>
        <w:r>
          <w:rPr>
            <w:noProof/>
            <w:webHidden/>
          </w:rPr>
        </w:r>
        <w:r>
          <w:rPr>
            <w:noProof/>
            <w:webHidden/>
          </w:rPr>
          <w:fldChar w:fldCharType="separate"/>
        </w:r>
        <w:r>
          <w:rPr>
            <w:noProof/>
            <w:webHidden/>
          </w:rPr>
          <w:t>28</w:t>
        </w:r>
        <w:r>
          <w:rPr>
            <w:noProof/>
            <w:webHidden/>
          </w:rPr>
          <w:fldChar w:fldCharType="end"/>
        </w:r>
      </w:hyperlink>
    </w:p>
    <w:p w14:paraId="4490A451" w14:textId="6DDBD816"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8" w:history="1">
        <w:r w:rsidRPr="00B35CE4">
          <w:rPr>
            <w:rStyle w:val="Hyperlink"/>
            <w:noProof/>
          </w:rPr>
          <w:t xml:space="preserve">Figure 13: </w:t>
        </w:r>
        <w:r w:rsidRPr="00B35CE4">
          <w:rPr>
            <w:rStyle w:val="Hyperlink"/>
            <w:noProof/>
            <w:lang w:val="en-US"/>
          </w:rPr>
          <w:t>Investment share deviation versus Baseline across EE scenarios (5-year average).</w:t>
        </w:r>
        <w:r>
          <w:rPr>
            <w:noProof/>
            <w:webHidden/>
          </w:rPr>
          <w:tab/>
        </w:r>
        <w:r>
          <w:rPr>
            <w:noProof/>
            <w:webHidden/>
          </w:rPr>
          <w:fldChar w:fldCharType="begin"/>
        </w:r>
        <w:r>
          <w:rPr>
            <w:noProof/>
            <w:webHidden/>
          </w:rPr>
          <w:instrText xml:space="preserve"> PAGEREF _Toc236050728 \h </w:instrText>
        </w:r>
        <w:r>
          <w:rPr>
            <w:noProof/>
            <w:webHidden/>
          </w:rPr>
        </w:r>
        <w:r>
          <w:rPr>
            <w:noProof/>
            <w:webHidden/>
          </w:rPr>
          <w:fldChar w:fldCharType="separate"/>
        </w:r>
        <w:r>
          <w:rPr>
            <w:noProof/>
            <w:webHidden/>
          </w:rPr>
          <w:t>29</w:t>
        </w:r>
        <w:r>
          <w:rPr>
            <w:noProof/>
            <w:webHidden/>
          </w:rPr>
          <w:fldChar w:fldCharType="end"/>
        </w:r>
      </w:hyperlink>
    </w:p>
    <w:p w14:paraId="7BFC88A5" w14:textId="0F68B170"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29" w:history="1">
        <w:r w:rsidRPr="00B35CE4">
          <w:rPr>
            <w:rStyle w:val="Hyperlink"/>
            <w:noProof/>
          </w:rPr>
          <w:t xml:space="preserve">Figure 14: </w:t>
        </w:r>
        <w:r w:rsidRPr="00B35CE4">
          <w:rPr>
            <w:rStyle w:val="Hyperlink"/>
            <w:noProof/>
            <w:lang w:val="en-US"/>
          </w:rPr>
          <w:t>GDP growth deviation versus Baseline across green-finance scenarios (5-year average).</w:t>
        </w:r>
        <w:r>
          <w:rPr>
            <w:noProof/>
            <w:webHidden/>
          </w:rPr>
          <w:tab/>
        </w:r>
        <w:r>
          <w:rPr>
            <w:noProof/>
            <w:webHidden/>
          </w:rPr>
          <w:fldChar w:fldCharType="begin"/>
        </w:r>
        <w:r>
          <w:rPr>
            <w:noProof/>
            <w:webHidden/>
          </w:rPr>
          <w:instrText xml:space="preserve"> PAGEREF _Toc236050729 \h </w:instrText>
        </w:r>
        <w:r>
          <w:rPr>
            <w:noProof/>
            <w:webHidden/>
          </w:rPr>
        </w:r>
        <w:r>
          <w:rPr>
            <w:noProof/>
            <w:webHidden/>
          </w:rPr>
          <w:fldChar w:fldCharType="separate"/>
        </w:r>
        <w:r>
          <w:rPr>
            <w:noProof/>
            <w:webHidden/>
          </w:rPr>
          <w:t>29</w:t>
        </w:r>
        <w:r>
          <w:rPr>
            <w:noProof/>
            <w:webHidden/>
          </w:rPr>
          <w:fldChar w:fldCharType="end"/>
        </w:r>
      </w:hyperlink>
    </w:p>
    <w:p w14:paraId="22131E40" w14:textId="47F74318"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0" w:history="1">
        <w:r w:rsidRPr="00B35CE4">
          <w:rPr>
            <w:rStyle w:val="Hyperlink"/>
            <w:noProof/>
          </w:rPr>
          <w:t>Figure 15</w:t>
        </w:r>
        <w:r w:rsidRPr="00B35CE4">
          <w:rPr>
            <w:rStyle w:val="Hyperlink"/>
            <w:noProof/>
            <w:lang w:val="en-US"/>
          </w:rPr>
          <w:t>: GDP level deviation versus Baseline across green-finance scenarios (5-year average).</w:t>
        </w:r>
        <w:r>
          <w:rPr>
            <w:noProof/>
            <w:webHidden/>
          </w:rPr>
          <w:tab/>
        </w:r>
        <w:r>
          <w:rPr>
            <w:noProof/>
            <w:webHidden/>
          </w:rPr>
          <w:fldChar w:fldCharType="begin"/>
        </w:r>
        <w:r>
          <w:rPr>
            <w:noProof/>
            <w:webHidden/>
          </w:rPr>
          <w:instrText xml:space="preserve"> PAGEREF _Toc236050730 \h </w:instrText>
        </w:r>
        <w:r>
          <w:rPr>
            <w:noProof/>
            <w:webHidden/>
          </w:rPr>
        </w:r>
        <w:r>
          <w:rPr>
            <w:noProof/>
            <w:webHidden/>
          </w:rPr>
          <w:fldChar w:fldCharType="separate"/>
        </w:r>
        <w:r>
          <w:rPr>
            <w:noProof/>
            <w:webHidden/>
          </w:rPr>
          <w:t>30</w:t>
        </w:r>
        <w:r>
          <w:rPr>
            <w:noProof/>
            <w:webHidden/>
          </w:rPr>
          <w:fldChar w:fldCharType="end"/>
        </w:r>
      </w:hyperlink>
    </w:p>
    <w:p w14:paraId="527C3DEA" w14:textId="6B602798"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1" w:history="1">
        <w:r w:rsidRPr="00B35CE4">
          <w:rPr>
            <w:rStyle w:val="Hyperlink"/>
            <w:noProof/>
          </w:rPr>
          <w:t>Figure 16</w:t>
        </w:r>
        <w:r w:rsidRPr="00B35CE4">
          <w:rPr>
            <w:rStyle w:val="Hyperlink"/>
            <w:noProof/>
            <w:lang w:val="en-US"/>
          </w:rPr>
          <w:t>: Consumption share deviation versus Baseline across green-finance scenarios (5-year average).</w:t>
        </w:r>
        <w:r>
          <w:rPr>
            <w:noProof/>
            <w:webHidden/>
          </w:rPr>
          <w:tab/>
        </w:r>
        <w:r>
          <w:rPr>
            <w:noProof/>
            <w:webHidden/>
          </w:rPr>
          <w:fldChar w:fldCharType="begin"/>
        </w:r>
        <w:r>
          <w:rPr>
            <w:noProof/>
            <w:webHidden/>
          </w:rPr>
          <w:instrText xml:space="preserve"> PAGEREF _Toc236050731 \h </w:instrText>
        </w:r>
        <w:r>
          <w:rPr>
            <w:noProof/>
            <w:webHidden/>
          </w:rPr>
        </w:r>
        <w:r>
          <w:rPr>
            <w:noProof/>
            <w:webHidden/>
          </w:rPr>
          <w:fldChar w:fldCharType="separate"/>
        </w:r>
        <w:r>
          <w:rPr>
            <w:noProof/>
            <w:webHidden/>
          </w:rPr>
          <w:t>30</w:t>
        </w:r>
        <w:r>
          <w:rPr>
            <w:noProof/>
            <w:webHidden/>
          </w:rPr>
          <w:fldChar w:fldCharType="end"/>
        </w:r>
      </w:hyperlink>
    </w:p>
    <w:p w14:paraId="03600A7C" w14:textId="27D68EAD"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2" w:history="1">
        <w:r w:rsidRPr="00B35CE4">
          <w:rPr>
            <w:rStyle w:val="Hyperlink"/>
            <w:noProof/>
          </w:rPr>
          <w:t>Figure 17:</w:t>
        </w:r>
        <w:r w:rsidRPr="00B35CE4">
          <w:rPr>
            <w:rStyle w:val="Hyperlink"/>
            <w:noProof/>
            <w:lang w:val="en-US"/>
          </w:rPr>
          <w:t xml:space="preserve"> Investment share deviation versus Baseline across green-finance scenarios (5-year average).</w:t>
        </w:r>
        <w:r>
          <w:rPr>
            <w:noProof/>
            <w:webHidden/>
          </w:rPr>
          <w:tab/>
        </w:r>
        <w:r>
          <w:rPr>
            <w:noProof/>
            <w:webHidden/>
          </w:rPr>
          <w:fldChar w:fldCharType="begin"/>
        </w:r>
        <w:r>
          <w:rPr>
            <w:noProof/>
            <w:webHidden/>
          </w:rPr>
          <w:instrText xml:space="preserve"> PAGEREF _Toc236050732 \h </w:instrText>
        </w:r>
        <w:r>
          <w:rPr>
            <w:noProof/>
            <w:webHidden/>
          </w:rPr>
        </w:r>
        <w:r>
          <w:rPr>
            <w:noProof/>
            <w:webHidden/>
          </w:rPr>
          <w:fldChar w:fldCharType="separate"/>
        </w:r>
        <w:r>
          <w:rPr>
            <w:noProof/>
            <w:webHidden/>
          </w:rPr>
          <w:t>31</w:t>
        </w:r>
        <w:r>
          <w:rPr>
            <w:noProof/>
            <w:webHidden/>
          </w:rPr>
          <w:fldChar w:fldCharType="end"/>
        </w:r>
      </w:hyperlink>
    </w:p>
    <w:p w14:paraId="167EEDAC" w14:textId="58E149A3"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3" w:history="1">
        <w:r w:rsidRPr="00B35CE4">
          <w:rPr>
            <w:rStyle w:val="Hyperlink"/>
            <w:noProof/>
          </w:rPr>
          <w:t>Figure 18</w:t>
        </w:r>
        <w:r w:rsidRPr="00B35CE4">
          <w:rPr>
            <w:rStyle w:val="Hyperlink"/>
            <w:noProof/>
            <w:lang w:val="en-US"/>
          </w:rPr>
          <w:t>:Government consumption share deviation versus Baseline across green-finance scenarios (5-year average).</w:t>
        </w:r>
        <w:r>
          <w:rPr>
            <w:noProof/>
            <w:webHidden/>
          </w:rPr>
          <w:tab/>
        </w:r>
        <w:r>
          <w:rPr>
            <w:noProof/>
            <w:webHidden/>
          </w:rPr>
          <w:fldChar w:fldCharType="begin"/>
        </w:r>
        <w:r>
          <w:rPr>
            <w:noProof/>
            <w:webHidden/>
          </w:rPr>
          <w:instrText xml:space="preserve"> PAGEREF _Toc236050733 \h </w:instrText>
        </w:r>
        <w:r>
          <w:rPr>
            <w:noProof/>
            <w:webHidden/>
          </w:rPr>
        </w:r>
        <w:r>
          <w:rPr>
            <w:noProof/>
            <w:webHidden/>
          </w:rPr>
          <w:fldChar w:fldCharType="separate"/>
        </w:r>
        <w:r>
          <w:rPr>
            <w:noProof/>
            <w:webHidden/>
          </w:rPr>
          <w:t>31</w:t>
        </w:r>
        <w:r>
          <w:rPr>
            <w:noProof/>
            <w:webHidden/>
          </w:rPr>
          <w:fldChar w:fldCharType="end"/>
        </w:r>
      </w:hyperlink>
    </w:p>
    <w:p w14:paraId="1E70A2EC" w14:textId="12CE480E"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4" w:history="1">
        <w:r w:rsidRPr="00B35CE4">
          <w:rPr>
            <w:rStyle w:val="Hyperlink"/>
            <w:noProof/>
          </w:rPr>
          <w:t>Figure 19</w:t>
        </w:r>
        <w:r w:rsidRPr="00B35CE4">
          <w:rPr>
            <w:rStyle w:val="Hyperlink"/>
            <w:noProof/>
            <w:lang w:val="en-US"/>
          </w:rPr>
          <w:t>: Housing investment share deviation versus Baseline across green-finance scenarios (5-year average).</w:t>
        </w:r>
        <w:r>
          <w:rPr>
            <w:noProof/>
            <w:webHidden/>
          </w:rPr>
          <w:tab/>
        </w:r>
        <w:r>
          <w:rPr>
            <w:noProof/>
            <w:webHidden/>
          </w:rPr>
          <w:fldChar w:fldCharType="begin"/>
        </w:r>
        <w:r>
          <w:rPr>
            <w:noProof/>
            <w:webHidden/>
          </w:rPr>
          <w:instrText xml:space="preserve"> PAGEREF _Toc236050734 \h </w:instrText>
        </w:r>
        <w:r>
          <w:rPr>
            <w:noProof/>
            <w:webHidden/>
          </w:rPr>
        </w:r>
        <w:r>
          <w:rPr>
            <w:noProof/>
            <w:webHidden/>
          </w:rPr>
          <w:fldChar w:fldCharType="separate"/>
        </w:r>
        <w:r>
          <w:rPr>
            <w:noProof/>
            <w:webHidden/>
          </w:rPr>
          <w:t>32</w:t>
        </w:r>
        <w:r>
          <w:rPr>
            <w:noProof/>
            <w:webHidden/>
          </w:rPr>
          <w:fldChar w:fldCharType="end"/>
        </w:r>
      </w:hyperlink>
    </w:p>
    <w:p w14:paraId="6226FD7E" w14:textId="694505D8"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5" w:history="1">
        <w:r w:rsidRPr="00B35CE4">
          <w:rPr>
            <w:rStyle w:val="Hyperlink"/>
            <w:noProof/>
          </w:rPr>
          <w:t>Figure 20</w:t>
        </w:r>
        <w:r w:rsidRPr="00B35CE4">
          <w:rPr>
            <w:rStyle w:val="Hyperlink"/>
            <w:noProof/>
            <w:lang w:val="en-US"/>
          </w:rPr>
          <w:t>:Net exports share deviation versus Baseline across green-finance scenarios (5-year average).</w:t>
        </w:r>
        <w:r>
          <w:rPr>
            <w:noProof/>
            <w:webHidden/>
          </w:rPr>
          <w:tab/>
        </w:r>
        <w:r>
          <w:rPr>
            <w:noProof/>
            <w:webHidden/>
          </w:rPr>
          <w:fldChar w:fldCharType="begin"/>
        </w:r>
        <w:r>
          <w:rPr>
            <w:noProof/>
            <w:webHidden/>
          </w:rPr>
          <w:instrText xml:space="preserve"> PAGEREF _Toc236050735 \h </w:instrText>
        </w:r>
        <w:r>
          <w:rPr>
            <w:noProof/>
            <w:webHidden/>
          </w:rPr>
        </w:r>
        <w:r>
          <w:rPr>
            <w:noProof/>
            <w:webHidden/>
          </w:rPr>
          <w:fldChar w:fldCharType="separate"/>
        </w:r>
        <w:r>
          <w:rPr>
            <w:noProof/>
            <w:webHidden/>
          </w:rPr>
          <w:t>32</w:t>
        </w:r>
        <w:r>
          <w:rPr>
            <w:noProof/>
            <w:webHidden/>
          </w:rPr>
          <w:fldChar w:fldCharType="end"/>
        </w:r>
      </w:hyperlink>
    </w:p>
    <w:p w14:paraId="0CD7A8BD" w14:textId="0AE288E8"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36" w:history="1">
        <w:r w:rsidRPr="00B35CE4">
          <w:rPr>
            <w:rStyle w:val="Hyperlink"/>
            <w:noProof/>
          </w:rPr>
          <w:t xml:space="preserve">Figure 21: </w:t>
        </w:r>
        <w:r w:rsidRPr="00B35CE4">
          <w:rPr>
            <w:rStyle w:val="Hyperlink"/>
            <w:noProof/>
            <w:lang w:val="en-US"/>
          </w:rPr>
          <w:t>Renewable-energy WACC deviation versus Baseline across green-finance scenarios (5-year average).</w:t>
        </w:r>
        <w:r>
          <w:rPr>
            <w:noProof/>
            <w:webHidden/>
          </w:rPr>
          <w:tab/>
        </w:r>
        <w:r>
          <w:rPr>
            <w:noProof/>
            <w:webHidden/>
          </w:rPr>
          <w:fldChar w:fldCharType="begin"/>
        </w:r>
        <w:r>
          <w:rPr>
            <w:noProof/>
            <w:webHidden/>
          </w:rPr>
          <w:instrText xml:space="preserve"> PAGEREF _Toc236050736 \h </w:instrText>
        </w:r>
        <w:r>
          <w:rPr>
            <w:noProof/>
            <w:webHidden/>
          </w:rPr>
        </w:r>
        <w:r>
          <w:rPr>
            <w:noProof/>
            <w:webHidden/>
          </w:rPr>
          <w:fldChar w:fldCharType="separate"/>
        </w:r>
        <w:r>
          <w:rPr>
            <w:noProof/>
            <w:webHidden/>
          </w:rPr>
          <w:t>33</w:t>
        </w:r>
        <w:r>
          <w:rPr>
            <w:noProof/>
            <w:webHidden/>
          </w:rPr>
          <w:fldChar w:fldCharType="end"/>
        </w:r>
      </w:hyperlink>
    </w:p>
    <w:p w14:paraId="2378B864" w14:textId="48710598" w:rsidR="00E14EDE" w:rsidRPr="00C9711D" w:rsidRDefault="009A2BBC">
      <w:pPr>
        <w:rPr>
          <w:rFonts w:ascii="Cambria" w:eastAsiaTheme="majorEastAsia" w:hAnsi="Cambria" w:cstheme="majorBidi"/>
          <w:b/>
          <w:bCs/>
          <w:color w:val="1B2062" w:themeColor="accent1" w:themeShade="BF"/>
          <w:lang w:val="en-US"/>
        </w:rPr>
      </w:pPr>
      <w:r w:rsidRPr="00C9711D">
        <w:rPr>
          <w:rFonts w:ascii="Cambria" w:hAnsi="Cambria"/>
          <w:b/>
          <w:lang w:val="en-US"/>
        </w:rPr>
        <w:fldChar w:fldCharType="end"/>
      </w:r>
    </w:p>
    <w:p w14:paraId="6946937E" w14:textId="77777777" w:rsidR="00E14EDE" w:rsidRPr="00C9711D" w:rsidRDefault="002B6202" w:rsidP="00752B43">
      <w:pPr>
        <w:pStyle w:val="berschrift1"/>
        <w:numPr>
          <w:ilvl w:val="0"/>
          <w:numId w:val="0"/>
        </w:numPr>
        <w:rPr>
          <w:lang w:val="en-US"/>
        </w:rPr>
      </w:pPr>
      <w:bookmarkStart w:id="11" w:name="_Toc236050639"/>
      <w:r w:rsidRPr="00C9711D">
        <w:rPr>
          <w:lang w:val="en-US"/>
        </w:rPr>
        <w:t>List of Tables</w:t>
      </w:r>
      <w:bookmarkEnd w:id="10"/>
      <w:bookmarkEnd w:id="11"/>
    </w:p>
    <w:p w14:paraId="211D4ED1" w14:textId="56244BBB" w:rsidR="00752B43" w:rsidRDefault="004404AC">
      <w:pPr>
        <w:pStyle w:val="Abbildungsverzeichnis"/>
        <w:tabs>
          <w:tab w:val="right" w:leader="dot" w:pos="9629"/>
        </w:tabs>
        <w:rPr>
          <w:rFonts w:eastAsiaTheme="minorEastAsia"/>
          <w:noProof/>
          <w:color w:val="auto"/>
          <w:kern w:val="2"/>
          <w:sz w:val="24"/>
          <w:szCs w:val="24"/>
          <w:lang w:eastAsia="de-DE"/>
          <w14:ligatures w14:val="standardContextual"/>
        </w:rPr>
      </w:pPr>
      <w:r w:rsidRPr="00C9711D">
        <w:rPr>
          <w:rFonts w:ascii="Cambria" w:hAnsi="Cambria"/>
          <w:b/>
          <w:lang w:val="en-US"/>
        </w:rPr>
        <w:fldChar w:fldCharType="begin"/>
      </w:r>
      <w:r w:rsidRPr="00C9711D">
        <w:rPr>
          <w:rFonts w:ascii="Cambria" w:hAnsi="Cambria"/>
          <w:b/>
          <w:lang w:val="en-US"/>
        </w:rPr>
        <w:instrText xml:space="preserve"> TOC \h \z \c "Table" </w:instrText>
      </w:r>
      <w:r w:rsidRPr="00C9711D">
        <w:rPr>
          <w:rFonts w:ascii="Cambria" w:hAnsi="Cambria"/>
          <w:b/>
          <w:lang w:val="en-US"/>
        </w:rPr>
        <w:fldChar w:fldCharType="separate"/>
      </w:r>
      <w:hyperlink w:anchor="_Toc236050749" w:history="1">
        <w:r w:rsidR="00752B43" w:rsidRPr="00BD3775">
          <w:rPr>
            <w:rStyle w:val="Hyperlink"/>
            <w:noProof/>
            <w:lang w:val="en-US"/>
          </w:rPr>
          <w:t>Table 1: Sectoral classification</w:t>
        </w:r>
        <w:r w:rsidR="00752B43">
          <w:rPr>
            <w:noProof/>
            <w:webHidden/>
          </w:rPr>
          <w:tab/>
        </w:r>
        <w:r w:rsidR="00752B43">
          <w:rPr>
            <w:noProof/>
            <w:webHidden/>
          </w:rPr>
          <w:fldChar w:fldCharType="begin"/>
        </w:r>
        <w:r w:rsidR="00752B43">
          <w:rPr>
            <w:noProof/>
            <w:webHidden/>
          </w:rPr>
          <w:instrText xml:space="preserve"> PAGEREF _Toc236050749 \h </w:instrText>
        </w:r>
        <w:r w:rsidR="00752B43">
          <w:rPr>
            <w:noProof/>
            <w:webHidden/>
          </w:rPr>
        </w:r>
        <w:r w:rsidR="00752B43">
          <w:rPr>
            <w:noProof/>
            <w:webHidden/>
          </w:rPr>
          <w:fldChar w:fldCharType="separate"/>
        </w:r>
        <w:r w:rsidR="00752B43">
          <w:rPr>
            <w:noProof/>
            <w:webHidden/>
          </w:rPr>
          <w:t>4</w:t>
        </w:r>
        <w:r w:rsidR="00752B43">
          <w:rPr>
            <w:noProof/>
            <w:webHidden/>
          </w:rPr>
          <w:fldChar w:fldCharType="end"/>
        </w:r>
      </w:hyperlink>
    </w:p>
    <w:p w14:paraId="7C657C37" w14:textId="6F068C10"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50" w:history="1">
        <w:r w:rsidRPr="00BD3775">
          <w:rPr>
            <w:rStyle w:val="Hyperlink"/>
            <w:noProof/>
            <w:lang w:val="en-US"/>
          </w:rPr>
          <w:t>Table 2: Model Extentions</w:t>
        </w:r>
        <w:r>
          <w:rPr>
            <w:noProof/>
            <w:webHidden/>
          </w:rPr>
          <w:tab/>
        </w:r>
        <w:r>
          <w:rPr>
            <w:noProof/>
            <w:webHidden/>
          </w:rPr>
          <w:fldChar w:fldCharType="begin"/>
        </w:r>
        <w:r>
          <w:rPr>
            <w:noProof/>
            <w:webHidden/>
          </w:rPr>
          <w:instrText xml:space="preserve"> PAGEREF _Toc236050750 \h </w:instrText>
        </w:r>
        <w:r>
          <w:rPr>
            <w:noProof/>
            <w:webHidden/>
          </w:rPr>
        </w:r>
        <w:r>
          <w:rPr>
            <w:noProof/>
            <w:webHidden/>
          </w:rPr>
          <w:fldChar w:fldCharType="separate"/>
        </w:r>
        <w:r>
          <w:rPr>
            <w:noProof/>
            <w:webHidden/>
          </w:rPr>
          <w:t>7</w:t>
        </w:r>
        <w:r>
          <w:rPr>
            <w:noProof/>
            <w:webHidden/>
          </w:rPr>
          <w:fldChar w:fldCharType="end"/>
        </w:r>
      </w:hyperlink>
    </w:p>
    <w:p w14:paraId="5C5B5772" w14:textId="2B0D8A73"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51" w:history="1">
        <w:r w:rsidRPr="00BD3775">
          <w:rPr>
            <w:rStyle w:val="Hyperlink"/>
            <w:noProof/>
            <w:lang w:val="en-US"/>
          </w:rPr>
          <w:t>Table 3: Sectoral classification</w:t>
        </w:r>
        <w:r>
          <w:rPr>
            <w:noProof/>
            <w:webHidden/>
          </w:rPr>
          <w:tab/>
        </w:r>
        <w:r>
          <w:rPr>
            <w:noProof/>
            <w:webHidden/>
          </w:rPr>
          <w:fldChar w:fldCharType="begin"/>
        </w:r>
        <w:r>
          <w:rPr>
            <w:noProof/>
            <w:webHidden/>
          </w:rPr>
          <w:instrText xml:space="preserve"> PAGEREF _Toc236050751 \h </w:instrText>
        </w:r>
        <w:r>
          <w:rPr>
            <w:noProof/>
            <w:webHidden/>
          </w:rPr>
        </w:r>
        <w:r>
          <w:rPr>
            <w:noProof/>
            <w:webHidden/>
          </w:rPr>
          <w:fldChar w:fldCharType="separate"/>
        </w:r>
        <w:r>
          <w:rPr>
            <w:noProof/>
            <w:webHidden/>
          </w:rPr>
          <w:t>8</w:t>
        </w:r>
        <w:r>
          <w:rPr>
            <w:noProof/>
            <w:webHidden/>
          </w:rPr>
          <w:fldChar w:fldCharType="end"/>
        </w:r>
      </w:hyperlink>
    </w:p>
    <w:p w14:paraId="373687DB" w14:textId="2991D52D" w:rsidR="00752B43" w:rsidRDefault="00752B43">
      <w:pPr>
        <w:pStyle w:val="Abbildungsverzeichnis"/>
        <w:tabs>
          <w:tab w:val="right" w:leader="dot" w:pos="9629"/>
        </w:tabs>
        <w:rPr>
          <w:rFonts w:eastAsiaTheme="minorEastAsia"/>
          <w:noProof/>
          <w:color w:val="auto"/>
          <w:kern w:val="2"/>
          <w:sz w:val="24"/>
          <w:szCs w:val="24"/>
          <w:lang w:eastAsia="de-DE"/>
          <w14:ligatures w14:val="standardContextual"/>
        </w:rPr>
      </w:pPr>
      <w:hyperlink w:anchor="_Toc236050752" w:history="1">
        <w:r w:rsidRPr="00BD3775">
          <w:rPr>
            <w:rStyle w:val="Hyperlink"/>
            <w:noProof/>
          </w:rPr>
          <w:t>Table 4</w:t>
        </w:r>
        <w:r>
          <w:rPr>
            <w:noProof/>
            <w:webHidden/>
          </w:rPr>
          <w:tab/>
        </w:r>
        <w:r>
          <w:rPr>
            <w:noProof/>
            <w:webHidden/>
          </w:rPr>
          <w:fldChar w:fldCharType="begin"/>
        </w:r>
        <w:r>
          <w:rPr>
            <w:noProof/>
            <w:webHidden/>
          </w:rPr>
          <w:instrText xml:space="preserve"> PAGEREF _Toc236050752 \h </w:instrText>
        </w:r>
        <w:r>
          <w:rPr>
            <w:noProof/>
            <w:webHidden/>
          </w:rPr>
        </w:r>
        <w:r>
          <w:rPr>
            <w:noProof/>
            <w:webHidden/>
          </w:rPr>
          <w:fldChar w:fldCharType="separate"/>
        </w:r>
        <w:r>
          <w:rPr>
            <w:noProof/>
            <w:webHidden/>
          </w:rPr>
          <w:t>23</w:t>
        </w:r>
        <w:r>
          <w:rPr>
            <w:noProof/>
            <w:webHidden/>
          </w:rPr>
          <w:fldChar w:fldCharType="end"/>
        </w:r>
      </w:hyperlink>
    </w:p>
    <w:p w14:paraId="1C12CA90" w14:textId="4206B56C" w:rsidR="004404AC" w:rsidRPr="00C9711D" w:rsidRDefault="004404AC">
      <w:pPr>
        <w:rPr>
          <w:rFonts w:ascii="Cambria" w:hAnsi="Cambria"/>
          <w:b/>
          <w:lang w:val="en-US"/>
        </w:rPr>
      </w:pPr>
      <w:r w:rsidRPr="00C9711D">
        <w:rPr>
          <w:rFonts w:ascii="Cambria" w:hAnsi="Cambria"/>
          <w:b/>
          <w:lang w:val="en-US"/>
        </w:rPr>
        <w:fldChar w:fldCharType="end"/>
      </w:r>
    </w:p>
    <w:p w14:paraId="17F1B242" w14:textId="77777777" w:rsidR="004404AC" w:rsidRPr="00C9711D" w:rsidRDefault="004404AC">
      <w:pPr>
        <w:rPr>
          <w:rFonts w:ascii="Cambria" w:hAnsi="Cambria"/>
          <w:b/>
          <w:lang w:val="en-US"/>
        </w:rPr>
      </w:pPr>
    </w:p>
    <w:p w14:paraId="2E504D71" w14:textId="77777777" w:rsidR="00E14EDE" w:rsidRPr="00C9711D" w:rsidRDefault="002B6202">
      <w:pPr>
        <w:rPr>
          <w:rFonts w:ascii="Cambria" w:eastAsiaTheme="majorEastAsia" w:hAnsi="Cambria" w:cstheme="majorBidi"/>
          <w:b/>
          <w:bCs/>
          <w:color w:val="1B2062" w:themeColor="accent1" w:themeShade="BF"/>
          <w:lang w:val="en-US"/>
        </w:rPr>
      </w:pPr>
      <w:r w:rsidRPr="00C9711D">
        <w:rPr>
          <w:rFonts w:ascii="Cambria" w:hAnsi="Cambria"/>
          <w:b/>
          <w:lang w:val="en-US"/>
        </w:rPr>
        <w:br w:type="page"/>
      </w:r>
    </w:p>
    <w:p w14:paraId="59B7BC1E" w14:textId="77777777" w:rsidR="00E14EDE" w:rsidRPr="00C9711D" w:rsidRDefault="002B6202" w:rsidP="00752B43">
      <w:pPr>
        <w:pStyle w:val="berschrift1"/>
        <w:numPr>
          <w:ilvl w:val="0"/>
          <w:numId w:val="0"/>
        </w:numPr>
        <w:rPr>
          <w:lang w:val="en-US"/>
        </w:rPr>
      </w:pPr>
      <w:bookmarkStart w:id="12" w:name="abbreviations"/>
      <w:bookmarkStart w:id="13" w:name="_Toc236050640"/>
      <w:r w:rsidRPr="00C9711D">
        <w:rPr>
          <w:lang w:val="en-US"/>
        </w:rPr>
        <w:lastRenderedPageBreak/>
        <w:t>Abbreviations</w:t>
      </w:r>
      <w:bookmarkEnd w:id="13"/>
    </w:p>
    <w:p w14:paraId="7C9A9C1E" w14:textId="0520E165"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BESS</w:t>
      </w:r>
      <w:r w:rsidRPr="00C9711D">
        <w:rPr>
          <w:rFonts w:ascii="Cambria" w:hAnsi="Cambria"/>
          <w:lang w:val="en-US"/>
        </w:rPr>
        <w:tab/>
        <w:t xml:space="preserve">Battery Energy Storage System </w:t>
      </w:r>
    </w:p>
    <w:p w14:paraId="5264257C" w14:textId="66C90EDF"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CMIP6</w:t>
      </w:r>
      <w:r w:rsidRPr="00C9711D">
        <w:rPr>
          <w:rFonts w:ascii="Cambria" w:hAnsi="Cambria"/>
          <w:lang w:val="en-US"/>
        </w:rPr>
        <w:tab/>
        <w:t xml:space="preserve">Coupled Model Intercomparison Project Phase 6 </w:t>
      </w:r>
    </w:p>
    <w:p w14:paraId="66FED6E4" w14:textId="3930646D"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COP26 </w:t>
      </w:r>
      <w:r w:rsidRPr="00C9711D">
        <w:rPr>
          <w:rFonts w:ascii="Cambria" w:hAnsi="Cambria"/>
          <w:lang w:val="en-US"/>
        </w:rPr>
        <w:tab/>
        <w:t xml:space="preserve">26th UN Climate Change Conference of the Parties </w:t>
      </w:r>
    </w:p>
    <w:p w14:paraId="5986E8A8" w14:textId="4A4C7AEB"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DGE</w:t>
      </w:r>
      <w:r w:rsidRPr="00C9711D">
        <w:rPr>
          <w:rFonts w:ascii="Cambria" w:hAnsi="Cambria"/>
          <w:lang w:val="en-US"/>
        </w:rPr>
        <w:tab/>
        <w:t xml:space="preserve">Dynamic General Equilibrium </w:t>
      </w:r>
    </w:p>
    <w:p w14:paraId="27984A3A" w14:textId="06B22F4B" w:rsidR="001314FA" w:rsidRPr="00C9711D" w:rsidRDefault="001314FA" w:rsidP="001314FA">
      <w:pPr>
        <w:tabs>
          <w:tab w:val="left" w:pos="1560"/>
        </w:tabs>
        <w:spacing w:after="0" w:line="360" w:lineRule="auto"/>
        <w:ind w:left="1560" w:hanging="1560"/>
        <w:rPr>
          <w:rFonts w:ascii="Cambria" w:hAnsi="Cambria"/>
          <w:lang w:val="en-US"/>
        </w:rPr>
      </w:pPr>
      <w:r w:rsidRPr="00C9711D">
        <w:rPr>
          <w:rFonts w:ascii="Cambria" w:hAnsi="Cambria"/>
          <w:lang w:val="en-US"/>
        </w:rPr>
        <w:t xml:space="preserve">DGE-METRIC </w:t>
      </w:r>
      <w:r w:rsidRPr="00C9711D">
        <w:rPr>
          <w:rFonts w:ascii="Cambria" w:hAnsi="Cambria"/>
          <w:lang w:val="en-US"/>
        </w:rPr>
        <w:tab/>
        <w:t xml:space="preserve">Dynamic General Equilibrium Model for Vietnam’s Energy Transition Incorporating Carbon Markets </w:t>
      </w:r>
    </w:p>
    <w:p w14:paraId="18645AB4" w14:textId="73147783"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EDGAR</w:t>
      </w:r>
      <w:r w:rsidRPr="00C9711D">
        <w:rPr>
          <w:rFonts w:ascii="Cambria" w:hAnsi="Cambria"/>
          <w:lang w:val="en-US"/>
        </w:rPr>
        <w:tab/>
        <w:t xml:space="preserve">Emissions Database for Global Atmospheric Research </w:t>
      </w:r>
    </w:p>
    <w:p w14:paraId="5CF877BE" w14:textId="7339DD3D"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ETS</w:t>
      </w:r>
      <w:r w:rsidRPr="00C9711D">
        <w:rPr>
          <w:rFonts w:ascii="Cambria" w:hAnsi="Cambria"/>
          <w:lang w:val="en-US"/>
        </w:rPr>
        <w:tab/>
        <w:t xml:space="preserve">Emissions Trading System </w:t>
      </w:r>
    </w:p>
    <w:p w14:paraId="43169162" w14:textId="0488230B"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EVN </w:t>
      </w:r>
      <w:r w:rsidRPr="00C9711D">
        <w:rPr>
          <w:rFonts w:ascii="Cambria" w:hAnsi="Cambria"/>
          <w:lang w:val="en-US"/>
        </w:rPr>
        <w:tab/>
        <w:t xml:space="preserve">Electricity of Vietnam </w:t>
      </w:r>
    </w:p>
    <w:p w14:paraId="53D442E1" w14:textId="0DE968B8"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EXIOBASE </w:t>
      </w:r>
      <w:r w:rsidRPr="00C9711D">
        <w:rPr>
          <w:rFonts w:ascii="Cambria" w:hAnsi="Cambria"/>
          <w:lang w:val="en-US"/>
        </w:rPr>
        <w:tab/>
        <w:t xml:space="preserve">Environmentally Extended Multi-Regional Input-Output Database </w:t>
      </w:r>
    </w:p>
    <w:p w14:paraId="11168942" w14:textId="4E63228D"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FDI </w:t>
      </w:r>
      <w:r w:rsidRPr="00C9711D">
        <w:rPr>
          <w:rFonts w:ascii="Cambria" w:hAnsi="Cambria"/>
          <w:lang w:val="en-US"/>
        </w:rPr>
        <w:tab/>
        <w:t xml:space="preserve">Foreign Direct Investment </w:t>
      </w:r>
    </w:p>
    <w:p w14:paraId="289C6273" w14:textId="4C314E8B"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GIZ </w:t>
      </w:r>
      <w:r w:rsidRPr="00C9711D">
        <w:rPr>
          <w:rFonts w:ascii="Cambria" w:hAnsi="Cambria"/>
          <w:lang w:val="en-US"/>
        </w:rPr>
        <w:tab/>
        <w:t xml:space="preserve">Deutsche Gesellschaft für Internationale Zusammenarbeit </w:t>
      </w:r>
    </w:p>
    <w:p w14:paraId="12799578" w14:textId="1A9F03BD"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GDP </w:t>
      </w:r>
      <w:r w:rsidRPr="00C9711D">
        <w:rPr>
          <w:rFonts w:ascii="Cambria" w:hAnsi="Cambria"/>
          <w:lang w:val="en-US"/>
        </w:rPr>
        <w:tab/>
        <w:t xml:space="preserve">Gross Domestic Product </w:t>
      </w:r>
    </w:p>
    <w:p w14:paraId="5D67DF34" w14:textId="615F29F2"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IEA </w:t>
      </w:r>
      <w:r w:rsidRPr="00C9711D">
        <w:rPr>
          <w:rFonts w:ascii="Cambria" w:hAnsi="Cambria"/>
          <w:lang w:val="en-US"/>
        </w:rPr>
        <w:tab/>
        <w:t xml:space="preserve">International Energy Agency </w:t>
      </w:r>
    </w:p>
    <w:p w14:paraId="74EABA16" w14:textId="1AD92346"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IRENA </w:t>
      </w:r>
      <w:r w:rsidRPr="00C9711D">
        <w:rPr>
          <w:rFonts w:ascii="Cambria" w:hAnsi="Cambria"/>
          <w:lang w:val="en-US"/>
        </w:rPr>
        <w:tab/>
        <w:t>International Renewable Energy Agency</w:t>
      </w:r>
    </w:p>
    <w:p w14:paraId="6BF1C2EB" w14:textId="172AFFA9"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IWH</w:t>
      </w:r>
      <w:r w:rsidRPr="00C9711D">
        <w:rPr>
          <w:rFonts w:ascii="Cambria" w:hAnsi="Cambria"/>
          <w:lang w:val="en-US"/>
        </w:rPr>
        <w:tab/>
        <w:t xml:space="preserve">Halle Institute for Economic Research </w:t>
      </w:r>
    </w:p>
    <w:p w14:paraId="34CFA4FD" w14:textId="062EAA79"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IO </w:t>
      </w:r>
      <w:r w:rsidRPr="00C9711D">
        <w:rPr>
          <w:rFonts w:ascii="Cambria" w:hAnsi="Cambria"/>
          <w:lang w:val="en-US"/>
        </w:rPr>
        <w:tab/>
        <w:t xml:space="preserve">Input-Output </w:t>
      </w:r>
    </w:p>
    <w:p w14:paraId="1CF93BE1" w14:textId="679EB7F4"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KfW</w:t>
      </w:r>
      <w:r w:rsidRPr="00C9711D">
        <w:rPr>
          <w:rFonts w:ascii="Cambria" w:hAnsi="Cambria"/>
          <w:lang w:val="en-US"/>
        </w:rPr>
        <w:tab/>
        <w:t xml:space="preserve">Kreditanstalt für Wiederaufbau </w:t>
      </w:r>
    </w:p>
    <w:p w14:paraId="207AE289" w14:textId="12C09966"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LCOE </w:t>
      </w:r>
      <w:r w:rsidRPr="00C9711D">
        <w:rPr>
          <w:rFonts w:ascii="Cambria" w:hAnsi="Cambria"/>
          <w:lang w:val="en-US"/>
        </w:rPr>
        <w:tab/>
        <w:t xml:space="preserve">Levelized Cost of Energy </w:t>
      </w:r>
    </w:p>
    <w:p w14:paraId="2551534D" w14:textId="4F04095F"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NDC </w:t>
      </w:r>
      <w:r w:rsidRPr="00C9711D">
        <w:rPr>
          <w:rFonts w:ascii="Cambria" w:hAnsi="Cambria"/>
          <w:lang w:val="en-US"/>
        </w:rPr>
        <w:tab/>
        <w:t xml:space="preserve">Nationally Determined Contribution </w:t>
      </w:r>
    </w:p>
    <w:p w14:paraId="3BF566EC" w14:textId="68E85368"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NSO</w:t>
      </w:r>
      <w:r w:rsidRPr="00C9711D">
        <w:rPr>
          <w:rFonts w:ascii="Cambria" w:hAnsi="Cambria"/>
          <w:lang w:val="en-US"/>
        </w:rPr>
        <w:tab/>
        <w:t xml:space="preserve">National Statistics Office </w:t>
      </w:r>
    </w:p>
    <w:p w14:paraId="507A3D2E" w14:textId="33D4AB14"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OECD </w:t>
      </w:r>
      <w:r w:rsidRPr="00C9711D">
        <w:rPr>
          <w:rFonts w:ascii="Cambria" w:hAnsi="Cambria"/>
          <w:lang w:val="en-US"/>
        </w:rPr>
        <w:tab/>
        <w:t xml:space="preserve">Organisation for Economic Co-operation and Development </w:t>
      </w:r>
    </w:p>
    <w:p w14:paraId="7C89F88E" w14:textId="0FAA1EDE"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PDP8 </w:t>
      </w:r>
      <w:r w:rsidRPr="00C9711D">
        <w:rPr>
          <w:rFonts w:ascii="Cambria" w:hAnsi="Cambria"/>
          <w:lang w:val="en-US"/>
        </w:rPr>
        <w:tab/>
        <w:t xml:space="preserve">Power Development Plan 8 PV </w:t>
      </w:r>
    </w:p>
    <w:p w14:paraId="54116089" w14:textId="40014BBF"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Photovoltaic SSP </w:t>
      </w:r>
      <w:r w:rsidRPr="00C9711D">
        <w:rPr>
          <w:rFonts w:ascii="Cambria" w:hAnsi="Cambria"/>
          <w:lang w:val="en-US"/>
        </w:rPr>
        <w:tab/>
        <w:t xml:space="preserve"> Shared Socioeconomic Pathway </w:t>
      </w:r>
    </w:p>
    <w:p w14:paraId="39B158D6" w14:textId="0CC3A772"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USD </w:t>
      </w:r>
      <w:r w:rsidRPr="00C9711D">
        <w:rPr>
          <w:rFonts w:ascii="Cambria" w:hAnsi="Cambria"/>
          <w:lang w:val="en-US"/>
        </w:rPr>
        <w:tab/>
        <w:t xml:space="preserve">United States Dollar </w:t>
      </w:r>
    </w:p>
    <w:p w14:paraId="63A9E740" w14:textId="48FB77B6"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UIP </w:t>
      </w:r>
      <w:r w:rsidRPr="00C9711D">
        <w:rPr>
          <w:rFonts w:ascii="Cambria" w:hAnsi="Cambria"/>
          <w:lang w:val="en-US"/>
        </w:rPr>
        <w:tab/>
        <w:t xml:space="preserve">Uncovered Interest Parity </w:t>
      </w:r>
    </w:p>
    <w:p w14:paraId="08197678" w14:textId="0C6EEC11"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WACC </w:t>
      </w:r>
      <w:r w:rsidRPr="00C9711D">
        <w:rPr>
          <w:rFonts w:ascii="Cambria" w:hAnsi="Cambria"/>
          <w:lang w:val="en-US"/>
        </w:rPr>
        <w:tab/>
        <w:t xml:space="preserve">Weighted Average Cost of Capital </w:t>
      </w:r>
    </w:p>
    <w:p w14:paraId="2987B1B4" w14:textId="1662F6BF" w:rsidR="001314FA" w:rsidRPr="00C9711D" w:rsidRDefault="001314FA" w:rsidP="001314FA">
      <w:pPr>
        <w:tabs>
          <w:tab w:val="left" w:pos="1560"/>
        </w:tabs>
        <w:spacing w:after="0" w:line="360" w:lineRule="auto"/>
        <w:rPr>
          <w:rFonts w:ascii="Cambria" w:hAnsi="Cambria"/>
          <w:lang w:val="en-US"/>
        </w:rPr>
      </w:pPr>
      <w:r w:rsidRPr="00C9711D">
        <w:rPr>
          <w:rFonts w:ascii="Cambria" w:hAnsi="Cambria"/>
          <w:lang w:val="en-US"/>
        </w:rPr>
        <w:t xml:space="preserve">WACF </w:t>
      </w:r>
      <w:r w:rsidRPr="00C9711D">
        <w:rPr>
          <w:rFonts w:ascii="Cambria" w:hAnsi="Cambria"/>
          <w:lang w:val="en-US"/>
        </w:rPr>
        <w:tab/>
        <w:t>Weighted Average Cost of Finance</w:t>
      </w:r>
    </w:p>
    <w:p w14:paraId="66FB77E1" w14:textId="77777777" w:rsidR="00E14EDE" w:rsidRPr="00C9711D" w:rsidRDefault="002B6202">
      <w:pPr>
        <w:rPr>
          <w:rFonts w:asciiTheme="majorHAnsi" w:eastAsiaTheme="minorEastAsia" w:hAnsiTheme="majorHAnsi" w:cs="Times New Roman"/>
          <w:szCs w:val="20"/>
          <w:lang w:val="en-US" w:eastAsia="de-DE"/>
        </w:rPr>
      </w:pPr>
      <w:bookmarkStart w:id="14" w:name="_Ref13070926"/>
      <w:bookmarkStart w:id="15" w:name="_Toc38647180"/>
      <w:bookmarkStart w:id="16" w:name="_Ref17891630"/>
      <w:bookmarkStart w:id="17" w:name="_Ref13056972"/>
      <w:bookmarkStart w:id="18" w:name="_Ref13067252"/>
      <w:bookmarkStart w:id="19" w:name="_Ref13071202"/>
      <w:bookmarkStart w:id="20" w:name="_Ref13148555"/>
      <w:bookmarkStart w:id="21" w:name="_Toc489254800"/>
      <w:bookmarkStart w:id="22" w:name="_Toc489254831"/>
      <w:bookmarkEnd w:id="7"/>
      <w:bookmarkEnd w:id="12"/>
      <w:r w:rsidRPr="00C9711D">
        <w:rPr>
          <w:rFonts w:ascii="Cambria" w:hAnsi="Cambria"/>
          <w:lang w:val="en-US"/>
        </w:rPr>
        <w:br w:type="page"/>
      </w:r>
    </w:p>
    <w:p w14:paraId="5832CFDF" w14:textId="77777777" w:rsidR="00E14EDE" w:rsidRPr="00C9711D" w:rsidRDefault="002B6202" w:rsidP="00752B43">
      <w:pPr>
        <w:pStyle w:val="berschrift1"/>
        <w:numPr>
          <w:ilvl w:val="0"/>
          <w:numId w:val="0"/>
        </w:numPr>
        <w:rPr>
          <w:lang w:val="en-US"/>
        </w:rPr>
      </w:pPr>
      <w:bookmarkStart w:id="23" w:name="_Toc236050641"/>
      <w:r w:rsidRPr="00C9711D">
        <w:rPr>
          <w:lang w:val="en-US"/>
        </w:rPr>
        <w:lastRenderedPageBreak/>
        <w:t>Executive Summary</w:t>
      </w:r>
      <w:bookmarkEnd w:id="23"/>
    </w:p>
    <w:p w14:paraId="22FD9068" w14:textId="77777777" w:rsidR="001314FA" w:rsidRPr="00C9711D" w:rsidRDefault="001314FA" w:rsidP="001314FA">
      <w:pPr>
        <w:pStyle w:val="IWHFlietext"/>
        <w:rPr>
          <w:lang w:val="en-US"/>
        </w:rPr>
      </w:pPr>
      <w:r w:rsidRPr="00C9711D">
        <w:rPr>
          <w:lang w:val="en-US"/>
        </w:rPr>
        <w:t>The DGE-METRIC (Dynamic General Equilibrium for Macroeconomic Energy Transition Incorporating Carbon markets) model was developed to analyse the macroeconomic implications of Vietnam’s energy transition and to evaluate alternative pathways for achieving the objectives of the Power Development Plan 8 (PDP8) and the country’s net-zero emissions commitment by 2050. The model provides a quantitative framework for assessing how alternative energy and climate policies affect economic growth, investment, sectoral production, household welfare, public finances, and carbon emissions over the transition period.</w:t>
      </w:r>
    </w:p>
    <w:p w14:paraId="7499BD12" w14:textId="77777777" w:rsidR="001314FA" w:rsidRPr="00C9711D" w:rsidRDefault="001314FA" w:rsidP="001314FA">
      <w:pPr>
        <w:pStyle w:val="IWHFlietext"/>
        <w:rPr>
          <w:lang w:val="en-US"/>
        </w:rPr>
      </w:pPr>
      <w:r w:rsidRPr="00C9711D">
        <w:rPr>
          <w:lang w:val="en-US"/>
        </w:rPr>
        <w:t>Unlike engineering-based energy system models, which focus on technology deployment and electricity-system optimisation, DGE-METRIC captures the economy-wide interactions between investment, production, consumption, labour markets, international trade, and climate policy. This integrated perspective enables the assessment of transition pathways within a consistent macroeconomic framework, allowing policy interventions in the energy sector to be evaluated alongside their broader economic consequences</w:t>
      </w:r>
    </w:p>
    <w:p w14:paraId="48F74CD5" w14:textId="77777777" w:rsidR="001314FA" w:rsidRPr="00C9711D" w:rsidRDefault="001314FA" w:rsidP="001314FA">
      <w:pPr>
        <w:pStyle w:val="IWHFlietext"/>
        <w:rPr>
          <w:lang w:val="en-US"/>
        </w:rPr>
      </w:pPr>
      <w:r w:rsidRPr="00C9711D">
        <w:rPr>
          <w:lang w:val="en-US"/>
        </w:rPr>
        <w:t>The model is formulated as a deterministic, forward-looking dynamic general equilibrium (DGE) model implemented in Dynare and MATLAB. It represents Vietnam as a five-subsector, one-region economy, comprising a representative household, firms operating in five production sectors, wholesale and retail trade, an exporting sector, a government with an emissions trading system (ETS), and the rest of the world. The model is calibrated to Vietnam’s 2019 input-output structure and a 2026 baseline and is solved over the 2026–2050 transition horizon, drawing on data from the National Statistics Office (NSO), Electricity of Vietnam (EVN), the International Energy Agency (IEA), EDGAR, the World Bank, and project-specific (GIZ/IWH)calibration inputs.</w:t>
      </w:r>
    </w:p>
    <w:p w14:paraId="524B536E" w14:textId="77777777" w:rsidR="001314FA" w:rsidRPr="00C9711D" w:rsidRDefault="001314FA" w:rsidP="001314FA">
      <w:pPr>
        <w:pStyle w:val="IWHFlietext"/>
        <w:rPr>
          <w:lang w:val="en-US"/>
        </w:rPr>
      </w:pPr>
      <w:r w:rsidRPr="00C9711D">
        <w:rPr>
          <w:lang w:val="en-US"/>
        </w:rPr>
        <w:t>The report documents the theoretical foundations, calibration strategy, and numerical implementation of the model, together with the construction of the policy scenarios used throughout the analysis. It explains how baseline and scenario pathways are translated into model inputs, how the perfect-foresight transition path is solved, and how key assumptions regarding technology, emissions, and financing are incorporated into the modelling framework. The report also discusses the principal limitations of the approach and provides guidance for the interpretation of simulation results.</w:t>
      </w:r>
    </w:p>
    <w:p w14:paraId="65B39979" w14:textId="605E0FF6" w:rsidR="00C70881" w:rsidRDefault="001314FA" w:rsidP="005A584B">
      <w:pPr>
        <w:pStyle w:val="IWHFlietext"/>
        <w:rPr>
          <w:lang w:val="en-US"/>
        </w:rPr>
      </w:pPr>
      <w:r w:rsidRPr="00C9711D">
        <w:rPr>
          <w:lang w:val="en-US"/>
        </w:rPr>
        <w:t xml:space="preserve">Taken together, these elements provide a transparent and reproducible modelling framework for analysing the macroeconomic consequences of Vietnam’s energy transition and for supporting </w:t>
      </w:r>
      <w:r w:rsidR="00A5230E" w:rsidRPr="00C9711D">
        <w:rPr>
          <w:lang w:val="en-US"/>
        </w:rPr>
        <w:t>evidence-based policy analysis on climate, energy, and green finance.</w:t>
      </w:r>
    </w:p>
    <w:p w14:paraId="6EF89414" w14:textId="77777777" w:rsidR="00446DF3" w:rsidRPr="00C9711D" w:rsidRDefault="00446DF3" w:rsidP="005A584B">
      <w:pPr>
        <w:pStyle w:val="IWHFlietext"/>
        <w:rPr>
          <w:lang w:val="en-US"/>
        </w:rPr>
      </w:pPr>
    </w:p>
    <w:p w14:paraId="5E2A0B81" w14:textId="77777777" w:rsidR="00446DF3" w:rsidRDefault="00446DF3">
      <w:pPr>
        <w:rPr>
          <w:lang w:val="en-US"/>
        </w:rPr>
        <w:sectPr w:rsidR="00446DF3" w:rsidSect="00AE1001">
          <w:pgSz w:w="11907" w:h="16840" w:code="9"/>
          <w:pgMar w:top="1418" w:right="1134" w:bottom="1588" w:left="1134" w:header="964" w:footer="964" w:gutter="0"/>
          <w:paperSrc w:first="7" w:other="7"/>
          <w:pgNumType w:fmt="upperRoman" w:start="1"/>
          <w:cols w:space="567"/>
          <w:docGrid w:linePitch="299"/>
        </w:sectPr>
      </w:pPr>
    </w:p>
    <w:p w14:paraId="6F7649A4" w14:textId="636B49AE" w:rsidR="00E14EDE" w:rsidRPr="00C9711D" w:rsidRDefault="00A5230E" w:rsidP="00752B43">
      <w:pPr>
        <w:pStyle w:val="berschrift1"/>
        <w:rPr>
          <w:lang w:val="en-US"/>
        </w:rPr>
      </w:pPr>
      <w:r w:rsidRPr="00C9711D">
        <w:rPr>
          <w:lang w:val="en-US"/>
        </w:rPr>
        <w:lastRenderedPageBreak/>
        <w:t xml:space="preserve"> </w:t>
      </w:r>
      <w:bookmarkStart w:id="24" w:name="_Toc236050642"/>
      <w:r w:rsidR="001314FA" w:rsidRPr="00C9711D">
        <w:rPr>
          <w:lang w:val="en-US"/>
        </w:rPr>
        <w:t>Introduction and Motivation</w:t>
      </w:r>
      <w:bookmarkEnd w:id="24"/>
    </w:p>
    <w:p w14:paraId="00CCA9BD" w14:textId="76A7888A" w:rsidR="001314FA" w:rsidRPr="00C9711D" w:rsidRDefault="001314FA" w:rsidP="002A4BF9">
      <w:pPr>
        <w:pStyle w:val="berschrift2"/>
        <w:rPr>
          <w:lang w:val="en-US"/>
        </w:rPr>
      </w:pPr>
      <w:bookmarkStart w:id="25" w:name="_Toc235867046"/>
      <w:bookmarkStart w:id="26" w:name="introduction-and-motivation"/>
      <w:bookmarkStart w:id="27" w:name="the-policy-motivation"/>
      <w:bookmarkStart w:id="28" w:name="_Toc236050643"/>
      <w:r w:rsidRPr="00C9711D">
        <w:rPr>
          <w:lang w:val="en-US"/>
        </w:rPr>
        <w:t>The Policy Motivation</w:t>
      </w:r>
      <w:bookmarkEnd w:id="25"/>
      <w:bookmarkEnd w:id="28"/>
    </w:p>
    <w:p w14:paraId="4698570E" w14:textId="77777777" w:rsidR="001314FA" w:rsidRPr="00C9711D" w:rsidRDefault="001314FA" w:rsidP="001314FA">
      <w:pPr>
        <w:pStyle w:val="IWHFlietext"/>
        <w:rPr>
          <w:lang w:val="en-US"/>
        </w:rPr>
      </w:pPr>
      <w:r w:rsidRPr="00C9711D">
        <w:rPr>
          <w:lang w:val="en-US"/>
        </w:rPr>
        <w:t>Vietnam’s energy transition represents one of the country’s most significant long-term development challenges. Achieving sustained economic growth while simultaneously transforming the electricity sector to meet national climate objectives requires unprecedented levels of investment, coordinated policy interventions, and substantial structural adjustment across the economy. Decisions regarding the timing, scale, and financing of these investments will shape not only the future energy system but also broader economic development over the coming decades.</w:t>
      </w:r>
    </w:p>
    <w:p w14:paraId="5D50920C" w14:textId="77777777" w:rsidR="001314FA" w:rsidRPr="00C9711D" w:rsidRDefault="001314FA" w:rsidP="001314FA">
      <w:pPr>
        <w:pStyle w:val="IWHFlietext"/>
        <w:rPr>
          <w:lang w:val="en-US"/>
        </w:rPr>
      </w:pPr>
      <w:r w:rsidRPr="00C9711D">
        <w:rPr>
          <w:lang w:val="en-US"/>
        </w:rPr>
        <w:t>To achieve the objectives of the Power Development Plan 8 (PDP8) and Vietnam’s commitment to reach net-zero greenhouse gas emissions by 2050 (COP26 NDC), the country is estimated to require approximately USD 136 billion of investment in the energy sector by 2050 (IWH Investment Needs Assessment, 2025). At the same time, Vietnam aims to sustain annual GDP growth of around 6–7%, increase the share of renewable electricity generation to 60%, phase out the expansion of coal-fired power generation after 2030 (PDP8, Decision 500/QD-TTg, 2023), and meet its Nationally Determined Contributions under the Paris Agreement.</w:t>
      </w:r>
    </w:p>
    <w:p w14:paraId="76FFB31E" w14:textId="77777777" w:rsidR="001314FA" w:rsidRPr="00C9711D" w:rsidRDefault="001314FA" w:rsidP="001314FA">
      <w:pPr>
        <w:pStyle w:val="IWHFlietext"/>
        <w:rPr>
          <w:lang w:val="en-US"/>
        </w:rPr>
      </w:pPr>
      <w:r w:rsidRPr="00C9711D">
        <w:rPr>
          <w:lang w:val="en-US"/>
        </w:rPr>
        <w:t>Bottom-up energy-system models (capacity expansion, LCOE, dispatch) play a central role in energy planning by identifying cost-effective technology portfolios, evaluating generation capacity expansion, and analysing system operation. these models are not designed to quantify the broader macroeconomic consequences of alternative transition pathways. In particular, they cannot directly address economy-wide questions such as:</w:t>
      </w:r>
    </w:p>
    <w:p w14:paraId="4A878128"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What are the macroeconomic costs of meeting PDP8 investment requirements in terms of GDP, household consumption, investment, and employment?</w:t>
      </w:r>
    </w:p>
    <w:p w14:paraId="4B72ADBA"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To what extent does achieving net-zero emissions impose additional economic costs beyond those already associated with implementing PDP8?</w:t>
      </w:r>
    </w:p>
    <w:p w14:paraId="097F9C61"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How do improvements in energy efficiency affect investment requirements and long-term economic performance?</w:t>
      </w:r>
    </w:p>
    <w:p w14:paraId="7F9EE69D"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How do alternative green-finance architectures influence the pace, affordability, and macroeconomic impacts of the energy transition?</w:t>
      </w:r>
    </w:p>
    <w:p w14:paraId="0E0209C7"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Which carbon-price trajectories are consistent with alternative transition pathways?</w:t>
      </w:r>
    </w:p>
    <w:p w14:paraId="7F3DCAC4"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Which sectors experience the largest structural adjustment during the transition?</w:t>
      </w:r>
    </w:p>
    <w:p w14:paraId="0098B93E" w14:textId="77777777" w:rsidR="001314FA" w:rsidRPr="00C9711D" w:rsidRDefault="001314FA" w:rsidP="001314FA">
      <w:pPr>
        <w:pStyle w:val="IWHFlietext"/>
        <w:rPr>
          <w:lang w:val="en-US"/>
        </w:rPr>
      </w:pPr>
      <w:r w:rsidRPr="00C9711D">
        <w:rPr>
          <w:lang w:val="en-US"/>
        </w:rPr>
        <w:t>Addressing these questions requires an economy-wide analytical framework that captures the interactions between the energy sector and the broader economy. Investment in low-carbon technologies competes for capital and labour with investment in other sectors, while changes in energy prices, production costs, household income, international trade, and public finances generate adjustment effects throughout the economic system. DGE-METRIC was developed to analyse these interactions within a consistent forward-looking general equilibrium framework and to quantify the macroeconomic implications of alternative energy-transition pathways.</w:t>
      </w:r>
    </w:p>
    <w:p w14:paraId="05952755" w14:textId="6DA0BFCF" w:rsidR="001314FA" w:rsidRPr="00C9711D" w:rsidRDefault="001314FA" w:rsidP="002A4BF9">
      <w:pPr>
        <w:pStyle w:val="berschrift2"/>
        <w:rPr>
          <w:lang w:val="en-US"/>
        </w:rPr>
      </w:pPr>
      <w:bookmarkStart w:id="29" w:name="_Toc235867048"/>
      <w:bookmarkStart w:id="30" w:name="introduction-and-motivation-1"/>
      <w:bookmarkStart w:id="31" w:name="scope-of-the-model-1"/>
      <w:bookmarkStart w:id="32" w:name="_Toc236050644"/>
      <w:bookmarkEnd w:id="26"/>
      <w:bookmarkEnd w:id="27"/>
      <w:r w:rsidRPr="00C9711D">
        <w:rPr>
          <w:lang w:val="en-US"/>
        </w:rPr>
        <w:lastRenderedPageBreak/>
        <w:t>Scope of the Model</w:t>
      </w:r>
      <w:bookmarkEnd w:id="29"/>
      <w:bookmarkEnd w:id="32"/>
    </w:p>
    <w:p w14:paraId="4612A95E" w14:textId="77777777" w:rsidR="001314FA" w:rsidRPr="00C9711D" w:rsidRDefault="001314FA" w:rsidP="001314FA">
      <w:pPr>
        <w:pStyle w:val="IWHFlietext"/>
        <w:rPr>
          <w:lang w:val="en-US"/>
        </w:rPr>
      </w:pPr>
      <w:r w:rsidRPr="00C9711D">
        <w:rPr>
          <w:lang w:val="en-US"/>
        </w:rPr>
        <w:t>DGE-METRIC is a reduced-form dynamic general equilibrium model designed to analyse the economy-wide consequences of Vietnam’s energy transition. It combines a detailed representation of the energy sector with a comprehensive macroeconomic framework that captures interactions between households, firms, government, international trade, capital accumulation, and carbon pricing. Rather than determining optimal technology choices, the model evaluates the economic implications of externally specified policy pathways and investment trajectories.</w:t>
      </w:r>
    </w:p>
    <w:p w14:paraId="54F84B8C" w14:textId="77777777" w:rsidR="001314FA" w:rsidRPr="00C9711D" w:rsidRDefault="001314FA" w:rsidP="001314FA">
      <w:pPr>
        <w:pStyle w:val="IWHFlietext"/>
        <w:rPr>
          <w:lang w:val="en-US"/>
        </w:rPr>
      </w:pPr>
      <w:r w:rsidRPr="00C9711D">
        <w:rPr>
          <w:lang w:val="en-US"/>
        </w:rPr>
        <w:t>As with any macroeconomic model, DGE-METRIC deliberately abstracts from several aspects that are more appropriately analysed using specialised engineering or financial models. In particular, the model does not:</w:t>
      </w:r>
    </w:p>
    <w:p w14:paraId="54770FE0"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optimise electricity dispatch or represent individual power plants;</w:t>
      </w:r>
    </w:p>
    <w:p w14:paraId="76A8F24B"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endogenously model technology learning and cost reductions;</w:t>
      </w:r>
    </w:p>
    <w:p w14:paraId="4A6412FE"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distinguish between sub-national regions or provincial governments.</w:t>
      </w:r>
    </w:p>
    <w:p w14:paraId="7C397BE7" w14:textId="77777777" w:rsidR="001314FA" w:rsidRPr="00C9711D" w:rsidRDefault="001314FA" w:rsidP="001314FA">
      <w:pPr>
        <w:pStyle w:val="IWHFlietext"/>
        <w:rPr>
          <w:lang w:val="en-US"/>
        </w:rPr>
      </w:pPr>
      <w:r w:rsidRPr="00C9711D">
        <w:rPr>
          <w:lang w:val="en-US"/>
        </w:rPr>
        <w:t>Similarly, technology cost projections, renewable deployment pathways, and capacity expansion plans are taken as exogenous inputs based on official planning documents and international energy outlooks rather than being determined endogenously within the model.</w:t>
      </w:r>
    </w:p>
    <w:p w14:paraId="445340C2" w14:textId="19CBFBAD" w:rsidR="001314FA" w:rsidRPr="00C9711D" w:rsidRDefault="001314FA" w:rsidP="001314FA">
      <w:pPr>
        <w:pStyle w:val="IWHFlietext"/>
        <w:rPr>
          <w:lang w:val="en-US"/>
        </w:rPr>
      </w:pPr>
      <w:r w:rsidRPr="00C9711D">
        <w:rPr>
          <w:lang w:val="en-US"/>
        </w:rPr>
        <w:t>Consequently, DGE-METRIC should be viewed as complementary to engineering-based energy system models rather than as a substitute for them. While engineering models identify technically feasible and cost-efficient energy-system configurations, DGE-METRIC evaluates the broader macroeconomic consequences of implementing these pathways. Together, the two modelling approaches provide a more comprehensive evidence base for assessing Vietnam’s transition towards a low-carbon economy</w:t>
      </w:r>
      <w:r w:rsidR="005A584B" w:rsidRPr="00C9711D">
        <w:rPr>
          <w:lang w:val="en-US"/>
        </w:rPr>
        <w:t>.</w:t>
      </w:r>
    </w:p>
    <w:p w14:paraId="51E859DE" w14:textId="77777777" w:rsidR="005A584B" w:rsidRPr="00C9711D" w:rsidRDefault="005A584B" w:rsidP="001314FA">
      <w:pPr>
        <w:pStyle w:val="IWHFlietext"/>
        <w:rPr>
          <w:lang w:val="en-US"/>
        </w:rPr>
      </w:pPr>
    </w:p>
    <w:p w14:paraId="147CE851" w14:textId="77777777" w:rsidR="005A584B" w:rsidRPr="00C9711D" w:rsidRDefault="005A584B" w:rsidP="001314FA">
      <w:pPr>
        <w:pStyle w:val="IWHFlietext"/>
        <w:rPr>
          <w:lang w:val="en-US"/>
        </w:rPr>
      </w:pPr>
    </w:p>
    <w:p w14:paraId="55A73392" w14:textId="77777777" w:rsidR="00190D29" w:rsidRPr="00C9711D" w:rsidRDefault="00190D29">
      <w:pPr>
        <w:rPr>
          <w:lang w:val="en-US"/>
        </w:rPr>
      </w:pPr>
      <w:r w:rsidRPr="00C9711D">
        <w:rPr>
          <w:lang w:val="en-US"/>
        </w:rPr>
        <w:br w:type="page"/>
      </w:r>
    </w:p>
    <w:p w14:paraId="3C1589AE" w14:textId="72FD1062" w:rsidR="00C70881" w:rsidRPr="00C9711D" w:rsidRDefault="001314FA" w:rsidP="00752B43">
      <w:pPr>
        <w:pStyle w:val="berschrift1"/>
        <w:rPr>
          <w:lang w:val="en-US"/>
        </w:rPr>
      </w:pPr>
      <w:bookmarkStart w:id="33" w:name="_Toc235867049"/>
      <w:bookmarkStart w:id="34" w:name="model-structure-and-theory"/>
      <w:bookmarkStart w:id="35" w:name="_Toc236050645"/>
      <w:bookmarkEnd w:id="30"/>
      <w:bookmarkEnd w:id="31"/>
      <w:r w:rsidRPr="00C9711D">
        <w:rPr>
          <w:lang w:val="en-US"/>
        </w:rPr>
        <w:lastRenderedPageBreak/>
        <w:t>Model Structure</w:t>
      </w:r>
      <w:bookmarkEnd w:id="35"/>
      <w:r w:rsidRPr="00C9711D">
        <w:rPr>
          <w:lang w:val="en-US"/>
        </w:rPr>
        <w:t xml:space="preserve"> </w:t>
      </w:r>
      <w:del w:id="36" w:author="Heinisch, Katja" w:date="2026-07-27T09:22:00Z" w16du:dateUtc="2026-07-27T07:22:00Z">
        <w:r w:rsidR="001E62AC" w:rsidRPr="00C9711D">
          <w:rPr>
            <w:lang w:val="en-US"/>
          </w:rPr>
          <w:delText>Theory</w:delText>
        </w:r>
      </w:del>
    </w:p>
    <w:bookmarkEnd w:id="33"/>
    <w:p w14:paraId="6FB64BD7" w14:textId="77777777" w:rsidR="001E62AC" w:rsidRPr="00C9711D" w:rsidRDefault="001E62AC" w:rsidP="001E62AC">
      <w:pPr>
        <w:pStyle w:val="IWHFlietext"/>
        <w:rPr>
          <w:ins w:id="37" w:author="Heinisch, Katja" w:date="2026-07-27T10:49:00Z" w16du:dateUtc="2026-07-27T08:49:00Z"/>
          <w:lang w:val="en-US"/>
        </w:rPr>
      </w:pPr>
      <w:ins w:id="38" w:author="Heinisch, Katja" w:date="2026-07-27T10:49:00Z" w16du:dateUtc="2026-07-27T08:49:00Z">
        <w:r w:rsidRPr="00C9711D">
          <w:rPr>
            <w:lang w:val="en-US"/>
          </w:rPr>
          <w:t>DGE-METRIC is a deterministic, forward-looking dynamic general equilibrium model developed to analyse the macroeconomic implications of Vietnam's energy transition. The model represents Vietnam as a small open economy in which households, firms, government, and the rest of the world interact through interconnected markets for goods, labour, capital, international trade, and emissions permits. Within this framework, changes in energy policy affect not only the energy sector itself but also production costs, household welfare, investment decisions, public finances, and external trade, allowing the economy-wide consequences of alternative transition pathways to be analysed in a consistent manner.</w:t>
        </w:r>
      </w:ins>
    </w:p>
    <w:p w14:paraId="6104313D" w14:textId="77777777" w:rsidR="00190D29" w:rsidRPr="00C9711D" w:rsidRDefault="00190D29" w:rsidP="00F1187A">
      <w:pPr>
        <w:pStyle w:val="IWHFlietext"/>
        <w:rPr>
          <w:ins w:id="39" w:author="Heinisch, Katja" w:date="2026-07-27T09:22:00Z" w16du:dateUtc="2026-07-27T07:22:00Z"/>
          <w:lang w:val="en-US"/>
        </w:rPr>
      </w:pPr>
      <w:ins w:id="40" w:author="Heinisch, Katja" w:date="2026-07-27T09:22:00Z" w16du:dateUtc="2026-07-27T07:22:00Z">
        <w:r w:rsidRPr="00C9711D">
          <w:rPr>
            <w:lang w:val="en-US"/>
          </w:rPr>
          <w:t xml:space="preserve">The model is formulated as a </w:t>
        </w:r>
        <w:r w:rsidRPr="00C9711D">
          <w:rPr>
            <w:b/>
            <w:bCs/>
            <w:lang w:val="en-US"/>
          </w:rPr>
          <w:t>five-sector, one-region</w:t>
        </w:r>
        <w:r w:rsidRPr="00C9711D">
          <w:rPr>
            <w:lang w:val="en-US"/>
          </w:rPr>
          <w:t xml:space="preserve"> economy and is solved as a deterministic perfect-foresight transition path over the period </w:t>
        </w:r>
        <w:r w:rsidRPr="00C9711D">
          <w:rPr>
            <w:b/>
            <w:bCs/>
            <w:lang w:val="en-US"/>
          </w:rPr>
          <w:t>2026–2050</w:t>
        </w:r>
        <w:r w:rsidRPr="00C9711D">
          <w:rPr>
            <w:lang w:val="en-US"/>
          </w:rPr>
          <w:t>. The perfect-foresight framework reflects the nature of the policy questions considered in this report, where major policy interventions—including the implementation of PDP8, emissions reduction targets, and alternative green-finance strategies—are represented as anticipated long-term policy pathways rather than unexpected economic shocks.</w:t>
        </w:r>
      </w:ins>
    </w:p>
    <w:p w14:paraId="78E1C8F9" w14:textId="77777777" w:rsidR="00190D29" w:rsidRPr="00C9711D" w:rsidRDefault="00190D29" w:rsidP="00F1187A">
      <w:pPr>
        <w:pStyle w:val="IWHFlietext"/>
        <w:rPr>
          <w:ins w:id="41" w:author="Heinisch, Katja" w:date="2026-07-27T09:22:00Z" w16du:dateUtc="2026-07-27T07:22:00Z"/>
          <w:lang w:val="en-US"/>
        </w:rPr>
      </w:pPr>
      <w:commentRangeStart w:id="42"/>
      <w:ins w:id="43" w:author="Heinisch, Katja" w:date="2026-07-27T09:22:00Z" w16du:dateUtc="2026-07-27T07:22:00Z">
        <w:r w:rsidRPr="00C9711D">
          <w:rPr>
            <w:lang w:val="en-US"/>
          </w:rPr>
          <w:t>The</w:t>
        </w:r>
        <w:commentRangeEnd w:id="42"/>
        <w:r w:rsidR="002A4BF9" w:rsidRPr="00C9711D">
          <w:rPr>
            <w:rStyle w:val="Kommentarzeichen"/>
            <w:sz w:val="22"/>
            <w:szCs w:val="20"/>
            <w:lang w:val="en-US"/>
          </w:rPr>
          <w:commentReference w:id="42"/>
        </w:r>
        <w:r w:rsidRPr="00C9711D">
          <w:rPr>
            <w:lang w:val="en-US"/>
          </w:rPr>
          <w:t xml:space="preserve"> economy consists of a representative household, firms operating in five productive sectors, wholesale and retail trade, an exporting sector, a government that operates an emissions trading system (ETS), and the rest of the world. These agents are linked through markets for intermediate goods, labour, capital, emissions permits, and internationally traded goods, forming a coherent representation of the economic mechanisms through which the energy transition affects aggregate economic performance.</w:t>
        </w:r>
      </w:ins>
    </w:p>
    <w:p w14:paraId="0CF07D00" w14:textId="47A7B19E" w:rsidR="001314FA" w:rsidRPr="00C9711D" w:rsidRDefault="001314FA" w:rsidP="002A4BF9">
      <w:pPr>
        <w:pStyle w:val="berschrift2"/>
        <w:rPr>
          <w:lang w:val="en-US"/>
        </w:rPr>
      </w:pPr>
      <w:bookmarkStart w:id="44" w:name="_Toc235867050"/>
      <w:bookmarkStart w:id="45" w:name="sectors"/>
      <w:bookmarkStart w:id="46" w:name="_Toc236050646"/>
      <w:r w:rsidRPr="00C9711D">
        <w:rPr>
          <w:lang w:val="en-US"/>
        </w:rPr>
        <w:t>Sectors</w:t>
      </w:r>
      <w:bookmarkEnd w:id="44"/>
      <w:bookmarkEnd w:id="46"/>
    </w:p>
    <w:p w14:paraId="615901A5" w14:textId="0BDD900B" w:rsidR="00F1187A" w:rsidRPr="00C9711D" w:rsidRDefault="00190D29" w:rsidP="001E62AC">
      <w:pPr>
        <w:pStyle w:val="IWHFlietext"/>
        <w:rPr>
          <w:noProof/>
          <w:lang w:val="en-US"/>
        </w:rPr>
      </w:pPr>
      <w:ins w:id="47" w:author="Heinisch, Katja" w:date="2026-07-27T09:22:00Z" w16du:dateUtc="2026-07-27T07:22:00Z">
        <w:r w:rsidRPr="00C9711D">
          <w:rPr>
            <w:lang w:val="en-US"/>
          </w:rPr>
          <w:t xml:space="preserve">The model distinguishes five production </w:t>
        </w:r>
      </w:ins>
      <w:del w:id="48" w:author="Heinisch, Katja" w:date="2026-07-27T09:22:00Z" w16du:dateUtc="2026-07-27T07:22:00Z">
        <w:r w:rsidR="001314FA" w:rsidRPr="00C9711D">
          <w:rPr>
            <w:lang w:val="en-US"/>
          </w:rPr>
          <w:delText xml:space="preserve">Aggregate reporting </w:delText>
        </w:r>
      </w:del>
      <w:r w:rsidR="001314FA" w:rsidRPr="00C9711D">
        <w:rPr>
          <w:lang w:val="en-US"/>
        </w:rPr>
        <w:t xml:space="preserve">sectors </w:t>
      </w:r>
      <w:ins w:id="49" w:author="Heinisch, Katja" w:date="2026-07-27T09:22:00Z" w16du:dateUtc="2026-07-27T07:22:00Z">
        <w:r w:rsidRPr="00C9711D">
          <w:rPr>
            <w:lang w:val="en-US"/>
          </w:rPr>
          <w:t>that capture the principal channels through which the energy transition influences Vietnam's economy. The chosen level of aggregation represents a compromise between economic structure, data availability,</w:t>
        </w:r>
      </w:ins>
      <w:del w:id="50" w:author="Heinisch, Katja" w:date="2026-07-27T09:22:00Z" w16du:dateUtc="2026-07-27T07:22:00Z">
        <w:r w:rsidR="001314FA" w:rsidRPr="00C9711D">
          <w:rPr>
            <w:lang w:val="en-US"/>
          </w:rPr>
          <w:delText>collapse Fossil</w:delText>
        </w:r>
      </w:del>
      <w:r w:rsidR="001314FA" w:rsidRPr="00C9711D">
        <w:rPr>
          <w:lang w:val="en-US"/>
        </w:rPr>
        <w:t xml:space="preserve"> and </w:t>
      </w:r>
      <w:ins w:id="51" w:author="Heinisch, Katja" w:date="2026-07-27T09:22:00Z" w16du:dateUtc="2026-07-27T07:22:00Z">
        <w:r w:rsidRPr="00C9711D">
          <w:rPr>
            <w:lang w:val="en-US"/>
          </w:rPr>
          <w:t>computational tractability. In particular, the explicit separation of fossil and renewable energy production enables the model to analyse structural changes within the electricity sector and to evaluate policies targeting fuel switching, renewable deployment, and carbon pricing.</w:t>
        </w:r>
      </w:ins>
      <w:r w:rsidR="00F1187A" w:rsidRPr="00C9711D">
        <w:rPr>
          <w:noProof/>
          <w:lang w:val="en-US"/>
        </w:rPr>
        <w:t xml:space="preserve"> </w:t>
      </w:r>
    </w:p>
    <w:p w14:paraId="055A7481" w14:textId="0A122BB7" w:rsidR="00190D29" w:rsidRPr="00C9711D" w:rsidRDefault="00190D29" w:rsidP="00F1187A">
      <w:pPr>
        <w:pStyle w:val="Textkrper"/>
        <w:jc w:val="center"/>
        <w:rPr>
          <w:ins w:id="52" w:author="Heinisch, Katja" w:date="2026-07-27T09:22:00Z" w16du:dateUtc="2026-07-27T07:22:00Z"/>
          <w:lang w:val="en-US"/>
        </w:rPr>
      </w:pPr>
    </w:p>
    <w:p w14:paraId="6907E3A8" w14:textId="1FDC10FD" w:rsidR="001E62AC" w:rsidRPr="00C9711D" w:rsidRDefault="001E62AC" w:rsidP="002A4BF9">
      <w:pPr>
        <w:pStyle w:val="Beschriftung"/>
        <w:keepNext/>
        <w:rPr>
          <w:lang w:val="en-US"/>
        </w:rPr>
      </w:pPr>
      <w:bookmarkStart w:id="53" w:name="_Toc236050749"/>
      <w:r w:rsidRPr="00C9711D">
        <w:rPr>
          <w:lang w:val="en-US"/>
        </w:rPr>
        <w:lastRenderedPageBreak/>
        <w:t xml:space="preserve">Table </w:t>
      </w:r>
      <w:r w:rsidRPr="00C9711D">
        <w:rPr>
          <w:lang w:val="en-US"/>
        </w:rPr>
        <w:fldChar w:fldCharType="begin"/>
      </w:r>
      <w:r w:rsidRPr="00C9711D">
        <w:rPr>
          <w:lang w:val="en-US"/>
        </w:rPr>
        <w:instrText xml:space="preserve"> SEQ Table \* ARABIC </w:instrText>
      </w:r>
      <w:r w:rsidRPr="00C9711D">
        <w:rPr>
          <w:lang w:val="en-US"/>
        </w:rPr>
        <w:fldChar w:fldCharType="separate"/>
      </w:r>
      <w:r w:rsidR="00446DF3">
        <w:rPr>
          <w:noProof/>
          <w:lang w:val="en-US"/>
        </w:rPr>
        <w:t>1</w:t>
      </w:r>
      <w:r w:rsidRPr="00C9711D">
        <w:rPr>
          <w:lang w:val="en-US"/>
        </w:rPr>
        <w:fldChar w:fldCharType="end"/>
      </w:r>
      <w:r w:rsidRPr="00C9711D">
        <w:rPr>
          <w:lang w:val="en-US"/>
        </w:rPr>
        <w:t>:</w:t>
      </w:r>
      <w:r w:rsidR="00446DF3">
        <w:rPr>
          <w:lang w:val="en-US"/>
        </w:rPr>
        <w:t xml:space="preserve"> </w:t>
      </w:r>
      <w:ins w:id="54" w:author="Heinisch, Katja" w:date="2026-07-27T10:50:00Z" w16du:dateUtc="2026-07-27T08:50:00Z">
        <w:r w:rsidRPr="00C9711D">
          <w:rPr>
            <w:lang w:val="en-US"/>
          </w:rPr>
          <w:t>Sectoral classification</w:t>
        </w:r>
      </w:ins>
      <w:bookmarkEnd w:id="53"/>
    </w:p>
    <w:p w14:paraId="0A76E280" w14:textId="77777777" w:rsidR="00C70881" w:rsidRPr="00C9711D" w:rsidRDefault="00A5230E" w:rsidP="002A4BF9">
      <w:pPr>
        <w:pStyle w:val="FirstParagraph"/>
        <w:rPr>
          <w:ins w:id="55" w:author="Heinisch, Katja" w:date="2026-07-27T09:22:00Z" w16du:dateUtc="2026-07-27T07:22:00Z"/>
          <w:lang w:val="en-US"/>
        </w:rPr>
      </w:pPr>
      <w:r w:rsidRPr="00C9711D">
        <w:rPr>
          <w:noProof/>
          <w:lang w:val="en-US"/>
        </w:rPr>
        <w:drawing>
          <wp:inline distT="0" distB="0" distL="0" distR="0" wp14:anchorId="4B3B4919" wp14:editId="3C7012D5">
            <wp:extent cx="5334000" cy="2541260"/>
            <wp:effectExtent l="0" t="0" r="0" b="0"/>
            <wp:docPr id="1653729064" name="Picture"/>
            <wp:cNvGraphicFramePr/>
            <a:graphic xmlns:a="http://schemas.openxmlformats.org/drawingml/2006/main">
              <a:graphicData uri="http://schemas.openxmlformats.org/drawingml/2006/picture">
                <pic:pic xmlns:pic="http://schemas.openxmlformats.org/drawingml/2006/picture">
                  <pic:nvPicPr>
                    <pic:cNvPr id="23" name="Picture" descr="C:\Users\schul\Documents\GitHub\DGE-METRIC\.tmp\technical_report_build\tables\table-01.png"/>
                    <pic:cNvPicPr>
                      <a:picLocks noChangeAspect="1" noChangeArrowheads="1"/>
                    </pic:cNvPicPr>
                  </pic:nvPicPr>
                  <pic:blipFill>
                    <a:blip r:embed="rId21"/>
                    <a:stretch>
                      <a:fillRect/>
                    </a:stretch>
                  </pic:blipFill>
                  <pic:spPr bwMode="auto">
                    <a:xfrm>
                      <a:off x="0" y="0"/>
                      <a:ext cx="5334000" cy="2541260"/>
                    </a:xfrm>
                    <a:prstGeom prst="rect">
                      <a:avLst/>
                    </a:prstGeom>
                    <a:noFill/>
                    <a:ln w="9525">
                      <a:noFill/>
                      <a:headEnd/>
                      <a:tailEnd/>
                    </a:ln>
                  </pic:spPr>
                </pic:pic>
              </a:graphicData>
            </a:graphic>
          </wp:inline>
        </w:drawing>
      </w:r>
    </w:p>
    <w:p w14:paraId="22777F33" w14:textId="7590CB1C" w:rsidR="00190D29" w:rsidRPr="00C9711D" w:rsidRDefault="00190D29" w:rsidP="002A4BF9">
      <w:pPr>
        <w:pStyle w:val="IWHKastenQuellen"/>
        <w:pBdr>
          <w:top w:val="none" w:sz="0" w:space="0" w:color="auto"/>
          <w:left w:val="none" w:sz="0" w:space="0" w:color="auto"/>
          <w:bottom w:val="none" w:sz="0" w:space="0" w:color="auto"/>
          <w:right w:val="none" w:sz="0" w:space="0" w:color="auto"/>
        </w:pBdr>
        <w:shd w:val="clear" w:color="auto" w:fill="auto"/>
        <w:jc w:val="left"/>
        <w:rPr>
          <w:ins w:id="56" w:author="Heinisch, Katja" w:date="2026-07-27T09:22:00Z" w16du:dateUtc="2026-07-27T07:22:00Z"/>
          <w:color w:val="auto"/>
          <w:lang w:val="en-US"/>
        </w:rPr>
      </w:pPr>
      <w:ins w:id="57" w:author="Heinisch, Katja" w:date="2026-07-27T09:22:00Z" w16du:dateUtc="2026-07-27T07:22:00Z">
        <w:r w:rsidRPr="00C9711D">
          <w:rPr>
            <w:color w:val="auto"/>
            <w:lang w:val="en-US"/>
          </w:rPr>
          <w:t xml:space="preserve">Source: </w:t>
        </w:r>
      </w:ins>
      <w:r w:rsidR="00446DF3">
        <w:rPr>
          <w:color w:val="auto"/>
          <w:lang w:val="en-US"/>
        </w:rPr>
        <w:t>o</w:t>
      </w:r>
      <w:ins w:id="58" w:author="Heinisch, Katja" w:date="2026-07-27T09:22:00Z" w16du:dateUtc="2026-07-27T07:22:00Z">
        <w:r w:rsidRPr="00C9711D">
          <w:rPr>
            <w:color w:val="auto"/>
            <w:lang w:val="en-US"/>
          </w:rPr>
          <w:t>wn depiction.</w:t>
        </w:r>
      </w:ins>
    </w:p>
    <w:p w14:paraId="48AB8E87" w14:textId="77777777" w:rsidR="001314FA" w:rsidRPr="00C9711D" w:rsidRDefault="00190D29" w:rsidP="001314FA">
      <w:pPr>
        <w:pStyle w:val="IWHFlietext"/>
        <w:rPr>
          <w:lang w:val="en-US"/>
        </w:rPr>
      </w:pPr>
      <w:ins w:id="59" w:author="Heinisch, Katja" w:date="2026-07-27T09:22:00Z" w16du:dateUtc="2026-07-27T07:22:00Z">
        <w:r w:rsidRPr="00C9711D">
          <w:rPr>
            <w:lang w:val="en-US"/>
          </w:rPr>
          <w:t>Following the detailed sectoral representation used within the model, results are also reported for a more aggregated sector classification in which the fossil and renewable energy sectors are combined</w:t>
        </w:r>
      </w:ins>
      <w:del w:id="60" w:author="Heinisch, Katja" w:date="2026-07-27T09:22:00Z" w16du:dateUtc="2026-07-27T07:22:00Z">
        <w:r w:rsidR="001314FA" w:rsidRPr="00C9711D">
          <w:rPr>
            <w:lang w:val="en-US"/>
          </w:rPr>
          <w:delText>Renewable</w:delText>
        </w:r>
      </w:del>
      <w:r w:rsidR="001314FA" w:rsidRPr="00C9711D">
        <w:rPr>
          <w:lang w:val="en-US"/>
        </w:rPr>
        <w:t xml:space="preserve"> into a single </w:t>
      </w:r>
      <w:ins w:id="61" w:author="Heinisch, Katja" w:date="2026-07-27T09:22:00Z" w16du:dateUtc="2026-07-27T07:22:00Z">
        <w:r w:rsidRPr="00C9711D">
          <w:rPr>
            <w:lang w:val="en-US"/>
          </w:rPr>
          <w:t>e</w:t>
        </w:r>
      </w:ins>
      <w:del w:id="62" w:author="Heinisch, Katja" w:date="2026-07-27T09:22:00Z" w16du:dateUtc="2026-07-27T07:22:00Z">
        <w:r w:rsidR="001314FA" w:rsidRPr="00C9711D">
          <w:rPr>
            <w:lang w:val="en-US"/>
          </w:rPr>
          <w:delText>“E</w:delText>
        </w:r>
      </w:del>
      <w:r w:rsidR="001314FA" w:rsidRPr="00C9711D">
        <w:rPr>
          <w:lang w:val="en-US"/>
        </w:rPr>
        <w:t>nergy</w:t>
      </w:r>
      <w:del w:id="63" w:author="Heinisch, Katja" w:date="2026-07-27T09:22:00Z" w16du:dateUtc="2026-07-27T07:22:00Z">
        <w:r w:rsidR="001314FA" w:rsidRPr="00C9711D">
          <w:rPr>
            <w:lang w:val="en-US"/>
          </w:rPr>
          <w:delText>”</w:delText>
        </w:r>
      </w:del>
      <w:r w:rsidR="001314FA" w:rsidRPr="00C9711D">
        <w:rPr>
          <w:lang w:val="en-US"/>
        </w:rPr>
        <w:t xml:space="preserve"> sector</w:t>
      </w:r>
      <w:ins w:id="64" w:author="Heinisch, Katja" w:date="2026-07-27T09:22:00Z" w16du:dateUtc="2026-07-27T07:22:00Z">
        <w:r w:rsidRPr="00C9711D">
          <w:rPr>
            <w:lang w:val="en-US"/>
          </w:rPr>
          <w:t>. This produces</w:t>
        </w:r>
      </w:ins>
      <w:del w:id="65" w:author="Heinisch, Katja" w:date="2026-07-27T09:22:00Z" w16du:dateUtc="2026-07-27T07:22:00Z">
        <w:r w:rsidR="001314FA" w:rsidRPr="00C9711D">
          <w:rPr>
            <w:lang w:val="en-US"/>
          </w:rPr>
          <w:delText xml:space="preserve"> (giving</w:delText>
        </w:r>
      </w:del>
      <w:r w:rsidR="001314FA" w:rsidRPr="00C9711D">
        <w:rPr>
          <w:lang w:val="en-US"/>
        </w:rPr>
        <w:t xml:space="preserve"> the four-sector </w:t>
      </w:r>
      <w:ins w:id="66" w:author="Heinisch, Katja" w:date="2026-07-27T09:22:00Z" w16du:dateUtc="2026-07-27T07:22:00Z">
        <w:r w:rsidRPr="00C9711D">
          <w:rPr>
            <w:lang w:val="en-US"/>
          </w:rPr>
          <w:t>reporting structure—</w:t>
        </w:r>
      </w:ins>
      <w:del w:id="67" w:author="Heinisch, Katja" w:date="2026-07-27T09:22:00Z" w16du:dateUtc="2026-07-27T07:22:00Z">
        <w:r w:rsidR="001314FA" w:rsidRPr="00C9711D">
          <w:rPr>
            <w:lang w:val="en-US"/>
          </w:rPr>
          <w:delText xml:space="preserve">aggregate view: </w:delText>
        </w:r>
      </w:del>
      <w:r w:rsidR="001314FA" w:rsidRPr="00C9711D">
        <w:rPr>
          <w:lang w:val="en-US"/>
        </w:rPr>
        <w:t xml:space="preserve">Primary, Energy, Secondary, </w:t>
      </w:r>
      <w:ins w:id="68" w:author="Heinisch, Katja" w:date="2026-07-27T09:22:00Z" w16du:dateUtc="2026-07-27T07:22:00Z">
        <w:r w:rsidRPr="00C9711D">
          <w:rPr>
            <w:lang w:val="en-US"/>
          </w:rPr>
          <w:t xml:space="preserve">and </w:t>
        </w:r>
      </w:ins>
      <w:r w:rsidR="001314FA" w:rsidRPr="00C9711D">
        <w:rPr>
          <w:lang w:val="en-US"/>
        </w:rPr>
        <w:t>Tertiary</w:t>
      </w:r>
      <w:ins w:id="69" w:author="Heinisch, Katja" w:date="2026-07-27T09:22:00Z" w16du:dateUtc="2026-07-27T07:22:00Z">
        <w:r w:rsidRPr="00C9711D">
          <w:rPr>
            <w:lang w:val="en-US"/>
          </w:rPr>
          <w:t>—that is</w:t>
        </w:r>
      </w:ins>
      <w:r w:rsidR="001314FA" w:rsidRPr="00C9711D">
        <w:rPr>
          <w:lang w:val="en-US"/>
        </w:rPr>
        <w:t xml:space="preserve"> used </w:t>
      </w:r>
      <w:ins w:id="70" w:author="Heinisch, Katja" w:date="2026-07-27T09:22:00Z" w16du:dateUtc="2026-07-27T07:22:00Z">
        <w:r w:rsidRPr="00C9711D">
          <w:rPr>
            <w:lang w:val="en-US"/>
          </w:rPr>
          <w:t>throughout the presentation of simulation</w:t>
        </w:r>
      </w:ins>
      <w:del w:id="71" w:author="Heinisch, Katja" w:date="2026-07-27T09:22:00Z" w16du:dateUtc="2026-07-27T07:22:00Z">
        <w:r w:rsidR="001314FA" w:rsidRPr="00C9711D">
          <w:rPr>
            <w:lang w:val="en-US"/>
          </w:rPr>
          <w:delText>in</w:delText>
        </w:r>
      </w:del>
      <w:r w:rsidR="001314FA" w:rsidRPr="00C9711D">
        <w:rPr>
          <w:lang w:val="en-US"/>
        </w:rPr>
        <w:t xml:space="preserve"> results</w:t>
      </w:r>
      <w:ins w:id="72" w:author="Heinisch, Katja" w:date="2026-07-27T09:22:00Z" w16du:dateUtc="2026-07-27T07:22:00Z">
        <w:r w:rsidRPr="00C9711D">
          <w:rPr>
            <w:lang w:val="en-US"/>
          </w:rPr>
          <w:t>.</w:t>
        </w:r>
      </w:ins>
      <w:del w:id="73" w:author="Heinisch, Katja" w:date="2026-07-27T09:22:00Z" w16du:dateUtc="2026-07-27T07:22:00Z">
        <w:r w:rsidR="001314FA" w:rsidRPr="00C9711D">
          <w:rPr>
            <w:lang w:val="en-US"/>
          </w:rPr>
          <w:delText xml:space="preserve"> reporting).</w:delText>
        </w:r>
      </w:del>
      <w:r w:rsidR="001314FA" w:rsidRPr="00C9711D">
        <w:rPr>
          <w:lang w:val="en-US"/>
        </w:rPr>
        <w:t xml:space="preserve"> Capital and </w:t>
      </w:r>
      <w:ins w:id="74" w:author="Heinisch, Katja" w:date="2026-07-27T09:22:00Z" w16du:dateUtc="2026-07-27T07:22:00Z">
        <w:r w:rsidRPr="00C9711D">
          <w:rPr>
            <w:lang w:val="en-US"/>
          </w:rPr>
          <w:t>labour are mobile</w:t>
        </w:r>
      </w:ins>
      <w:del w:id="75" w:author="Heinisch, Katja" w:date="2026-07-27T09:22:00Z" w16du:dateUtc="2026-07-27T07:22:00Z">
        <w:r w:rsidR="001314FA" w:rsidRPr="00C9711D">
          <w:rPr>
            <w:lang w:val="en-US"/>
          </w:rPr>
          <w:delText>labor move</w:delText>
        </w:r>
      </w:del>
      <w:r w:rsidR="001314FA" w:rsidRPr="00C9711D">
        <w:rPr>
          <w:lang w:val="en-US"/>
        </w:rPr>
        <w:t xml:space="preserve"> across sectors in response to </w:t>
      </w:r>
      <w:ins w:id="76" w:author="Heinisch, Katja" w:date="2026-07-27T09:22:00Z" w16du:dateUtc="2026-07-27T07:22:00Z">
        <w:r w:rsidRPr="00C9711D">
          <w:rPr>
            <w:lang w:val="en-US"/>
          </w:rPr>
          <w:t xml:space="preserve">changes in </w:t>
        </w:r>
      </w:ins>
      <w:r w:rsidR="001314FA" w:rsidRPr="00C9711D">
        <w:rPr>
          <w:lang w:val="en-US"/>
        </w:rPr>
        <w:t>relative prices</w:t>
      </w:r>
      <w:ins w:id="77" w:author="Heinisch, Katja" w:date="2026-07-27T09:22:00Z" w16du:dateUtc="2026-07-27T07:22:00Z">
        <w:r w:rsidRPr="00C9711D">
          <w:rPr>
            <w:lang w:val="en-US"/>
          </w:rPr>
          <w:t>, while the</w:t>
        </w:r>
      </w:ins>
      <w:del w:id="78" w:author="Heinisch, Katja" w:date="2026-07-27T09:22:00Z" w16du:dateUtc="2026-07-27T07:22:00Z">
        <w:r w:rsidR="001314FA" w:rsidRPr="00C9711D">
          <w:rPr>
            <w:lang w:val="en-US"/>
          </w:rPr>
          <w:delText>;</w:delText>
        </w:r>
      </w:del>
      <w:r w:rsidR="001314FA" w:rsidRPr="00C9711D">
        <w:rPr>
          <w:lang w:val="en-US"/>
        </w:rPr>
        <w:t xml:space="preserve"> energy sectors supply intermediate inputs to </w:t>
      </w:r>
      <w:ins w:id="79" w:author="Heinisch, Katja" w:date="2026-07-27T09:22:00Z" w16du:dateUtc="2026-07-27T07:22:00Z">
        <w:r w:rsidRPr="00C9711D">
          <w:rPr>
            <w:lang w:val="en-US"/>
          </w:rPr>
          <w:t xml:space="preserve">the non-energy production </w:t>
        </w:r>
      </w:ins>
      <w:r w:rsidR="001314FA" w:rsidRPr="00C9711D">
        <w:rPr>
          <w:lang w:val="en-US"/>
        </w:rPr>
        <w:t>sectors</w:t>
      </w:r>
      <w:del w:id="80" w:author="Heinisch, Katja" w:date="2026-07-27T09:22:00Z" w16du:dateUtc="2026-07-27T07:22:00Z">
        <w:r w:rsidR="001314FA" w:rsidRPr="00C9711D">
          <w:rPr>
            <w:lang w:val="en-US"/>
          </w:rPr>
          <w:delText xml:space="preserve"> 1, 4, and 5</w:delText>
        </w:r>
      </w:del>
      <w:r w:rsidR="001314FA" w:rsidRPr="00C9711D">
        <w:rPr>
          <w:lang w:val="en-US"/>
        </w:rPr>
        <w:t>.</w:t>
      </w:r>
    </w:p>
    <w:p w14:paraId="7887ADE1" w14:textId="1350D391" w:rsidR="001314FA" w:rsidRPr="00C9711D" w:rsidRDefault="000734E5" w:rsidP="002A4BF9">
      <w:pPr>
        <w:pStyle w:val="berschrift2"/>
        <w:rPr>
          <w:lang w:val="en-US"/>
        </w:rPr>
      </w:pPr>
      <w:bookmarkStart w:id="81" w:name="_Toc235867051"/>
      <w:bookmarkStart w:id="82" w:name="household"/>
      <w:bookmarkStart w:id="83" w:name="_Toc236050647"/>
      <w:bookmarkEnd w:id="45"/>
      <w:ins w:id="84" w:author="Heinisch, Katja" w:date="2026-07-27T09:22:00Z" w16du:dateUtc="2026-07-27T07:22:00Z">
        <w:r w:rsidRPr="00C9711D">
          <w:rPr>
            <w:lang w:val="en-US"/>
          </w:rPr>
          <w:t xml:space="preserve">Representative </w:t>
        </w:r>
      </w:ins>
      <w:r w:rsidR="001314FA" w:rsidRPr="00C9711D">
        <w:rPr>
          <w:lang w:val="en-US"/>
        </w:rPr>
        <w:t>Household</w:t>
      </w:r>
      <w:bookmarkEnd w:id="81"/>
      <w:bookmarkEnd w:id="83"/>
    </w:p>
    <w:p w14:paraId="347BB613" w14:textId="77777777" w:rsidR="000734E5" w:rsidRPr="00C9711D" w:rsidRDefault="000734E5" w:rsidP="0087235D">
      <w:pPr>
        <w:pStyle w:val="IWHFlietext"/>
        <w:rPr>
          <w:ins w:id="85" w:author="Heinisch, Katja" w:date="2026-07-27T09:22:00Z" w16du:dateUtc="2026-07-27T07:22:00Z"/>
          <w:lang w:val="en-US"/>
        </w:rPr>
      </w:pPr>
      <w:ins w:id="86" w:author="Heinisch, Katja" w:date="2026-07-27T09:22:00Z" w16du:dateUtc="2026-07-27T07:22:00Z">
        <w:r w:rsidRPr="00C9711D">
          <w:rPr>
            <w:lang w:val="en-US"/>
          </w:rPr>
          <w:t>A representative household maximizes discounted lifetime utility by choosing consumption, labour supply, housing, savings, and investment over the transition horizon. Household decisions determine the allocation of labour across production sectors and the accumulation of physical and housing capital, thereby linking current economic decisions with future production possibilities. The forward-looking nature of the household ensures that anticipated policy changes influence behaviour before they are fully implemented, an important feature for analysing long-term transition policies.</w:t>
        </w:r>
      </w:ins>
    </w:p>
    <w:p w14:paraId="08267811" w14:textId="77777777" w:rsidR="001314FA" w:rsidRPr="00C9711D" w:rsidRDefault="001314FA" w:rsidP="001314FA">
      <w:pPr>
        <w:pStyle w:val="IWHFlietext"/>
        <w:rPr>
          <w:lang w:val="en-US"/>
        </w:rPr>
      </w:pPr>
      <w:r w:rsidRPr="00C9711D">
        <w:rPr>
          <w:lang w:val="en-US"/>
        </w:rPr>
        <w:t xml:space="preserve">A representative household derives utility from consumption </w:t>
      </w:r>
      <w:commentRangeStart w:id="87"/>
      <w:r w:rsidRPr="00C9711D">
        <w:rPr>
          <w:rStyle w:val="VerbatimChar"/>
          <w:rFonts w:eastAsiaTheme="minorHAnsi"/>
          <w:lang w:val="en-US"/>
        </w:rPr>
        <w:t>C</w:t>
      </w:r>
      <w:commentRangeEnd w:id="87"/>
      <w:r w:rsidR="002A4BF9" w:rsidRPr="00C9711D">
        <w:rPr>
          <w:rStyle w:val="Kommentarzeichen"/>
          <w:rFonts w:ascii="Consolas" w:eastAsiaTheme="minorHAnsi" w:hAnsi="Consolas"/>
          <w:color w:val="242B84"/>
          <w:sz w:val="20"/>
          <w:szCs w:val="18"/>
          <w:lang w:val="en-US"/>
        </w:rPr>
        <w:commentReference w:id="87"/>
      </w:r>
      <w:r w:rsidRPr="00C9711D">
        <w:rPr>
          <w:rStyle w:val="VerbatimChar"/>
          <w:rFonts w:eastAsiaTheme="minorHAnsi"/>
          <w:lang w:val="en-US"/>
        </w:rPr>
        <w:t>_t</w:t>
      </w:r>
      <w:r w:rsidRPr="00C9711D">
        <w:rPr>
          <w:lang w:val="en-US"/>
        </w:rPr>
        <w:t xml:space="preserve">, housing services </w:t>
      </w:r>
      <w:r w:rsidRPr="00C9711D">
        <w:rPr>
          <w:rStyle w:val="VerbatimChar"/>
          <w:rFonts w:eastAsiaTheme="minorHAnsi"/>
          <w:lang w:val="en-US"/>
        </w:rPr>
        <w:t>H_(t+1)</w:t>
      </w:r>
      <w:r w:rsidRPr="00C9711D">
        <w:rPr>
          <w:lang w:val="en-US"/>
        </w:rPr>
        <w:t xml:space="preserve">, and disutility from supplying labor </w:t>
      </w:r>
      <w:r w:rsidRPr="00C9711D">
        <w:rPr>
          <w:rStyle w:val="VerbatimChar"/>
          <w:rFonts w:eastAsiaTheme="minorHAnsi"/>
          <w:lang w:val="en-US"/>
        </w:rPr>
        <w:t>N_(s,t)</w:t>
      </w:r>
      <w:r w:rsidRPr="00C9711D">
        <w:rPr>
          <w:lang w:val="en-US"/>
        </w:rPr>
        <w:t xml:space="preserve"> across sectors </w:t>
      </w:r>
      <w:r w:rsidRPr="00C9711D">
        <w:rPr>
          <w:rStyle w:val="VerbatimChar"/>
          <w:rFonts w:eastAsiaTheme="minorHAnsi"/>
          <w:lang w:val="en-US"/>
        </w:rPr>
        <w:t>s ∈ \1,…,S\</w:t>
      </w:r>
      <w:r w:rsidRPr="00C9711D">
        <w:rPr>
          <w:lang w:val="en-US"/>
        </w:rPr>
        <w:t>:</w:t>
      </w:r>
    </w:p>
    <w:p w14:paraId="46D8EA3C" w14:textId="77777777" w:rsidR="001314FA" w:rsidRPr="00C9711D" w:rsidRDefault="001314FA" w:rsidP="001314FA">
      <w:pPr>
        <w:pStyle w:val="Textkrper"/>
        <w:rPr>
          <w:lang w:val="en-US"/>
        </w:rPr>
      </w:pPr>
      <w:r w:rsidRPr="00C9711D">
        <w:rPr>
          <w:noProof/>
          <w:lang w:val="en-US"/>
        </w:rPr>
        <w:drawing>
          <wp:inline distT="0" distB="0" distL="0" distR="0" wp14:anchorId="3081FEC4" wp14:editId="06177B13">
            <wp:extent cx="3353104" cy="41913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C:\Users\schul\Documents\GitHub\DGE-METRIC\.tmp\technical_report_build\math\math-0001.png"/>
                    <pic:cNvPicPr>
                      <a:picLocks noChangeAspect="1" noChangeArrowheads="1"/>
                    </pic:cNvPicPr>
                  </pic:nvPicPr>
                  <pic:blipFill>
                    <a:blip r:embed="rId22"/>
                    <a:stretch>
                      <a:fillRect/>
                    </a:stretch>
                  </pic:blipFill>
                  <pic:spPr bwMode="auto">
                    <a:xfrm>
                      <a:off x="0" y="0"/>
                      <a:ext cx="3353104" cy="419138"/>
                    </a:xfrm>
                    <a:prstGeom prst="rect">
                      <a:avLst/>
                    </a:prstGeom>
                    <a:noFill/>
                    <a:ln w="9525">
                      <a:noFill/>
                      <a:headEnd/>
                      <a:tailEnd/>
                    </a:ln>
                  </pic:spPr>
                </pic:pic>
              </a:graphicData>
            </a:graphic>
          </wp:inline>
        </w:drawing>
      </w:r>
    </w:p>
    <w:p w14:paraId="0A9ED345" w14:textId="77777777" w:rsidR="001314FA" w:rsidRPr="00C9711D" w:rsidRDefault="001314FA" w:rsidP="001314FA">
      <w:pPr>
        <w:pStyle w:val="IWHFlietext"/>
        <w:rPr>
          <w:lang w:val="en-US"/>
        </w:rPr>
      </w:pPr>
      <w:r w:rsidRPr="00C9711D">
        <w:rPr>
          <w:lang w:val="en-US"/>
        </w:rPr>
        <w:t xml:space="preserve">where </w:t>
      </w:r>
      <w:r w:rsidRPr="00C9711D">
        <w:rPr>
          <w:rStyle w:val="VerbatimChar"/>
          <w:rFonts w:eastAsiaTheme="minorHAnsi"/>
          <w:lang w:val="en-US"/>
        </w:rPr>
        <w:t>γ</w:t>
      </w:r>
      <w:r w:rsidRPr="00C9711D">
        <w:rPr>
          <w:lang w:val="en-US"/>
        </w:rPr>
        <w:t xml:space="preserve"> is the preference weight on housing, </w:t>
      </w:r>
      <w:r w:rsidRPr="00C9711D">
        <w:rPr>
          <w:rStyle w:val="VerbatimChar"/>
          <w:rFonts w:eastAsiaTheme="minorHAnsi"/>
          <w:lang w:val="en-US"/>
        </w:rPr>
        <w:t>σ^C</w:t>
      </w:r>
      <w:r w:rsidRPr="00C9711D">
        <w:rPr>
          <w:lang w:val="en-US"/>
        </w:rPr>
        <w:t xml:space="preserve"> the inverse intertemporal elasticity of substitution in consumption, and </w:t>
      </w:r>
      <w:r w:rsidRPr="00C9711D">
        <w:rPr>
          <w:rStyle w:val="VerbatimChar"/>
          <w:rFonts w:eastAsiaTheme="minorHAnsi"/>
          <w:lang w:val="en-US"/>
        </w:rPr>
        <w:t>σ^L</w:t>
      </w:r>
      <w:r w:rsidRPr="00C9711D">
        <w:rPr>
          <w:lang w:val="en-US"/>
        </w:rPr>
        <w:t xml:space="preserve"> the inverse Frisch elasticity of labor supply. Labor disutility is scaled by sector-specific labor productivity </w:t>
      </w:r>
      <w:r w:rsidRPr="00C9711D">
        <w:rPr>
          <w:rStyle w:val="VerbatimChar"/>
          <w:rFonts w:eastAsiaTheme="minorHAnsi"/>
          <w:lang w:val="en-US"/>
        </w:rPr>
        <w:t>A^L_(s,t)</w:t>
      </w:r>
      <w:r w:rsidRPr="00C9711D">
        <w:rPr>
          <w:lang w:val="en-US"/>
        </w:rPr>
        <w:t xml:space="preserve"> and calibrated weights </w:t>
      </w:r>
      <w:r w:rsidRPr="00C9711D">
        <w:rPr>
          <w:rStyle w:val="VerbatimChar"/>
          <w:rFonts w:eastAsiaTheme="minorHAnsi"/>
          <w:lang w:val="en-US"/>
        </w:rPr>
        <w:t>φ^L_s</w:t>
      </w:r>
      <w:r w:rsidRPr="00C9711D">
        <w:rPr>
          <w:lang w:val="en-US"/>
        </w:rPr>
        <w:t xml:space="preserve"> that pin down realistic long-run sectoral labor shares.</w:t>
      </w:r>
    </w:p>
    <w:p w14:paraId="0A1BBEE2" w14:textId="77777777" w:rsidR="001314FA" w:rsidRPr="00C9711D" w:rsidRDefault="001314FA" w:rsidP="001314FA">
      <w:pPr>
        <w:pStyle w:val="IWHFlietext"/>
        <w:rPr>
          <w:lang w:val="en-US"/>
        </w:rPr>
      </w:pPr>
      <w:r w:rsidRPr="00C9711D">
        <w:rPr>
          <w:lang w:val="en-US"/>
        </w:rPr>
        <w:lastRenderedPageBreak/>
        <w:t xml:space="preserve">The household chooses consumption, sectoral labor supply, sectoral investment </w:t>
      </w:r>
      <w:r w:rsidRPr="00C9711D">
        <w:rPr>
          <w:rStyle w:val="VerbatimChar"/>
          <w:rFonts w:eastAsiaTheme="minorHAnsi"/>
          <w:lang w:val="en-US"/>
        </w:rPr>
        <w:t>I_(s,t)</w:t>
      </w:r>
      <w:r w:rsidRPr="00C9711D">
        <w:rPr>
          <w:lang w:val="en-US"/>
        </w:rPr>
        <w:t xml:space="preserve">, next-period sectoral capital </w:t>
      </w:r>
      <w:r w:rsidRPr="00C9711D">
        <w:rPr>
          <w:rStyle w:val="VerbatimChar"/>
          <w:rFonts w:eastAsiaTheme="minorHAnsi"/>
          <w:lang w:val="en-US"/>
        </w:rPr>
        <w:t>K_(s,t+1)</w:t>
      </w:r>
      <w:r w:rsidRPr="00C9711D">
        <w:rPr>
          <w:lang w:val="en-US"/>
        </w:rPr>
        <w:t xml:space="preserve">, housing </w:t>
      </w:r>
      <w:r w:rsidRPr="00C9711D">
        <w:rPr>
          <w:rStyle w:val="VerbatimChar"/>
          <w:rFonts w:eastAsiaTheme="minorHAnsi"/>
          <w:lang w:val="en-US"/>
        </w:rPr>
        <w:t>H_(t+1)</w:t>
      </w:r>
      <w:r w:rsidRPr="00C9711D">
        <w:rPr>
          <w:lang w:val="en-US"/>
        </w:rPr>
        <w:t xml:space="preserve">, and net foreign asset holdings </w:t>
      </w:r>
      <w:r w:rsidRPr="00C9711D">
        <w:rPr>
          <w:rStyle w:val="VerbatimChar"/>
          <w:rFonts w:eastAsiaTheme="minorHAnsi"/>
          <w:lang w:val="en-US"/>
        </w:rPr>
        <w:t>B_(t+1)</w:t>
      </w:r>
      <w:r w:rsidRPr="00C9711D">
        <w:rPr>
          <w:lang w:val="en-US"/>
        </w:rPr>
        <w:t xml:space="preserve"> to maximize discounted lifetime utility </w:t>
      </w:r>
      <w:r w:rsidRPr="00C9711D">
        <w:rPr>
          <w:rStyle w:val="VerbatimChar"/>
          <w:rFonts w:eastAsiaTheme="minorHAnsi"/>
          <w:lang w:val="en-US"/>
        </w:rPr>
        <w:t>Σ_t β^t U(·)</w:t>
      </w:r>
      <w:r w:rsidRPr="00C9711D">
        <w:rPr>
          <w:lang w:val="en-US"/>
        </w:rPr>
        <w:t xml:space="preserve"> subject to:</w:t>
      </w:r>
    </w:p>
    <w:p w14:paraId="65769C25" w14:textId="7777777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lang w:val="en-US"/>
        </w:rPr>
        <w:t xml:space="preserve">a </w:t>
      </w:r>
      <w:r w:rsidRPr="00C9711D">
        <w:rPr>
          <w:rFonts w:asciiTheme="majorHAnsi" w:hAnsiTheme="majorHAnsi"/>
          <w:b/>
          <w:bCs/>
          <w:lang w:val="en-US"/>
        </w:rPr>
        <w:t>budget constraint</w:t>
      </w:r>
      <w:r w:rsidRPr="00C9711D">
        <w:rPr>
          <w:rFonts w:asciiTheme="majorHAnsi" w:hAnsiTheme="majorHAnsi"/>
          <w:lang w:val="en-US"/>
        </w:rPr>
        <w:t xml:space="preserve"> (income = expenditure);</w:t>
      </w:r>
    </w:p>
    <w:p w14:paraId="1251328D" w14:textId="0C51E8EB"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b/>
          <w:bCs/>
          <w:lang w:val="en-US"/>
        </w:rPr>
        <w:t>sector-specific capital accumulation</w:t>
      </w:r>
      <w:r w:rsidRPr="00C9711D">
        <w:rPr>
          <w:rFonts w:asciiTheme="majorHAnsi" w:hAnsiTheme="majorHAnsi"/>
          <w:lang w:val="en-US"/>
        </w:rPr>
        <w:t xml:space="preserve">, </w:t>
      </w:r>
      <m:oMath>
        <m:sSub>
          <m:sSubPr>
            <m:ctrlPr>
              <w:rPr>
                <w:rFonts w:ascii="Cambria Math" w:hAnsi="Cambria Math" w:cs="Times New Roman"/>
                <w:color w:val="242B84"/>
                <w:szCs w:val="18"/>
                <w:lang w:val="en-US"/>
              </w:rPr>
            </m:ctrlPr>
          </m:sSubPr>
          <m:e>
            <m:r>
              <w:rPr>
                <w:rFonts w:ascii="Cambria Math" w:hAnsi="Cambria Math" w:cs="Times New Roman"/>
                <w:color w:val="242B84"/>
                <w:szCs w:val="18"/>
                <w:lang w:val="en-US"/>
              </w:rPr>
              <m:t>K</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s,t+1</m:t>
                </m:r>
              </m:e>
            </m:d>
          </m:sub>
        </m:sSub>
        <m:r>
          <w:rPr>
            <w:rFonts w:ascii="Cambria Math" w:hAnsi="Cambria Math" w:cs="Times New Roman"/>
            <w:color w:val="242B84"/>
            <w:szCs w:val="18"/>
            <w:lang w:val="en-US"/>
          </w:rPr>
          <m:t>=</m:t>
        </m:r>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1-δ</m:t>
            </m:r>
          </m:e>
        </m:d>
        <m:sSub>
          <m:sSubPr>
            <m:ctrlPr>
              <w:rPr>
                <w:rFonts w:ascii="Cambria Math" w:hAnsi="Cambria Math" w:cs="Times New Roman"/>
                <w:color w:val="242B84"/>
                <w:szCs w:val="18"/>
                <w:lang w:val="en-US"/>
              </w:rPr>
            </m:ctrlPr>
          </m:sSubPr>
          <m:e>
            <m:r>
              <w:rPr>
                <w:rFonts w:ascii="Cambria Math" w:hAnsi="Cambria Math" w:cs="Times New Roman"/>
                <w:color w:val="242B84"/>
                <w:szCs w:val="18"/>
                <w:lang w:val="en-US"/>
              </w:rPr>
              <m:t>K</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s,t</m:t>
                </m:r>
              </m:e>
            </m:d>
          </m:sub>
        </m:sSub>
        <m:r>
          <w:rPr>
            <w:rFonts w:ascii="Cambria Math" w:hAnsi="Cambria Math" w:cs="Times New Roman"/>
            <w:color w:val="242B84"/>
            <w:szCs w:val="18"/>
            <w:lang w:val="en-US"/>
          </w:rPr>
          <m:t>+</m:t>
        </m:r>
        <m:sSub>
          <m:sSubPr>
            <m:ctrlPr>
              <w:rPr>
                <w:rFonts w:ascii="Cambria Math" w:hAnsi="Cambria Math" w:cs="Times New Roman"/>
                <w:color w:val="242B84"/>
                <w:szCs w:val="18"/>
                <w:lang w:val="en-US"/>
              </w:rPr>
            </m:ctrlPr>
          </m:sSubPr>
          <m:e>
            <m:r>
              <w:rPr>
                <w:rFonts w:ascii="Cambria Math" w:hAnsi="Cambria Math" w:cs="Times New Roman"/>
                <w:color w:val="242B84"/>
                <w:szCs w:val="18"/>
                <w:lang w:val="en-US"/>
              </w:rPr>
              <m:t>I</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s,t</m:t>
                </m:r>
              </m:e>
            </m:d>
          </m:sub>
        </m:sSub>
        <m:sSub>
          <m:sSubPr>
            <m:ctrlPr>
              <w:rPr>
                <w:rFonts w:ascii="Cambria Math" w:hAnsi="Cambria Math" w:cs="Times New Roman"/>
                <w:color w:val="242B84"/>
                <w:szCs w:val="18"/>
                <w:lang w:val="en-US"/>
              </w:rPr>
            </m:ctrlPr>
          </m:sSubPr>
          <m:e>
            <m:r>
              <m:rPr>
                <m:sty m:val="p"/>
              </m:rPr>
              <w:rPr>
                <w:rFonts w:ascii="Cambria Math" w:hAnsi="Cambria Math" w:cs="Times New Roman"/>
                <w:color w:val="242B84"/>
                <w:szCs w:val="18"/>
                <w:lang w:val="en-US"/>
              </w:rPr>
              <m:t>Γ</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,t</m:t>
                </m:r>
              </m:e>
            </m:d>
          </m:sub>
        </m:sSub>
        <m:r>
          <w:rPr>
            <w:rFonts w:ascii="Cambria Math" w:hAnsi="Cambria Math" w:cs="Times New Roman"/>
            <w:color w:val="242B84"/>
            <w:szCs w:val="18"/>
            <w:lang w:val="en-US"/>
          </w:rPr>
          <m:t>-</m:t>
        </m:r>
        <m:sSubSup>
          <m:sSubSupPr>
            <m:ctrlPr>
              <w:rPr>
                <w:rFonts w:ascii="Cambria Math" w:hAnsi="Cambria Math" w:cs="Times New Roman"/>
                <w:color w:val="242B84"/>
                <w:szCs w:val="18"/>
                <w:lang w:val="en-US"/>
              </w:rPr>
            </m:ctrlPr>
          </m:sSubSupPr>
          <m:e>
            <m:r>
              <w:rPr>
                <w:rFonts w:ascii="Cambria Math" w:hAnsi="Cambria Math" w:cs="Times New Roman"/>
                <w:color w:val="242B84"/>
                <w:szCs w:val="18"/>
                <w:lang w:val="en-US"/>
              </w:rPr>
              <m:t>D</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s,t</m:t>
                </m:r>
              </m:e>
            </m:d>
          </m:sub>
          <m:sup>
            <m:r>
              <w:rPr>
                <w:rFonts w:ascii="Cambria Math" w:hAnsi="Cambria Math" w:cs="Times New Roman"/>
                <w:color w:val="242B84"/>
                <w:szCs w:val="18"/>
                <w:lang w:val="en-US"/>
              </w:rPr>
              <m:t>K</m:t>
            </m:r>
          </m:sup>
        </m:sSubSup>
      </m:oMath>
      <w:r w:rsidRPr="00C9711D">
        <w:rPr>
          <w:rFonts w:asciiTheme="majorHAnsi" w:hAnsiTheme="majorHAnsi"/>
          <w:lang w:val="en-US"/>
        </w:rPr>
        <w:t xml:space="preserve">, where climate damages </w:t>
      </w:r>
      <m:oMath>
        <m:sSubSup>
          <m:sSubSupPr>
            <m:ctrlPr>
              <w:rPr>
                <w:rFonts w:ascii="Cambria Math" w:hAnsi="Cambria Math" w:cs="Times New Roman"/>
                <w:color w:val="242B84"/>
                <w:szCs w:val="18"/>
                <w:lang w:val="en-US"/>
              </w:rPr>
            </m:ctrlPr>
          </m:sSubSupPr>
          <m:e>
            <m:r>
              <w:rPr>
                <w:rFonts w:ascii="Cambria Math" w:hAnsi="Cambria Math" w:cs="Times New Roman"/>
                <w:color w:val="242B84"/>
                <w:szCs w:val="18"/>
                <w:lang w:val="en-US"/>
              </w:rPr>
              <m:t>D</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s,t</m:t>
                </m:r>
              </m:e>
            </m:d>
          </m:sub>
          <m:sup>
            <m:r>
              <w:rPr>
                <w:rFonts w:ascii="Cambria Math" w:hAnsi="Cambria Math" w:cs="Times New Roman"/>
                <w:color w:val="242B84"/>
                <w:szCs w:val="18"/>
                <w:lang w:val="en-US"/>
              </w:rPr>
              <m:t>K</m:t>
            </m:r>
          </m:sup>
        </m:sSubSup>
      </m:oMath>
      <w:r w:rsidRPr="00C9711D">
        <w:rPr>
          <w:rFonts w:asciiTheme="majorHAnsi" w:hAnsiTheme="majorHAnsi"/>
          <w:lang w:val="en-US"/>
        </w:rPr>
        <w:t xml:space="preserve"> reduce the capital stock directly;</w:t>
      </w:r>
    </w:p>
    <w:p w14:paraId="500D0F68" w14:textId="557DF9C7" w:rsidR="001314FA" w:rsidRPr="00C9711D" w:rsidRDefault="001314FA" w:rsidP="00A5230E">
      <w:pPr>
        <w:pStyle w:val="Compact"/>
        <w:numPr>
          <w:ilvl w:val="0"/>
          <w:numId w:val="3"/>
        </w:numPr>
        <w:rPr>
          <w:rFonts w:asciiTheme="majorHAnsi" w:hAnsiTheme="majorHAnsi"/>
          <w:lang w:val="en-US"/>
        </w:rPr>
      </w:pPr>
      <w:r w:rsidRPr="00C9711D">
        <w:rPr>
          <w:rFonts w:asciiTheme="majorHAnsi" w:hAnsiTheme="majorHAnsi"/>
          <w:b/>
          <w:bCs/>
          <w:lang w:val="en-US"/>
        </w:rPr>
        <w:t>housing accumulation</w:t>
      </w:r>
      <w:r w:rsidRPr="00C9711D">
        <w:rPr>
          <w:rFonts w:asciiTheme="majorHAnsi" w:hAnsiTheme="majorHAnsi"/>
          <w:lang w:val="en-US"/>
        </w:rPr>
        <w:t xml:space="preserve">, </w:t>
      </w:r>
      <m:oMath>
        <m:sSub>
          <m:sSubPr>
            <m:ctrlPr>
              <w:rPr>
                <w:rFonts w:ascii="Cambria Math" w:hAnsi="Cambria Math" w:cs="Times New Roman"/>
                <w:color w:val="242B84"/>
                <w:szCs w:val="18"/>
                <w:lang w:val="en-US"/>
              </w:rPr>
            </m:ctrlPr>
          </m:sSubPr>
          <m:e>
            <m:r>
              <w:rPr>
                <w:rFonts w:ascii="Cambria Math" w:hAnsi="Cambria Math" w:cs="Times New Roman"/>
                <w:color w:val="242B84"/>
                <w:szCs w:val="18"/>
                <w:lang w:val="en-US"/>
              </w:rPr>
              <m:t>H</m:t>
            </m:r>
          </m:e>
          <m:sub>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t+1</m:t>
                </m:r>
              </m:e>
            </m:d>
          </m:sub>
        </m:sSub>
        <m:r>
          <w:rPr>
            <w:rFonts w:ascii="Cambria Math" w:hAnsi="Cambria Math" w:cs="Times New Roman"/>
            <w:color w:val="242B84"/>
            <w:szCs w:val="18"/>
            <w:lang w:val="en-US"/>
          </w:rPr>
          <m:t>=</m:t>
        </m:r>
        <m:d>
          <m:dPr>
            <m:ctrlPr>
              <w:rPr>
                <w:rFonts w:ascii="Cambria Math" w:hAnsi="Cambria Math" w:cs="Times New Roman"/>
                <w:color w:val="242B84"/>
                <w:szCs w:val="18"/>
                <w:lang w:val="en-US"/>
              </w:rPr>
            </m:ctrlPr>
          </m:dPr>
          <m:e>
            <m:r>
              <w:rPr>
                <w:rFonts w:ascii="Cambria Math" w:hAnsi="Cambria Math" w:cs="Times New Roman"/>
                <w:color w:val="242B84"/>
                <w:szCs w:val="18"/>
                <w:lang w:val="en-US"/>
              </w:rPr>
              <m:t>1-</m:t>
            </m:r>
            <m:sSup>
              <m:sSupPr>
                <m:ctrlPr>
                  <w:rPr>
                    <w:rFonts w:ascii="Cambria Math" w:hAnsi="Cambria Math" w:cs="Times New Roman"/>
                    <w:color w:val="242B84"/>
                    <w:szCs w:val="18"/>
                    <w:lang w:val="en-US"/>
                  </w:rPr>
                </m:ctrlPr>
              </m:sSupPr>
              <m:e>
                <m:r>
                  <w:rPr>
                    <w:rFonts w:ascii="Cambria Math" w:hAnsi="Cambria Math" w:cs="Times New Roman"/>
                    <w:color w:val="242B84"/>
                    <w:szCs w:val="18"/>
                    <w:lang w:val="en-US"/>
                  </w:rPr>
                  <m:t>δ</m:t>
                </m:r>
              </m:e>
              <m:sup>
                <m:r>
                  <w:rPr>
                    <w:rFonts w:ascii="Cambria Math" w:hAnsi="Cambria Math" w:cs="Times New Roman"/>
                    <w:color w:val="242B84"/>
                    <w:szCs w:val="18"/>
                    <w:lang w:val="en-US"/>
                  </w:rPr>
                  <m:t>H</m:t>
                </m:r>
              </m:sup>
            </m:sSup>
          </m:e>
        </m:d>
        <m:sSub>
          <m:sSubPr>
            <m:ctrlPr>
              <w:rPr>
                <w:rFonts w:ascii="Cambria Math" w:hAnsi="Cambria Math" w:cs="Times New Roman"/>
                <w:color w:val="242B84"/>
                <w:szCs w:val="18"/>
                <w:lang w:val="en-US"/>
              </w:rPr>
            </m:ctrlPr>
          </m:sSubPr>
          <m:e>
            <m:r>
              <w:rPr>
                <w:rFonts w:ascii="Cambria Math" w:hAnsi="Cambria Math" w:cs="Times New Roman"/>
                <w:color w:val="242B84"/>
                <w:szCs w:val="18"/>
                <w:lang w:val="en-US"/>
              </w:rPr>
              <m:t>H</m:t>
            </m:r>
          </m:e>
          <m:sub>
            <m:r>
              <w:rPr>
                <w:rFonts w:ascii="Cambria Math" w:hAnsi="Cambria Math" w:cs="Times New Roman"/>
                <w:color w:val="242B84"/>
                <w:szCs w:val="18"/>
                <w:lang w:val="en-US"/>
              </w:rPr>
              <m:t>t</m:t>
            </m:r>
          </m:sub>
        </m:sSub>
        <m:r>
          <w:rPr>
            <w:rFonts w:ascii="Cambria Math" w:hAnsi="Cambria Math" w:cs="Times New Roman"/>
            <w:color w:val="242B84"/>
            <w:szCs w:val="18"/>
            <w:lang w:val="en-US"/>
          </w:rPr>
          <m:t>+</m:t>
        </m:r>
        <m:sSubSup>
          <m:sSubSupPr>
            <m:ctrlPr>
              <w:rPr>
                <w:rFonts w:ascii="Cambria Math" w:hAnsi="Cambria Math" w:cs="Times New Roman"/>
                <w:color w:val="242B84"/>
                <w:szCs w:val="18"/>
                <w:lang w:val="en-US"/>
              </w:rPr>
            </m:ctrlPr>
          </m:sSubSupPr>
          <m:e>
            <m:r>
              <w:rPr>
                <w:rFonts w:ascii="Cambria Math" w:hAnsi="Cambria Math" w:cs="Times New Roman"/>
                <w:color w:val="242B84"/>
                <w:szCs w:val="18"/>
                <w:lang w:val="en-US"/>
              </w:rPr>
              <m:t>I</m:t>
            </m:r>
          </m:e>
          <m:sub>
            <m:r>
              <w:rPr>
                <w:rFonts w:ascii="Cambria Math" w:hAnsi="Cambria Math" w:cs="Times New Roman"/>
                <w:color w:val="242B84"/>
                <w:szCs w:val="18"/>
                <w:lang w:val="en-US"/>
              </w:rPr>
              <m:t>t</m:t>
            </m:r>
          </m:sub>
          <m:sup>
            <m:r>
              <w:rPr>
                <w:rFonts w:ascii="Cambria Math" w:hAnsi="Cambria Math" w:cs="Times New Roman"/>
                <w:color w:val="242B84"/>
                <w:szCs w:val="18"/>
                <w:lang w:val="en-US"/>
              </w:rPr>
              <m:t>H</m:t>
            </m:r>
          </m:sup>
        </m:sSubSup>
        <m:r>
          <w:rPr>
            <w:rFonts w:ascii="Cambria Math" w:hAnsi="Cambria Math" w:cs="Times New Roman"/>
            <w:color w:val="242B84"/>
            <w:szCs w:val="18"/>
            <w:lang w:val="en-US"/>
          </w:rPr>
          <m:t>-</m:t>
        </m:r>
        <m:sSubSup>
          <m:sSubSupPr>
            <m:ctrlPr>
              <w:rPr>
                <w:rFonts w:ascii="Cambria Math" w:hAnsi="Cambria Math" w:cs="Times New Roman"/>
                <w:color w:val="242B84"/>
                <w:szCs w:val="18"/>
                <w:lang w:val="en-US"/>
              </w:rPr>
            </m:ctrlPr>
          </m:sSubSupPr>
          <m:e>
            <m:r>
              <w:rPr>
                <w:rFonts w:ascii="Cambria Math" w:hAnsi="Cambria Math" w:cs="Times New Roman"/>
                <w:color w:val="242B84"/>
                <w:szCs w:val="18"/>
                <w:lang w:val="en-US"/>
              </w:rPr>
              <m:t>D</m:t>
            </m:r>
          </m:e>
          <m:sub>
            <m:r>
              <w:rPr>
                <w:rFonts w:ascii="Cambria Math" w:hAnsi="Cambria Math" w:cs="Times New Roman"/>
                <w:color w:val="242B84"/>
                <w:szCs w:val="18"/>
                <w:lang w:val="en-US"/>
              </w:rPr>
              <m:t>t</m:t>
            </m:r>
          </m:sub>
          <m:sup>
            <m:r>
              <w:rPr>
                <w:rFonts w:ascii="Cambria Math" w:hAnsi="Cambria Math" w:cs="Times New Roman"/>
                <w:color w:val="242B84"/>
                <w:szCs w:val="18"/>
                <w:lang w:val="en-US"/>
              </w:rPr>
              <m:t>H</m:t>
            </m:r>
          </m:sup>
        </m:sSubSup>
        <m:r>
          <w:rPr>
            <w:rFonts w:ascii="Cambria Math" w:hAnsi="Cambria Math" w:cs="Times New Roman"/>
            <w:color w:val="242B84"/>
            <w:szCs w:val="18"/>
            <w:lang w:val="en-US"/>
          </w:rPr>
          <m:t>.</m:t>
        </m:r>
      </m:oMath>
    </w:p>
    <w:p w14:paraId="2014EDDD" w14:textId="77777777" w:rsidR="001314FA" w:rsidRPr="00C9711D" w:rsidRDefault="001314FA" w:rsidP="001314FA">
      <w:pPr>
        <w:pStyle w:val="IWHFlietext"/>
        <w:rPr>
          <w:lang w:val="en-US"/>
        </w:rPr>
      </w:pPr>
      <w:r w:rsidRPr="00C9711D">
        <w:rPr>
          <w:lang w:val="en-US"/>
        </w:rPr>
        <w:t>Income sources are rental income from sector-specific capital, labor income across sectors, and returns on foreign bond holdings; foreign borrowing carries a debt-elastic risk premium (§3.7, §5.3).</w:t>
      </w:r>
    </w:p>
    <w:p w14:paraId="5DF5EC08" w14:textId="5CE43091" w:rsidR="001314FA" w:rsidRPr="00C9711D" w:rsidRDefault="001314FA" w:rsidP="002A4BF9">
      <w:pPr>
        <w:pStyle w:val="berschrift2"/>
        <w:rPr>
          <w:lang w:val="en-US"/>
        </w:rPr>
      </w:pPr>
      <w:bookmarkStart w:id="88" w:name="_Toc235867052"/>
      <w:bookmarkStart w:id="89" w:name="firms-and-the-production-structure"/>
      <w:bookmarkStart w:id="90" w:name="_Toc236050648"/>
      <w:bookmarkEnd w:id="82"/>
      <w:r w:rsidRPr="00C9711D">
        <w:rPr>
          <w:lang w:val="en-US"/>
        </w:rPr>
        <w:t xml:space="preserve">Firms and </w:t>
      </w:r>
      <w:del w:id="91" w:author="Heinisch, Katja" w:date="2026-07-27T09:22:00Z" w16du:dateUtc="2026-07-27T07:22:00Z">
        <w:r w:rsidRPr="00C9711D">
          <w:rPr>
            <w:lang w:val="en-US"/>
          </w:rPr>
          <w:delText xml:space="preserve">the </w:delText>
        </w:r>
      </w:del>
      <w:r w:rsidRPr="00C9711D">
        <w:rPr>
          <w:lang w:val="en-US"/>
        </w:rPr>
        <w:t>production structure</w:t>
      </w:r>
      <w:bookmarkEnd w:id="88"/>
      <w:bookmarkEnd w:id="90"/>
    </w:p>
    <w:p w14:paraId="3E6CEA50" w14:textId="23163282" w:rsidR="001314FA" w:rsidRPr="00C9711D" w:rsidRDefault="000734E5" w:rsidP="001314FA">
      <w:pPr>
        <w:pStyle w:val="IWHFlietext"/>
        <w:rPr>
          <w:lang w:val="en-US"/>
        </w:rPr>
      </w:pPr>
      <w:ins w:id="92" w:author="Heinisch, Katja" w:date="2026-07-27T09:22:00Z" w16du:dateUtc="2026-07-27T07:22:00Z">
        <w:r w:rsidRPr="00C9711D">
          <w:rPr>
            <w:lang w:val="en-US"/>
          </w:rPr>
          <w:t>Production is carried out by profit-maximizing</w:t>
        </w:r>
      </w:ins>
      <w:del w:id="93" w:author="Heinisch, Katja" w:date="2026-07-27T09:22:00Z" w16du:dateUtc="2026-07-27T07:22:00Z">
        <w:r w:rsidR="001314FA" w:rsidRPr="00C9711D">
          <w:rPr>
            <w:lang w:val="en-US"/>
          </w:rPr>
          <w:delText xml:space="preserve">In each sector </w:delText>
        </w:r>
        <w:r w:rsidR="001314FA" w:rsidRPr="00C9711D">
          <w:rPr>
            <w:rStyle w:val="VerbatimChar"/>
            <w:rFonts w:eastAsiaTheme="minorHAnsi"/>
            <w:lang w:val="en-US"/>
          </w:rPr>
          <w:delText>s</w:delText>
        </w:r>
        <w:r w:rsidR="001314FA" w:rsidRPr="00C9711D">
          <w:rPr>
            <w:lang w:val="en-US"/>
          </w:rPr>
          <w:delText>,</w:delText>
        </w:r>
      </w:del>
      <w:r w:rsidR="001314FA" w:rsidRPr="00C9711D">
        <w:rPr>
          <w:lang w:val="en-US"/>
        </w:rPr>
        <w:t xml:space="preserve"> firms </w:t>
      </w:r>
      <w:ins w:id="94" w:author="Heinisch, Katja" w:date="2026-07-27T09:22:00Z" w16du:dateUtc="2026-07-27T07:22:00Z">
        <w:r w:rsidRPr="00C9711D">
          <w:rPr>
            <w:lang w:val="en-US"/>
          </w:rPr>
          <w:t>operating in each of the five sectors. Firms combine</w:t>
        </w:r>
      </w:ins>
      <w:del w:id="95" w:author="Heinisch, Katja" w:date="2026-07-27T09:22:00Z" w16du:dateUtc="2026-07-27T07:22:00Z">
        <w:r w:rsidR="001314FA" w:rsidRPr="00C9711D">
          <w:rPr>
            <w:lang w:val="en-US"/>
          </w:rPr>
          <w:delText>choose</w:delText>
        </w:r>
      </w:del>
      <w:r w:rsidR="001314FA" w:rsidRPr="00C9711D">
        <w:rPr>
          <w:lang w:val="en-US"/>
        </w:rPr>
        <w:t xml:space="preserve"> intermediate inputs </w:t>
      </w:r>
      <w:r w:rsidR="001314FA" w:rsidRPr="00C9711D">
        <w:rPr>
          <w:rStyle w:val="VerbatimChar"/>
          <w:rFonts w:eastAsiaTheme="minorHAnsi"/>
          <w:lang w:val="en-US"/>
        </w:rPr>
        <w:t>Q^I_(s,k,t)</w:t>
      </w:r>
      <w:r w:rsidR="001314FA" w:rsidRPr="00C9711D">
        <w:rPr>
          <w:lang w:val="en-US"/>
        </w:rPr>
        <w:t>, labo</w:t>
      </w:r>
      <w:ins w:id="96" w:author="Heinisch, Katja" w:date="2026-07-27T09:22:00Z" w16du:dateUtc="2026-07-27T07:22:00Z">
        <w:r w:rsidRPr="00C9711D">
          <w:rPr>
            <w:lang w:val="en-US"/>
          </w:rPr>
          <w:t>u</w:t>
        </w:r>
      </w:ins>
      <w:r w:rsidR="001314FA" w:rsidRPr="00C9711D">
        <w:rPr>
          <w:lang w:val="en-US"/>
        </w:rPr>
        <w:t xml:space="preserve">r </w:t>
      </w:r>
      <w:r w:rsidR="001314FA" w:rsidRPr="00C9711D">
        <w:rPr>
          <w:rStyle w:val="VerbatimChar"/>
          <w:rFonts w:eastAsiaTheme="minorHAnsi"/>
          <w:lang w:val="en-US"/>
        </w:rPr>
        <w:t>L_(s,t)</w:t>
      </w:r>
      <w:r w:rsidR="001314FA" w:rsidRPr="00C9711D">
        <w:rPr>
          <w:lang w:val="en-US"/>
        </w:rPr>
        <w:t xml:space="preserve">, and capital </w:t>
      </w:r>
      <w:r w:rsidR="001314FA" w:rsidRPr="00C9711D">
        <w:rPr>
          <w:rStyle w:val="VerbatimChar"/>
          <w:rFonts w:eastAsiaTheme="minorHAnsi"/>
          <w:lang w:val="en-US"/>
        </w:rPr>
        <w:t>K_(s,t)</w:t>
      </w:r>
      <w:r w:rsidR="001314FA" w:rsidRPr="00C9711D">
        <w:rPr>
          <w:lang w:val="en-US"/>
        </w:rPr>
        <w:t xml:space="preserve"> to </w:t>
      </w:r>
      <w:ins w:id="97" w:author="Heinisch, Katja" w:date="2026-07-27T09:22:00Z" w16du:dateUtc="2026-07-27T07:22:00Z">
        <w:r w:rsidRPr="00C9711D">
          <w:rPr>
            <w:lang w:val="en-US"/>
          </w:rPr>
          <w:t>produce sectoral output while responding to changes in relative prices, wages, capital costs, and carbon prices. The nested production structure allows substitution between production factors and intermediate inputs while preserving the input-output relationships that characterize Vietnam's economy</w:t>
        </w:r>
      </w:ins>
      <w:del w:id="98" w:author="Heinisch, Katja" w:date="2026-07-27T09:22:00Z" w16du:dateUtc="2026-07-27T07:22:00Z">
        <w:r w:rsidR="001314FA" w:rsidRPr="00C9711D">
          <w:rPr>
            <w:lang w:val="en-US"/>
          </w:rPr>
          <w:delText>maximize static profit</w:delText>
        </w:r>
      </w:del>
      <w:r w:rsidR="001314FA" w:rsidRPr="00C9711D">
        <w:rPr>
          <w:lang w:val="en-US"/>
        </w:rPr>
        <w:t>:</w:t>
      </w:r>
    </w:p>
    <w:p w14:paraId="7365DF1E" w14:textId="77777777" w:rsidR="001314FA" w:rsidRPr="00C9711D" w:rsidRDefault="001314FA" w:rsidP="001314FA">
      <w:pPr>
        <w:pStyle w:val="Textkrper"/>
        <w:rPr>
          <w:lang w:val="en-US"/>
        </w:rPr>
      </w:pPr>
      <w:r w:rsidRPr="00C9711D">
        <w:rPr>
          <w:noProof/>
          <w:lang w:val="en-US"/>
        </w:rPr>
        <w:drawing>
          <wp:inline distT="0" distB="0" distL="0" distR="0" wp14:anchorId="4DD94186" wp14:editId="22B37F4F">
            <wp:extent cx="4176064" cy="41913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Users\schul\Documents\GitHub\DGE-METRIC\.tmp\technical_report_build\math\math-0002.png"/>
                    <pic:cNvPicPr>
                      <a:picLocks noChangeAspect="1" noChangeArrowheads="1"/>
                    </pic:cNvPicPr>
                  </pic:nvPicPr>
                  <pic:blipFill>
                    <a:blip r:embed="rId23"/>
                    <a:stretch>
                      <a:fillRect/>
                    </a:stretch>
                  </pic:blipFill>
                  <pic:spPr bwMode="auto">
                    <a:xfrm>
                      <a:off x="0" y="0"/>
                      <a:ext cx="4176064" cy="419130"/>
                    </a:xfrm>
                    <a:prstGeom prst="rect">
                      <a:avLst/>
                    </a:prstGeom>
                    <a:noFill/>
                    <a:ln w="9525">
                      <a:noFill/>
                      <a:headEnd/>
                      <a:tailEnd/>
                    </a:ln>
                  </pic:spPr>
                </pic:pic>
              </a:graphicData>
            </a:graphic>
          </wp:inline>
        </w:drawing>
      </w:r>
    </w:p>
    <w:p w14:paraId="262D7CDC" w14:textId="77777777" w:rsidR="001314FA" w:rsidRPr="00C9711D" w:rsidRDefault="001314FA" w:rsidP="001314FA">
      <w:pPr>
        <w:pStyle w:val="IWHFlietext"/>
        <w:rPr>
          <w:lang w:val="en-US"/>
        </w:rPr>
      </w:pPr>
      <w:r w:rsidRPr="00C9711D">
        <w:rPr>
          <w:lang w:val="en-US"/>
        </w:rPr>
        <w:t xml:space="preserve">Sector-specific emission intensity </w:t>
      </w:r>
      <w:r w:rsidRPr="00C9711D">
        <w:rPr>
          <w:rStyle w:val="VerbatimChar"/>
          <w:rFonts w:eastAsiaTheme="minorHAnsi"/>
          <w:lang w:val="en-US"/>
        </w:rPr>
        <w:t>κ^E_(s,t)</w:t>
      </w:r>
      <w:r w:rsidRPr="00C9711D">
        <w:rPr>
          <w:lang w:val="en-US"/>
        </w:rPr>
        <w:t xml:space="preserve"> is proportional to output and can vary over time (the channel through which fuel-switching and emission-intensity scenarios operate). Final output is a CES (or Cobb-Douglas, when the elasticity equals 1) aggregate of intermediate inputs and value added; value added is a CES/Cobb-Douglas aggregate of effective labor and capital; intermediate inputs are themselves a CES aggregate across sectors of origin. </w:t>
      </w:r>
      <w:ins w:id="99" w:author="Heinisch, Katja" w:date="2026-07-27T09:22:00Z" w16du:dateUtc="2026-07-27T07:22:00Z">
        <w:r w:rsidR="000734E5" w:rsidRPr="00C9711D">
          <w:rPr>
            <w:lang w:val="en-US"/>
          </w:rPr>
          <w:t xml:space="preserve">This production structure enables the model to capture both direct effects of climate and energy policies on individual sectors and indirect effects transmitted through intermediate input linkages across the economy. </w:t>
        </w:r>
        <w:r w:rsidR="00A5230E" w:rsidRPr="00C9711D">
          <w:rPr>
            <w:lang w:val="en-US"/>
          </w:rPr>
          <w:t xml:space="preserve">See </w:t>
        </w:r>
        <w:r w:rsidR="00A5230E" w:rsidRPr="00C9711D">
          <w:rPr>
            <w:lang w:val="en-US"/>
          </w:rPr>
          <w:fldChar w:fldCharType="begin"/>
        </w:r>
        <w:r w:rsidR="003C44CA" w:rsidRPr="00C9711D">
          <w:rPr>
            <w:lang w:val="en-US"/>
          </w:rPr>
          <w:instrText xml:space="preserve">HYPERLINK "C:\\Users\\nbKDL\\model.md" \h </w:instrText>
        </w:r>
        <w:r w:rsidR="00A5230E" w:rsidRPr="00C9711D">
          <w:rPr>
            <w:lang w:val="en-US"/>
          </w:rPr>
        </w:r>
        <w:r w:rsidR="00A5230E" w:rsidRPr="00C9711D">
          <w:rPr>
            <w:lang w:val="en-US"/>
          </w:rPr>
          <w:fldChar w:fldCharType="separate"/>
        </w:r>
        <w:r w:rsidR="00A5230E" w:rsidRPr="00C9711D">
          <w:rPr>
            <w:rStyle w:val="Hyperlink"/>
            <w:lang w:val="en-US"/>
          </w:rPr>
          <w:t>model.md</w:t>
        </w:r>
        <w:r w:rsidR="00A5230E" w:rsidRPr="00C9711D">
          <w:rPr>
            <w:lang w:val="en-US"/>
          </w:rPr>
          <w:fldChar w:fldCharType="end"/>
        </w:r>
      </w:ins>
      <w:del w:id="100" w:author="Heinisch, Katja" w:date="2026-07-27T09:22:00Z" w16du:dateUtc="2026-07-27T07:22:00Z">
        <w:r w:rsidRPr="00C9711D">
          <w:rPr>
            <w:lang w:val="en-US"/>
          </w:rPr>
          <w:delText xml:space="preserve">See </w:delText>
        </w:r>
        <w:r w:rsidRPr="00C9711D">
          <w:rPr>
            <w:lang w:val="en-US"/>
          </w:rPr>
          <w:fldChar w:fldCharType="begin"/>
        </w:r>
        <w:r w:rsidRPr="00C9711D">
          <w:rPr>
            <w:lang w:val="en-US"/>
          </w:rPr>
          <w:delInstrText>HYPERLINK "../model.md" \h</w:delInstrText>
        </w:r>
        <w:r w:rsidRPr="00C9711D">
          <w:rPr>
            <w:lang w:val="en-US"/>
          </w:rPr>
        </w:r>
        <w:r w:rsidRPr="00C9711D">
          <w:rPr>
            <w:lang w:val="en-US"/>
          </w:rPr>
          <w:fldChar w:fldCharType="separate"/>
        </w:r>
        <w:r w:rsidRPr="00C9711D">
          <w:rPr>
            <w:rStyle w:val="Hyperlink"/>
            <w:lang w:val="en-US"/>
          </w:rPr>
          <w:delText>model.md</w:delText>
        </w:r>
        <w:r w:rsidRPr="00C9711D">
          <w:rPr>
            <w:lang w:val="en-US"/>
          </w:rPr>
          <w:fldChar w:fldCharType="end"/>
        </w:r>
      </w:del>
      <w:r w:rsidRPr="00C9711D">
        <w:rPr>
          <w:lang w:val="en-US"/>
        </w:rPr>
        <w:t xml:space="preserve"> for the full equation set (production, value-added, and intermediate-aggregation identities, wholesaler/retailer/exporter blocks).</w:t>
      </w:r>
    </w:p>
    <w:p w14:paraId="45C63CB2" w14:textId="7F1199DD" w:rsidR="00C70881" w:rsidRPr="00C9711D" w:rsidRDefault="00A5230E" w:rsidP="002A4BF9">
      <w:pPr>
        <w:pStyle w:val="berschrift2"/>
        <w:rPr>
          <w:ins w:id="101" w:author="Heinisch, Katja" w:date="2026-07-27T09:22:00Z" w16du:dateUtc="2026-07-27T07:22:00Z"/>
          <w:lang w:val="en-US"/>
        </w:rPr>
      </w:pPr>
      <w:bookmarkStart w:id="102" w:name="_Toc235867053"/>
      <w:bookmarkStart w:id="103" w:name="wholesaler-retailer-exporter"/>
      <w:bookmarkEnd w:id="89"/>
      <w:ins w:id="104" w:author="Heinisch, Katja" w:date="2026-07-27T09:22:00Z" w16du:dateUtc="2026-07-27T07:22:00Z">
        <w:r w:rsidRPr="00C9711D">
          <w:rPr>
            <w:lang w:val="en-US"/>
          </w:rPr>
          <w:t xml:space="preserve"> </w:t>
        </w:r>
        <w:bookmarkStart w:id="105" w:name="_Toc236050649"/>
        <w:r w:rsidR="000734E5" w:rsidRPr="00C9711D">
          <w:rPr>
            <w:lang w:val="en-US"/>
          </w:rPr>
          <w:t>Wholesale, Retail, and Export Sectors</w:t>
        </w:r>
        <w:bookmarkEnd w:id="105"/>
      </w:ins>
    </w:p>
    <w:p w14:paraId="04FF6478" w14:textId="77777777" w:rsidR="000734E5" w:rsidRPr="00C9711D" w:rsidRDefault="000734E5" w:rsidP="0087235D">
      <w:pPr>
        <w:pStyle w:val="IWHFlietext"/>
        <w:rPr>
          <w:ins w:id="106" w:author="Heinisch, Katja" w:date="2026-07-27T09:22:00Z" w16du:dateUtc="2026-07-27T07:22:00Z"/>
          <w:lang w:val="en-US"/>
        </w:rPr>
      </w:pPr>
      <w:ins w:id="107" w:author="Heinisch, Katja" w:date="2026-07-27T09:22:00Z" w16du:dateUtc="2026-07-27T07:22:00Z">
        <w:r w:rsidRPr="00C9711D">
          <w:rPr>
            <w:lang w:val="en-US"/>
          </w:rPr>
          <w:t>Domestic production and international trade are linked through wholesale, retail, and export sectors that combine domestic and imported goods using constant-elasticity-of-substitution (CES) aggregation functions. These sectors determine the composition of intermediate and final demand while allowing domestic and imported products to substitute imperfectly in response to relative price changes.</w:t>
        </w:r>
      </w:ins>
    </w:p>
    <w:bookmarkEnd w:id="102"/>
    <w:p w14:paraId="54C4D0D0" w14:textId="77777777" w:rsidR="001314FA" w:rsidRPr="00C9711D" w:rsidRDefault="001314FA" w:rsidP="001314FA">
      <w:pPr>
        <w:pStyle w:val="IWHFlietext"/>
        <w:rPr>
          <w:lang w:val="en-US"/>
        </w:rPr>
      </w:pPr>
      <w:r w:rsidRPr="00C9711D">
        <w:rPr>
          <w:lang w:val="en-US"/>
        </w:rPr>
        <w:t>A representative wholesaler in each subsector combines domestic and imported intermediate goods to supply both intermediate demand and final retail demand. A representative retailer combines domestic goods and imports for final use (consumption, investment, and government spending) via a CES nest. An exporter aggregates subsectoral exports into a single export good sold to the rest of the world. Elasticities of substitution between domestic and imported goods (</w:t>
      </w:r>
      <w:r w:rsidRPr="00C9711D">
        <w:rPr>
          <w:rStyle w:val="VerbatimChar"/>
          <w:rFonts w:eastAsiaTheme="minorHAnsi"/>
          <w:lang w:val="en-US"/>
        </w:rPr>
        <w:t>η^Q_s</w:t>
      </w:r>
      <w:r w:rsidRPr="00C9711D">
        <w:rPr>
          <w:lang w:val="en-US"/>
        </w:rPr>
        <w:t xml:space="preserve">, </w:t>
      </w:r>
      <w:r w:rsidRPr="00C9711D">
        <w:rPr>
          <w:rStyle w:val="VerbatimChar"/>
          <w:rFonts w:eastAsiaTheme="minorHAnsi"/>
          <w:lang w:val="en-US"/>
        </w:rPr>
        <w:t>η^F</w:t>
      </w:r>
      <w:r w:rsidRPr="00C9711D">
        <w:rPr>
          <w:lang w:val="en-US"/>
        </w:rPr>
        <w:t>) and origin-sector home bias (</w:t>
      </w:r>
      <w:r w:rsidRPr="00C9711D">
        <w:rPr>
          <w:rStyle w:val="VerbatimChar"/>
          <w:rFonts w:eastAsiaTheme="minorHAnsi"/>
          <w:lang w:val="en-US"/>
        </w:rPr>
        <w:t>ω^Q_s</w:t>
      </w:r>
      <w:r w:rsidRPr="00C9711D">
        <w:rPr>
          <w:lang w:val="en-US"/>
        </w:rPr>
        <w:t xml:space="preserve">, </w:t>
      </w:r>
      <w:r w:rsidRPr="00C9711D">
        <w:rPr>
          <w:rStyle w:val="VerbatimChar"/>
          <w:rFonts w:eastAsiaTheme="minorHAnsi"/>
          <w:lang w:val="en-US"/>
        </w:rPr>
        <w:t>ω^M_s</w:t>
      </w:r>
      <w:r w:rsidRPr="00C9711D">
        <w:rPr>
          <w:lang w:val="en-US"/>
        </w:rPr>
        <w:t>) are sector-specific calibrated parameters.</w:t>
      </w:r>
    </w:p>
    <w:p w14:paraId="1D8B91CF" w14:textId="357C615C" w:rsidR="001314FA" w:rsidRPr="00C9711D" w:rsidRDefault="001314FA" w:rsidP="002A4BF9">
      <w:pPr>
        <w:pStyle w:val="berschrift2"/>
        <w:rPr>
          <w:lang w:val="en-US"/>
        </w:rPr>
      </w:pPr>
      <w:bookmarkStart w:id="108" w:name="_Toc235867054"/>
      <w:bookmarkStart w:id="109" w:name="X9e34db115cdd0620a945c9bf25d0c0d9539720c"/>
      <w:bookmarkStart w:id="110" w:name="_Toc236050650"/>
      <w:bookmarkEnd w:id="103"/>
      <w:r w:rsidRPr="00C9711D">
        <w:rPr>
          <w:lang w:val="en-US"/>
        </w:rPr>
        <w:lastRenderedPageBreak/>
        <w:t>Government and the Emissions Trading System</w:t>
      </w:r>
      <w:bookmarkEnd w:id="108"/>
      <w:bookmarkEnd w:id="110"/>
    </w:p>
    <w:p w14:paraId="0E65684D" w14:textId="77777777" w:rsidR="001314FA" w:rsidRPr="00C9711D" w:rsidRDefault="00DC2391" w:rsidP="001314FA">
      <w:pPr>
        <w:pStyle w:val="IWHFlietext"/>
        <w:rPr>
          <w:lang w:val="en-US"/>
        </w:rPr>
      </w:pPr>
      <w:ins w:id="111" w:author="Heinisch, Katja" w:date="2026-07-27T09:22:00Z" w16du:dateUtc="2026-07-27T07:22:00Z">
        <w:r w:rsidRPr="00C9711D">
          <w:rPr>
            <w:lang w:val="en-US"/>
          </w:rPr>
          <w:t xml:space="preserve">The government fulfils two principal functions within the model. First, it collects taxes on consumption </w:t>
        </w:r>
        <w:r w:rsidRPr="00C9711D">
          <w:rPr>
            <w:rStyle w:val="VerbatimChar"/>
            <w:rFonts w:eastAsiaTheme="minorEastAsia"/>
            <w:lang w:val="en-US"/>
          </w:rPr>
          <w:t>τ^C_tC_t</w:t>
        </w:r>
        <w:r w:rsidRPr="00C9711D">
          <w:rPr>
            <w:lang w:val="en-US"/>
          </w:rPr>
          <w:t>, labor and capital income , provides public expenditure, and maintains the public budget according to a reduced-form fiscal framework, i.e.</w:t>
        </w:r>
      </w:ins>
      <w:del w:id="112" w:author="Heinisch, Katja" w:date="2026-07-27T09:22:00Z" w16du:dateUtc="2026-07-27T07:22:00Z">
        <w:r w:rsidR="001314FA" w:rsidRPr="00C9711D">
          <w:rPr>
            <w:lang w:val="en-US"/>
          </w:rPr>
          <w:delText>Fiscal policy follows standard reduced-form rules:</w:delText>
        </w:r>
      </w:del>
      <w:r w:rsidR="001314FA" w:rsidRPr="00C9711D">
        <w:rPr>
          <w:lang w:val="en-US"/>
        </w:rPr>
        <w:t xml:space="preserve"> tax rates on consumption, labor, and capital income are constant over time (no endogenous fiscal feedback rule), </w:t>
      </w:r>
      <w:ins w:id="113" w:author="Heinisch, Katja" w:date="2026-07-27T09:22:00Z" w16du:dateUtc="2026-07-27T07:22:00Z">
        <w:r w:rsidRPr="00C9711D">
          <w:rPr>
            <w:lang w:val="en-US"/>
          </w:rPr>
          <w:t xml:space="preserve">. Second, it operates an economy-wide emissions trading system (ETS), which establishes an endogenous carbon price consistent with an exogenously specified emissions cap. This representation enables the model to analyse how carbon pricing influences production decisions, investment, and the overall cost of achieving alternative emissions targets.  </w:t>
        </w:r>
      </w:ins>
      <w:del w:id="114" w:author="Heinisch, Katja" w:date="2026-07-27T09:22:00Z" w16du:dateUtc="2026-07-27T07:22:00Z">
        <w:r w:rsidR="001314FA" w:rsidRPr="00C9711D">
          <w:rPr>
            <w:lang w:val="en-US"/>
          </w:rPr>
          <w:delText xml:space="preserve">and government expenditure is pinned down by the budget constraint. Revenue sources are consumption tax </w:delText>
        </w:r>
        <w:r w:rsidR="001314FA" w:rsidRPr="00C9711D">
          <w:rPr>
            <w:rStyle w:val="VerbatimChar"/>
            <w:rFonts w:eastAsiaTheme="minorHAnsi"/>
            <w:lang w:val="en-US"/>
          </w:rPr>
          <w:delText>τ^C_tC_t</w:delText>
        </w:r>
        <w:r w:rsidR="001314FA" w:rsidRPr="00C9711D">
          <w:rPr>
            <w:lang w:val="en-US"/>
          </w:rPr>
          <w:delText>, labor and capital income taxes, and ETS auction revenue:</w:delText>
        </w:r>
      </w:del>
    </w:p>
    <w:p w14:paraId="635F0AFE" w14:textId="77777777" w:rsidR="001314FA" w:rsidRPr="00C9711D" w:rsidRDefault="001314FA" w:rsidP="001314FA">
      <w:pPr>
        <w:pStyle w:val="Textkrper"/>
        <w:rPr>
          <w:lang w:val="en-US"/>
        </w:rPr>
      </w:pPr>
      <w:r w:rsidRPr="00C9711D">
        <w:rPr>
          <w:noProof/>
          <w:lang w:val="en-US"/>
        </w:rPr>
        <w:drawing>
          <wp:inline distT="0" distB="0" distL="0" distR="0" wp14:anchorId="5B27B411" wp14:editId="1D33DD20">
            <wp:extent cx="2018995" cy="30475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C:\Users\schul\Documents\GitHub\DGE-METRIC\.tmp\technical_report_build\math\math-0003.png"/>
                    <pic:cNvPicPr>
                      <a:picLocks noChangeAspect="1" noChangeArrowheads="1"/>
                    </pic:cNvPicPr>
                  </pic:nvPicPr>
                  <pic:blipFill>
                    <a:blip r:embed="rId24"/>
                    <a:stretch>
                      <a:fillRect/>
                    </a:stretch>
                  </pic:blipFill>
                  <pic:spPr bwMode="auto">
                    <a:xfrm>
                      <a:off x="0" y="0"/>
                      <a:ext cx="2018995" cy="304753"/>
                    </a:xfrm>
                    <a:prstGeom prst="rect">
                      <a:avLst/>
                    </a:prstGeom>
                    <a:noFill/>
                    <a:ln w="9525">
                      <a:noFill/>
                      <a:headEnd/>
                      <a:tailEnd/>
                    </a:ln>
                  </pic:spPr>
                </pic:pic>
              </a:graphicData>
            </a:graphic>
          </wp:inline>
        </w:drawing>
      </w:r>
    </w:p>
    <w:p w14:paraId="503594E1" w14:textId="77777777" w:rsidR="001314FA" w:rsidRPr="00C9711D" w:rsidRDefault="001314FA" w:rsidP="001314FA">
      <w:pPr>
        <w:pStyle w:val="IWHFlietext"/>
        <w:rPr>
          <w:lang w:val="en-US"/>
        </w:rPr>
      </w:pPr>
      <w:r w:rsidRPr="00C9711D">
        <w:rPr>
          <w:lang w:val="en-US"/>
        </w:rPr>
        <w:t xml:space="preserve">Under the ETS, firms hold allowances for covered emissions; the carbon price </w:t>
      </w:r>
      <w:r w:rsidRPr="00C9711D">
        <w:rPr>
          <w:rStyle w:val="VerbatimChar"/>
          <w:rFonts w:eastAsiaTheme="minorHAnsi"/>
          <w:lang w:val="en-US"/>
        </w:rPr>
        <w:t>P^E_t</w:t>
      </w:r>
      <w:r w:rsidRPr="00C9711D">
        <w:rPr>
          <w:lang w:val="en-US"/>
        </w:rPr>
        <w:t xml:space="preserve"> clears the permit market against the cap. Government debt </w:t>
      </w:r>
      <w:r w:rsidRPr="00C9711D">
        <w:rPr>
          <w:rStyle w:val="VerbatimChar"/>
          <w:rFonts w:eastAsiaTheme="minorHAnsi"/>
          <w:lang w:val="en-US"/>
        </w:rPr>
        <w:t>B^G_t</w:t>
      </w:r>
      <w:r w:rsidRPr="00C9711D">
        <w:rPr>
          <w:lang w:val="en-US"/>
        </w:rPr>
        <w:t xml:space="preserve"> is serviced at the world interest rate, and the government faces the same interest-rate schedule as households. Because tax rates are fixed, any change in government revenue from climate policy flows entirely through the tax base and the ETS revenue term, not through an endogenous rate response.</w:t>
      </w:r>
    </w:p>
    <w:p w14:paraId="329D5714" w14:textId="557DD0D8" w:rsidR="001314FA" w:rsidRDefault="001314FA" w:rsidP="002C3A6E">
      <w:pPr>
        <w:pStyle w:val="berschrift2"/>
        <w:rPr>
          <w:lang w:val="en-US"/>
        </w:rPr>
      </w:pPr>
      <w:bookmarkStart w:id="115" w:name="_Toc235867055"/>
      <w:bookmarkStart w:id="116" w:name="Xfda2e680fab3706f7e3405a963b000e560df9d9"/>
      <w:bookmarkEnd w:id="109"/>
      <w:del w:id="117" w:author="Heinisch, Katja" w:date="2026-07-27T11:01:00Z" w16du:dateUtc="2026-07-27T09:01:00Z">
        <w:r w:rsidRPr="00C9711D" w:rsidDel="002A4BF9">
          <w:rPr>
            <w:lang w:val="en-US"/>
          </w:rPr>
          <w:delText xml:space="preserve">2.6 </w:delText>
        </w:r>
      </w:del>
      <w:bookmarkStart w:id="118" w:name="_Toc236050651"/>
      <w:r w:rsidRPr="00C9711D">
        <w:rPr>
          <w:lang w:val="en-US"/>
        </w:rPr>
        <w:t>Key extensions beyond a textbook DGE model</w:t>
      </w:r>
      <w:bookmarkEnd w:id="115"/>
      <w:bookmarkEnd w:id="118"/>
    </w:p>
    <w:p w14:paraId="4F34C8D9" w14:textId="4AC77F70" w:rsidR="00483BED" w:rsidRPr="00483BED" w:rsidRDefault="00483BED" w:rsidP="00483BED">
      <w:pPr>
        <w:pStyle w:val="IWHFlietext"/>
        <w:rPr>
          <w:lang w:val="en-US"/>
        </w:rPr>
        <w:pPrChange w:id="119" w:author="Heinisch, Katja" w:date="2026-07-27T13:20:00Z" w16du:dateUtc="2026-07-27T11:20:00Z">
          <w:pPr/>
        </w:pPrChange>
      </w:pPr>
      <w:ins w:id="120" w:author="Heinisch, Katja" w:date="2026-07-27T13:20:00Z">
        <w:r w:rsidRPr="00483BED">
          <w:t xml:space="preserve">While DGE-METRIC builds upon the standard dynamic general equilibrium framework, it incorporates several extensions that enable the analysis of long-term energy transition policies. These extensions adapt the core model to the specific characteristics of Vietnam's energy sector and climate policy objectives while preserving the internal </w:t>
        </w:r>
        <w:r w:rsidRPr="00483BED">
          <w:rPr>
            <w:lang w:val="en-US"/>
            <w:rPrChange w:id="121" w:author="Heinisch, Katja" w:date="2026-07-27T13:20:00Z" w16du:dateUtc="2026-07-27T11:20:00Z">
              <w:rPr/>
            </w:rPrChange>
          </w:rPr>
          <w:t>consistency</w:t>
        </w:r>
        <w:r w:rsidRPr="00483BED">
          <w:t xml:space="preserve"> and behavioural foundations of a dynamic general equilibrium model. </w:t>
        </w:r>
      </w:ins>
      <w:ins w:id="122" w:author="Heinisch, Katja" w:date="2026-07-27T13:21:00Z" w16du:dateUtc="2026-07-27T11:21:00Z">
        <w:r>
          <w:fldChar w:fldCharType="begin"/>
        </w:r>
        <w:r>
          <w:instrText xml:space="preserve"> REF _Ref236050899 \h </w:instrText>
        </w:r>
        <w:r>
          <w:fldChar w:fldCharType="separate"/>
        </w:r>
        <w:r w:rsidRPr="00C9711D">
          <w:rPr>
            <w:lang w:val="en-US"/>
          </w:rPr>
          <w:t xml:space="preserve">Table </w:t>
        </w:r>
        <w:r>
          <w:rPr>
            <w:noProof/>
            <w:lang w:val="en-US"/>
          </w:rPr>
          <w:t>2</w:t>
        </w:r>
        <w:r>
          <w:fldChar w:fldCharType="end"/>
        </w:r>
        <w:r>
          <w:t xml:space="preserve"> </w:t>
        </w:r>
      </w:ins>
      <w:ins w:id="123" w:author="Heinisch, Katja" w:date="2026-07-27T13:20:00Z">
        <w:r w:rsidRPr="00483BED">
          <w:t>summarises the principal extensions incorporated into DGE-METRIC.</w:t>
        </w:r>
      </w:ins>
    </w:p>
    <w:p w14:paraId="57211148" w14:textId="2977E350" w:rsidR="002A4BF9" w:rsidRPr="00C9711D" w:rsidRDefault="002A4BF9" w:rsidP="002A4BF9">
      <w:pPr>
        <w:pStyle w:val="Beschriftung"/>
        <w:keepNext/>
        <w:rPr>
          <w:lang w:val="en-US"/>
        </w:rPr>
      </w:pPr>
      <w:bookmarkStart w:id="124" w:name="_Toc236050750"/>
      <w:bookmarkStart w:id="125" w:name="_Ref236050899"/>
      <w:r w:rsidRPr="00C9711D">
        <w:rPr>
          <w:lang w:val="en-US"/>
        </w:rPr>
        <w:lastRenderedPageBreak/>
        <w:t xml:space="preserve">Table </w:t>
      </w:r>
      <w:r w:rsidRPr="00C9711D">
        <w:rPr>
          <w:lang w:val="en-US"/>
        </w:rPr>
        <w:fldChar w:fldCharType="begin"/>
      </w:r>
      <w:r w:rsidRPr="00C9711D">
        <w:rPr>
          <w:lang w:val="en-US"/>
        </w:rPr>
        <w:instrText xml:space="preserve"> SEQ Table \* ARABIC </w:instrText>
      </w:r>
      <w:r w:rsidRPr="00C9711D">
        <w:rPr>
          <w:lang w:val="en-US"/>
        </w:rPr>
        <w:fldChar w:fldCharType="separate"/>
      </w:r>
      <w:r w:rsidR="00446DF3">
        <w:rPr>
          <w:noProof/>
          <w:lang w:val="en-US"/>
        </w:rPr>
        <w:t>2</w:t>
      </w:r>
      <w:r w:rsidRPr="00C9711D">
        <w:rPr>
          <w:lang w:val="en-US"/>
        </w:rPr>
        <w:fldChar w:fldCharType="end"/>
      </w:r>
      <w:bookmarkEnd w:id="125"/>
      <w:r w:rsidRPr="00C9711D">
        <w:rPr>
          <w:lang w:val="en-US"/>
        </w:rPr>
        <w:t xml:space="preserve">: </w:t>
      </w:r>
      <w:ins w:id="126" w:author="Heinisch, Katja" w:date="2026-07-27T11:00:00Z" w16du:dateUtc="2026-07-27T09:00:00Z">
        <w:r w:rsidRPr="00C9711D">
          <w:rPr>
            <w:lang w:val="en-US"/>
          </w:rPr>
          <w:t xml:space="preserve">Model </w:t>
        </w:r>
      </w:ins>
      <w:bookmarkEnd w:id="124"/>
      <w:r w:rsidR="00483BED" w:rsidRPr="00C9711D">
        <w:rPr>
          <w:lang w:val="en-US"/>
        </w:rPr>
        <w:t>Extensions</w:t>
      </w:r>
    </w:p>
    <w:p w14:paraId="59225DDA" w14:textId="77777777" w:rsidR="001314FA" w:rsidRPr="00C9711D" w:rsidRDefault="001314FA" w:rsidP="001314FA">
      <w:pPr>
        <w:pStyle w:val="FirstParagraph"/>
        <w:rPr>
          <w:lang w:val="en-US"/>
        </w:rPr>
      </w:pPr>
      <w:commentRangeStart w:id="127"/>
      <w:r w:rsidRPr="00C9711D">
        <w:rPr>
          <w:noProof/>
          <w:lang w:val="en-US"/>
        </w:rPr>
        <w:drawing>
          <wp:inline distT="0" distB="0" distL="0" distR="0" wp14:anchorId="69B6CC25" wp14:editId="24C29823">
            <wp:extent cx="5334000" cy="4685449"/>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C:\Users\schul\Documents\GitHub\DGE-METRIC\.tmp\technical_report_build\tables\table-02.png"/>
                    <pic:cNvPicPr>
                      <a:picLocks noChangeAspect="1" noChangeArrowheads="1"/>
                    </pic:cNvPicPr>
                  </pic:nvPicPr>
                  <pic:blipFill>
                    <a:blip r:embed="rId25"/>
                    <a:stretch>
                      <a:fillRect/>
                    </a:stretch>
                  </pic:blipFill>
                  <pic:spPr bwMode="auto">
                    <a:xfrm>
                      <a:off x="0" y="0"/>
                      <a:ext cx="5334000" cy="4685449"/>
                    </a:xfrm>
                    <a:prstGeom prst="rect">
                      <a:avLst/>
                    </a:prstGeom>
                    <a:noFill/>
                    <a:ln w="9525">
                      <a:noFill/>
                      <a:headEnd/>
                      <a:tailEnd/>
                    </a:ln>
                  </pic:spPr>
                </pic:pic>
              </a:graphicData>
            </a:graphic>
          </wp:inline>
        </w:drawing>
      </w:r>
      <w:commentRangeEnd w:id="127"/>
      <w:r w:rsidR="002A4BF9" w:rsidRPr="00C9711D">
        <w:rPr>
          <w:rStyle w:val="Kommentarzeichen"/>
          <w:sz w:val="22"/>
          <w:szCs w:val="22"/>
          <w:lang w:val="en-US"/>
        </w:rPr>
        <w:commentReference w:id="127"/>
      </w:r>
    </w:p>
    <w:p w14:paraId="218308F7" w14:textId="613BF7C3" w:rsidR="00DC2391" w:rsidRPr="00C9711D" w:rsidRDefault="00DC2391" w:rsidP="0087235D">
      <w:pPr>
        <w:pStyle w:val="IWHKastenQuellen"/>
        <w:pBdr>
          <w:top w:val="none" w:sz="0" w:space="0" w:color="auto"/>
          <w:left w:val="none" w:sz="0" w:space="0" w:color="auto"/>
          <w:bottom w:val="none" w:sz="0" w:space="0" w:color="auto"/>
          <w:right w:val="none" w:sz="0" w:space="0" w:color="auto"/>
        </w:pBdr>
        <w:shd w:val="clear" w:color="auto" w:fill="auto"/>
        <w:rPr>
          <w:ins w:id="128" w:author="Heinisch, Katja" w:date="2026-07-27T09:22:00Z" w16du:dateUtc="2026-07-27T07:22:00Z"/>
          <w:color w:val="auto"/>
          <w:lang w:val="en-US"/>
        </w:rPr>
      </w:pPr>
      <w:ins w:id="129" w:author="Heinisch, Katja" w:date="2026-07-27T09:22:00Z" w16du:dateUtc="2026-07-27T07:22:00Z">
        <w:r w:rsidRPr="00C9711D">
          <w:rPr>
            <w:color w:val="auto"/>
            <w:lang w:val="en-US"/>
          </w:rPr>
          <w:t xml:space="preserve">Source: </w:t>
        </w:r>
      </w:ins>
      <w:r w:rsidR="00446DF3">
        <w:rPr>
          <w:color w:val="auto"/>
          <w:lang w:val="en-US"/>
        </w:rPr>
        <w:t>o</w:t>
      </w:r>
      <w:ins w:id="130" w:author="Heinisch, Katja" w:date="2026-07-27T09:22:00Z" w16du:dateUtc="2026-07-27T07:22:00Z">
        <w:r w:rsidRPr="00C9711D">
          <w:rPr>
            <w:color w:val="auto"/>
            <w:lang w:val="en-US"/>
          </w:rPr>
          <w:t xml:space="preserve">wn </w:t>
        </w:r>
      </w:ins>
      <w:r w:rsidR="00446DF3">
        <w:rPr>
          <w:color w:val="auto"/>
          <w:lang w:val="en-US"/>
        </w:rPr>
        <w:t>d</w:t>
      </w:r>
      <w:ins w:id="131" w:author="Heinisch, Katja" w:date="2026-07-27T09:22:00Z" w16du:dateUtc="2026-07-27T07:22:00Z">
        <w:r w:rsidRPr="00C9711D">
          <w:rPr>
            <w:color w:val="auto"/>
            <w:lang w:val="en-US"/>
          </w:rPr>
          <w:t>epiction.</w:t>
        </w:r>
      </w:ins>
    </w:p>
    <w:p w14:paraId="167747E5" w14:textId="2A07F747" w:rsidR="001314FA" w:rsidRPr="00C9711D" w:rsidRDefault="001314FA" w:rsidP="002A4BF9">
      <w:pPr>
        <w:pStyle w:val="berschrift2"/>
        <w:rPr>
          <w:lang w:val="en-US"/>
        </w:rPr>
      </w:pPr>
      <w:bookmarkStart w:id="132" w:name="_Toc235867056"/>
      <w:bookmarkStart w:id="133" w:name="external-sector"/>
      <w:bookmarkStart w:id="134" w:name="_Toc236050652"/>
      <w:bookmarkEnd w:id="116"/>
      <w:r w:rsidRPr="00C9711D">
        <w:rPr>
          <w:lang w:val="en-US"/>
        </w:rPr>
        <w:t>External sector</w:t>
      </w:r>
      <w:bookmarkEnd w:id="132"/>
      <w:bookmarkEnd w:id="134"/>
    </w:p>
    <w:p w14:paraId="64DED1D1" w14:textId="6B93A76F" w:rsidR="00DC2391" w:rsidRPr="00C9711D" w:rsidRDefault="00DC2391" w:rsidP="003D7B76">
      <w:pPr>
        <w:pStyle w:val="IWHFlietext"/>
        <w:rPr>
          <w:ins w:id="135" w:author="Heinisch, Katja" w:date="2026-07-27T09:22:00Z" w16du:dateUtc="2026-07-27T07:22:00Z"/>
          <w:lang w:val="en-US"/>
        </w:rPr>
      </w:pPr>
      <w:ins w:id="136" w:author="Heinisch, Katja" w:date="2026-07-27T09:22:00Z" w16du:dateUtc="2026-07-27T07:22:00Z">
        <w:r w:rsidRPr="00C9711D">
          <w:rPr>
            <w:lang w:val="en-US"/>
          </w:rPr>
          <w:t>Vietnam is represented as a small open economy that trades goods and financial assets with the rest of the world. The external sector determines exports, imports, foreign borrowing, and the evolution of net foreign assets, thereby linking domestic investment and consumption decisions with international capital markets. To ensure a stable long-run equilibrium, the model employs a debt-elastic external finance premium and a standard stationarity closure for foreign asset accumulation.</w:t>
        </w:r>
      </w:ins>
    </w:p>
    <w:p w14:paraId="790DCB8B" w14:textId="2113E070" w:rsidR="001314FA" w:rsidRPr="00C9711D" w:rsidRDefault="001314FA" w:rsidP="001314FA">
      <w:pPr>
        <w:pStyle w:val="IWHFlietext"/>
        <w:rPr>
          <w:lang w:val="en-US"/>
        </w:rPr>
      </w:pPr>
      <w:r w:rsidRPr="00C9711D">
        <w:rPr>
          <w:lang w:val="en-US"/>
        </w:rPr>
        <w:t xml:space="preserve">Net foreign assets follow a law of motion linked to the trade balance; the external finance premium is debt-elastic, </w:t>
      </w:r>
      <w:r w:rsidRPr="00C9711D">
        <w:rPr>
          <w:rStyle w:val="VerbatimChar"/>
          <w:rFonts w:eastAsiaTheme="minorHAnsi"/>
          <w:lang w:val="en-US"/>
        </w:rPr>
        <w:t xml:space="preserve">exp(-φ_B </w:t>
      </w:r>
      <w:r w:rsidRPr="00446DF3">
        <w:rPr>
          <w:rStyle w:val="VerbatimChar"/>
          <w:rFonts w:eastAsiaTheme="minorHAnsi"/>
          <w:highlight w:val="yellow"/>
          <w:lang w:val="en-US"/>
        </w:rPr>
        <w:t>·</w:t>
      </w:r>
      <w:r w:rsidRPr="00C9711D">
        <w:rPr>
          <w:rStyle w:val="VerbatimChar"/>
          <w:rFonts w:eastAsiaTheme="minorHAnsi"/>
          <w:lang w:val="en-US"/>
        </w:rPr>
        <w:t xml:space="preserve"> external_position_gap/Y)</w:t>
      </w:r>
      <w:r w:rsidRPr="00C9711D">
        <w:rPr>
          <w:lang w:val="en-US"/>
        </w:rPr>
        <w:t>, with an additional quadratic adjustment cost (</w:t>
      </w:r>
      <w:r w:rsidRPr="00C9711D">
        <w:rPr>
          <w:rStyle w:val="VerbatimChar"/>
          <w:rFonts w:eastAsiaTheme="minorHAnsi"/>
          <w:lang w:val="en-US"/>
        </w:rPr>
        <w:t>φ_(adjB)</w:t>
      </w:r>
      <w:r w:rsidRPr="00C9711D">
        <w:rPr>
          <w:lang w:val="en-US"/>
        </w:rPr>
        <w:t xml:space="preserve">) — a standard closure device for stationarity in small open-economy models. The exchange-rate variable </w:t>
      </w:r>
      <w:r w:rsidRPr="00C9711D">
        <w:rPr>
          <w:rStyle w:val="VerbatimChar"/>
          <w:rFonts w:eastAsiaTheme="minorHAnsi"/>
          <w:lang w:val="en-US"/>
        </w:rPr>
        <w:t>s_(reg)</w:t>
      </w:r>
      <w:r w:rsidRPr="00C9711D">
        <w:rPr>
          <w:lang w:val="en-US"/>
        </w:rPr>
        <w:t xml:space="preserve"> is </w:t>
      </w:r>
      <w:r w:rsidRPr="00C9711D">
        <w:rPr>
          <w:b/>
          <w:bCs/>
          <w:lang w:val="en-US"/>
        </w:rPr>
        <w:t>not a full UIP-style nominal exchange-rate block</w:t>
      </w:r>
      <w:r w:rsidRPr="00C9711D">
        <w:rPr>
          <w:lang w:val="en-US"/>
        </w:rPr>
        <w:t xml:space="preserve">: it follows an AR(1) process when </w:t>
      </w:r>
      <w:r w:rsidRPr="00C9711D">
        <w:rPr>
          <w:rStyle w:val="VerbatimChar"/>
          <w:rFonts w:eastAsiaTheme="minorHAnsi"/>
          <w:lang w:val="en-US"/>
        </w:rPr>
        <w:t>exo_lNXTarget = 0</w:t>
      </w:r>
      <w:r w:rsidRPr="00C9711D">
        <w:rPr>
          <w:lang w:val="en-US"/>
        </w:rPr>
        <w:t xml:space="preserve">, or becomes the balancing variable that enforces a target net-exports/GDP ratio when </w:t>
      </w:r>
      <w:r w:rsidRPr="00C9711D">
        <w:rPr>
          <w:rStyle w:val="VerbatimChar"/>
          <w:rFonts w:eastAsiaTheme="minorHAnsi"/>
          <w:lang w:val="en-US"/>
        </w:rPr>
        <w:t>exo_lNXTarget = 1</w:t>
      </w:r>
      <w:r w:rsidRPr="00C9711D">
        <w:rPr>
          <w:lang w:val="en-US"/>
        </w:rPr>
        <w:t xml:space="preserve"> (the baseline mode). Treat </w:t>
      </w:r>
      <w:r w:rsidRPr="00C9711D">
        <w:rPr>
          <w:rStyle w:val="VerbatimChar"/>
          <w:rFonts w:eastAsiaTheme="minorHAnsi"/>
          <w:lang w:val="en-US"/>
        </w:rPr>
        <w:t>s_(reg)</w:t>
      </w:r>
      <w:r w:rsidRPr="00C9711D">
        <w:rPr>
          <w:lang w:val="en-US"/>
        </w:rPr>
        <w:t xml:space="preserve"> as an external-balance closure/valuation factor, not a nominal exchange rate in the conventional sense (see </w:t>
      </w:r>
      <w:commentRangeStart w:id="137"/>
      <w:r w:rsidRPr="00C9711D">
        <w:rPr>
          <w:lang w:val="en-US"/>
        </w:rPr>
        <w:fldChar w:fldCharType="begin"/>
      </w:r>
      <w:r w:rsidRPr="00C9711D">
        <w:rPr>
          <w:lang w:val="en-US"/>
        </w:rPr>
        <w:instrText xml:space="preserve">HYPERLINK </w:instrText>
      </w:r>
      <w:r w:rsidR="003C44CA" w:rsidRPr="00C9711D">
        <w:rPr>
          <w:lang w:val="en-US"/>
        </w:rPr>
        <w:instrText>"C:\\Users\\nbKDL\\</w:instrText>
      </w:r>
      <w:r w:rsidRPr="00C9711D">
        <w:rPr>
          <w:lang w:val="en-US"/>
        </w:rPr>
        <w:instrText>dev</w:instrText>
      </w:r>
      <w:r w:rsidR="003C44CA" w:rsidRPr="00C9711D">
        <w:rPr>
          <w:lang w:val="en-US"/>
        </w:rPr>
        <w:instrText>\\</w:instrText>
      </w:r>
      <w:r w:rsidRPr="00C9711D">
        <w:rPr>
          <w:lang w:val="en-US"/>
        </w:rPr>
        <w:instrText>model_consistency_and_calibration_findings_2026-07-14.md" \h</w:instrText>
      </w:r>
      <w:r w:rsidR="003C44CA" w:rsidRPr="00C9711D">
        <w:rPr>
          <w:lang w:val="en-US"/>
        </w:rPr>
        <w:instrText xml:space="preserve"> </w:instrText>
      </w:r>
      <w:r w:rsidRPr="00C9711D">
        <w:rPr>
          <w:lang w:val="en-US"/>
        </w:rPr>
      </w:r>
      <w:r w:rsidRPr="00C9711D">
        <w:rPr>
          <w:lang w:val="en-US"/>
        </w:rPr>
        <w:fldChar w:fldCharType="separate"/>
      </w:r>
      <w:r w:rsidRPr="00C9711D">
        <w:rPr>
          <w:rStyle w:val="Hyperlink"/>
          <w:lang w:val="en-US"/>
        </w:rPr>
        <w:t>dev/model_consistency_and_calibration_findings_2026-07-14.md</w:t>
      </w:r>
      <w:r w:rsidRPr="00C9711D">
        <w:rPr>
          <w:lang w:val="en-US"/>
        </w:rPr>
        <w:fldChar w:fldCharType="end"/>
      </w:r>
      <w:commentRangeEnd w:id="137"/>
      <w:r w:rsidR="003D7B76" w:rsidRPr="00C9711D">
        <w:rPr>
          <w:rStyle w:val="Kommentarzeichen"/>
          <w:sz w:val="22"/>
          <w:szCs w:val="20"/>
          <w:lang w:val="en-US"/>
        </w:rPr>
        <w:commentReference w:id="137"/>
      </w:r>
      <w:r w:rsidRPr="00C9711D">
        <w:rPr>
          <w:lang w:val="en-US"/>
        </w:rPr>
        <w:t>).</w:t>
      </w:r>
    </w:p>
    <w:p w14:paraId="2A72193A" w14:textId="52ED2E00" w:rsidR="001314FA" w:rsidRPr="00C9711D" w:rsidRDefault="001314FA" w:rsidP="00752B43">
      <w:pPr>
        <w:pStyle w:val="berschrift1"/>
        <w:rPr>
          <w:lang w:val="en-US"/>
        </w:rPr>
      </w:pPr>
      <w:bookmarkStart w:id="138" w:name="_Toc235867057"/>
      <w:bookmarkStart w:id="139" w:name="data-and-calibration"/>
      <w:bookmarkStart w:id="140" w:name="_Toc236050653"/>
      <w:bookmarkEnd w:id="34"/>
      <w:bookmarkEnd w:id="133"/>
      <w:r w:rsidRPr="00C9711D">
        <w:rPr>
          <w:lang w:val="en-US"/>
        </w:rPr>
        <w:lastRenderedPageBreak/>
        <w:t>Data and Calibration</w:t>
      </w:r>
      <w:bookmarkEnd w:id="138"/>
      <w:bookmarkEnd w:id="140"/>
    </w:p>
    <w:p w14:paraId="690E648E" w14:textId="13753399" w:rsidR="00FE754E" w:rsidRPr="00C9711D" w:rsidRDefault="00FE754E" w:rsidP="003D7B76">
      <w:pPr>
        <w:pStyle w:val="IWHFlietext"/>
        <w:rPr>
          <w:ins w:id="141" w:author="Heinisch, Katja" w:date="2026-07-27T09:22:00Z" w16du:dateUtc="2026-07-27T07:22:00Z"/>
          <w:lang w:val="en-US"/>
        </w:rPr>
      </w:pPr>
      <w:ins w:id="142" w:author="Heinisch, Katja" w:date="2026-07-27T09:22:00Z" w16du:dateUtc="2026-07-27T07:22:00Z">
        <w:r w:rsidRPr="00C9711D">
          <w:rPr>
            <w:lang w:val="en-US"/>
          </w:rPr>
          <w:t xml:space="preserve">The credibility of a computable general equilibrium model depends critically on the consistency between its theoretical structure and the empirical data used for calibration. DGE-METRIC combines national accounts, energy statistics, emissions inventories, international datasets and project-specific assumptions to construct a representation of Vietnam's economy that serves as the reference point for all policy simulations. Calibration therefore serves two complementary purposes: it ensures consistency with observed economic data and provides the benchmark from which all scenario analyses are conducted. </w:t>
        </w:r>
      </w:ins>
    </w:p>
    <w:p w14:paraId="68348083" w14:textId="69B9FDA4" w:rsidR="00FE754E" w:rsidRPr="00C9711D" w:rsidRDefault="00FE754E" w:rsidP="003D7B76">
      <w:pPr>
        <w:pStyle w:val="IWHFlietext"/>
        <w:rPr>
          <w:ins w:id="143" w:author="Heinisch, Katja" w:date="2026-07-27T09:22:00Z" w16du:dateUtc="2026-07-27T07:22:00Z"/>
          <w:lang w:val="en-US"/>
        </w:rPr>
      </w:pPr>
      <w:ins w:id="144" w:author="Heinisch, Katja" w:date="2026-07-27T09:22:00Z" w16du:dateUtc="2026-07-27T07:22:00Z">
        <w:r w:rsidRPr="00C9711D">
          <w:rPr>
            <w:lang w:val="en-US"/>
          </w:rPr>
          <w:t xml:space="preserve">The model is calibrated to Vietnam's </w:t>
        </w:r>
        <w:r w:rsidRPr="00C9711D">
          <w:rPr>
            <w:b/>
            <w:bCs/>
            <w:lang w:val="en-US"/>
          </w:rPr>
          <w:t>2019 input-output structure</w:t>
        </w:r>
        <w:r w:rsidRPr="00C9711D">
          <w:rPr>
            <w:lang w:val="en-US"/>
          </w:rPr>
          <w:t xml:space="preserve">, representing the latest comprehensive benchmark prior to the economic disruptions associated with the COVID-19 pandemic, and uses a </w:t>
        </w:r>
        <w:r w:rsidRPr="00C9711D">
          <w:rPr>
            <w:b/>
            <w:bCs/>
            <w:lang w:val="en-US"/>
          </w:rPr>
          <w:t>2026 baseline</w:t>
        </w:r>
        <w:r w:rsidRPr="00C9711D">
          <w:rPr>
            <w:lang w:val="en-US"/>
          </w:rPr>
          <w:t xml:space="preserve"> as the starting point for forward-looking simulations over the period 2026–2050.</w:t>
        </w:r>
      </w:ins>
    </w:p>
    <w:p w14:paraId="2E6FD5A9" w14:textId="4F6DF46A" w:rsidR="00446DF3" w:rsidRPr="00446DF3" w:rsidRDefault="001314FA" w:rsidP="000126E9">
      <w:pPr>
        <w:pStyle w:val="berschrift2"/>
        <w:rPr>
          <w:lang w:val="en-US"/>
        </w:rPr>
      </w:pPr>
      <w:bookmarkStart w:id="145" w:name="data-sources"/>
      <w:bookmarkStart w:id="146" w:name="_Toc235867058"/>
      <w:bookmarkStart w:id="147" w:name="_Toc236050654"/>
      <w:r w:rsidRPr="00446DF3">
        <w:rPr>
          <w:lang w:val="en-US"/>
        </w:rPr>
        <w:t>Data sources</w:t>
      </w:r>
      <w:bookmarkEnd w:id="146"/>
      <w:bookmarkEnd w:id="147"/>
    </w:p>
    <w:p w14:paraId="348AC4D4" w14:textId="455FF5EE" w:rsidR="00C70881" w:rsidRDefault="00FE754E" w:rsidP="003D7B76">
      <w:pPr>
        <w:pStyle w:val="IWHFlietext"/>
        <w:rPr>
          <w:lang w:val="en-US"/>
        </w:rPr>
      </w:pPr>
      <w:ins w:id="148" w:author="Heinisch, Katja" w:date="2026-07-27T09:22:00Z" w16du:dateUtc="2026-07-27T07:22:00Z">
        <w:r w:rsidRPr="00C9711D">
          <w:rPr>
            <w:lang w:val="en-US"/>
          </w:rPr>
          <w:t>Detailed documentation of the underlying datasets and variable mappings is maintained in the accompanying technical documentation files and calibration workbooks.</w:t>
        </w:r>
      </w:ins>
    </w:p>
    <w:p w14:paraId="429FAFE4" w14:textId="7D605032" w:rsidR="00446DF3" w:rsidRPr="00C9711D" w:rsidRDefault="00446DF3" w:rsidP="00446DF3">
      <w:pPr>
        <w:pStyle w:val="Beschriftung"/>
        <w:keepNext/>
        <w:rPr>
          <w:lang w:val="en-US"/>
        </w:rPr>
      </w:pPr>
      <w:bookmarkStart w:id="149" w:name="_Toc236050751"/>
      <w:ins w:id="150" w:author="Heinisch, Katja" w:date="2026-07-27T09:22:00Z" w16du:dateUtc="2026-07-27T07:22:00Z">
        <w:r w:rsidRPr="00C9711D">
          <w:rPr>
            <w:noProof/>
            <w:lang w:val="en-US"/>
          </w:rPr>
          <w:drawing>
            <wp:anchor distT="0" distB="0" distL="114300" distR="114300" simplePos="0" relativeHeight="251663360" behindDoc="0" locked="0" layoutInCell="1" allowOverlap="1" wp14:anchorId="29DD62B5" wp14:editId="5DB9AEAE">
              <wp:simplePos x="0" y="0"/>
              <wp:positionH relativeFrom="column">
                <wp:posOffset>-23495</wp:posOffset>
              </wp:positionH>
              <wp:positionV relativeFrom="paragraph">
                <wp:posOffset>276970</wp:posOffset>
              </wp:positionV>
              <wp:extent cx="5334000" cy="3978910"/>
              <wp:effectExtent l="0" t="0" r="0" b="2540"/>
              <wp:wrapTopAndBottom/>
              <wp:docPr id="52645803" name="Picture"/>
              <wp:cNvGraphicFramePr/>
              <a:graphic xmlns:a="http://schemas.openxmlformats.org/drawingml/2006/main">
                <a:graphicData uri="http://schemas.openxmlformats.org/drawingml/2006/picture">
                  <pic:pic xmlns:pic="http://schemas.openxmlformats.org/drawingml/2006/picture">
                    <pic:nvPicPr>
                      <pic:cNvPr id="48" name="Picture" descr="C:\Users\schul\Documents\GitHub\DGE-METRIC\.tmp\technical_report_build\tables\table-03.png"/>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334000" cy="397891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ins>
      <w:r w:rsidRPr="00C9711D">
        <w:rPr>
          <w:lang w:val="en-US"/>
        </w:rPr>
        <w:t xml:space="preserve">Table </w:t>
      </w:r>
      <w:r w:rsidRPr="00C9711D">
        <w:rPr>
          <w:lang w:val="en-US"/>
        </w:rPr>
        <w:fldChar w:fldCharType="begin"/>
      </w:r>
      <w:r w:rsidRPr="00C9711D">
        <w:rPr>
          <w:lang w:val="en-US"/>
        </w:rPr>
        <w:instrText xml:space="preserve"> SEQ Table \* ARABIC </w:instrText>
      </w:r>
      <w:r w:rsidRPr="00C9711D">
        <w:rPr>
          <w:lang w:val="en-US"/>
        </w:rPr>
        <w:fldChar w:fldCharType="separate"/>
      </w:r>
      <w:r>
        <w:rPr>
          <w:noProof/>
          <w:lang w:val="en-US"/>
        </w:rPr>
        <w:t>3</w:t>
      </w:r>
      <w:r w:rsidRPr="00C9711D">
        <w:rPr>
          <w:lang w:val="en-US"/>
        </w:rPr>
        <w:fldChar w:fldCharType="end"/>
      </w:r>
      <w:r w:rsidRPr="00C9711D">
        <w:rPr>
          <w:lang w:val="en-US"/>
        </w:rPr>
        <w:t>:</w:t>
      </w:r>
      <w:r>
        <w:rPr>
          <w:lang w:val="en-US"/>
        </w:rPr>
        <w:t xml:space="preserve"> </w:t>
      </w:r>
      <w:bookmarkEnd w:id="149"/>
      <w:ins w:id="151" w:author="Heinisch, Katja" w:date="2026-07-27T13:23:00Z" w16du:dateUtc="2026-07-27T11:23:00Z">
        <w:r w:rsidR="00483BED">
          <w:rPr>
            <w:lang w:val="en-US"/>
          </w:rPr>
          <w:t>Data Sources</w:t>
        </w:r>
      </w:ins>
    </w:p>
    <w:p w14:paraId="61D4914B" w14:textId="02E9E642" w:rsidR="00FE754E" w:rsidRPr="00C9711D" w:rsidRDefault="00FE754E" w:rsidP="0087235D">
      <w:pPr>
        <w:pStyle w:val="IWHKastenQuellen"/>
        <w:pBdr>
          <w:top w:val="none" w:sz="0" w:space="0" w:color="auto"/>
          <w:left w:val="none" w:sz="0" w:space="0" w:color="auto"/>
          <w:bottom w:val="none" w:sz="0" w:space="0" w:color="auto"/>
          <w:right w:val="none" w:sz="0" w:space="0" w:color="auto"/>
        </w:pBdr>
        <w:shd w:val="clear" w:color="auto" w:fill="auto"/>
        <w:rPr>
          <w:ins w:id="152" w:author="Heinisch, Katja" w:date="2026-07-27T09:22:00Z" w16du:dateUtc="2026-07-27T07:22:00Z"/>
          <w:color w:val="auto"/>
          <w:lang w:val="en-US"/>
        </w:rPr>
      </w:pPr>
      <w:ins w:id="153" w:author="Heinisch, Katja" w:date="2026-07-27T09:22:00Z" w16du:dateUtc="2026-07-27T07:22:00Z">
        <w:r w:rsidRPr="00C9711D">
          <w:rPr>
            <w:color w:val="auto"/>
            <w:lang w:val="en-US"/>
          </w:rPr>
          <w:t xml:space="preserve">Source: </w:t>
        </w:r>
      </w:ins>
      <w:r w:rsidR="00446DF3">
        <w:rPr>
          <w:color w:val="auto"/>
          <w:lang w:val="en-US"/>
        </w:rPr>
        <w:t>o</w:t>
      </w:r>
      <w:ins w:id="154" w:author="Heinisch, Katja" w:date="2026-07-27T09:22:00Z" w16du:dateUtc="2026-07-27T07:22:00Z">
        <w:r w:rsidRPr="00C9711D">
          <w:rPr>
            <w:color w:val="auto"/>
            <w:lang w:val="en-US"/>
          </w:rPr>
          <w:t xml:space="preserve">wn </w:t>
        </w:r>
      </w:ins>
      <w:r w:rsidR="00446DF3">
        <w:rPr>
          <w:color w:val="auto"/>
          <w:lang w:val="en-US"/>
        </w:rPr>
        <w:t>d</w:t>
      </w:r>
      <w:ins w:id="155" w:author="Heinisch, Katja" w:date="2026-07-27T11:07:00Z" w16du:dateUtc="2026-07-27T09:07:00Z">
        <w:r w:rsidR="003D7B76" w:rsidRPr="00C9711D">
          <w:rPr>
            <w:color w:val="auto"/>
            <w:lang w:val="en-US"/>
          </w:rPr>
          <w:t>epiction.</w:t>
        </w:r>
      </w:ins>
    </w:p>
    <w:p w14:paraId="57C0CAE6" w14:textId="131EED22" w:rsidR="001314FA" w:rsidRPr="00C9711D" w:rsidRDefault="001314FA" w:rsidP="001314FA">
      <w:pPr>
        <w:pStyle w:val="FirstParagraph"/>
        <w:rPr>
          <w:del w:id="156" w:author="Heinisch, Katja" w:date="2026-07-27T09:22:00Z" w16du:dateUtc="2026-07-27T07:22:00Z"/>
          <w:lang w:val="en-US"/>
        </w:rPr>
      </w:pPr>
    </w:p>
    <w:p w14:paraId="1A34BABD" w14:textId="77777777" w:rsidR="001314FA" w:rsidRPr="00C9711D" w:rsidRDefault="001314FA" w:rsidP="001314FA">
      <w:pPr>
        <w:pStyle w:val="IWHFlietext"/>
        <w:rPr>
          <w:lang w:val="en-US"/>
        </w:rPr>
      </w:pPr>
      <w:r w:rsidRPr="00C9711D">
        <w:rPr>
          <w:lang w:val="en-US"/>
        </w:rPr>
        <w:t xml:space="preserve">Full variable-to-source mapping is documented in </w:t>
      </w:r>
      <w:ins w:id="157" w:author="Heinisch, Katja" w:date="2026-07-27T09:22:00Z" w16du:dateUtc="2026-07-27T07:22:00Z">
        <w:r w:rsidR="00A5230E" w:rsidRPr="00C9711D">
          <w:rPr>
            <w:lang w:val="en-US"/>
          </w:rPr>
          <w:fldChar w:fldCharType="begin"/>
        </w:r>
        <w:r w:rsidR="003C44CA" w:rsidRPr="00C9711D">
          <w:rPr>
            <w:lang w:val="en-US"/>
          </w:rPr>
          <w:instrText xml:space="preserve">HYPERLINK "C:\\Users\\nbKDL\\data_sources.md" \h </w:instrText>
        </w:r>
        <w:r w:rsidR="00A5230E" w:rsidRPr="00C9711D">
          <w:rPr>
            <w:lang w:val="en-US"/>
          </w:rPr>
        </w:r>
        <w:r w:rsidR="00A5230E" w:rsidRPr="00C9711D">
          <w:rPr>
            <w:lang w:val="en-US"/>
          </w:rPr>
          <w:fldChar w:fldCharType="separate"/>
        </w:r>
        <w:r w:rsidR="00A5230E" w:rsidRPr="00C9711D">
          <w:rPr>
            <w:rStyle w:val="Hyperlink"/>
            <w:lang w:val="en-US"/>
          </w:rPr>
          <w:t>data_sources.md</w:t>
        </w:r>
        <w:r w:rsidR="00A5230E" w:rsidRPr="00C9711D">
          <w:rPr>
            <w:lang w:val="en-US"/>
          </w:rPr>
          <w:fldChar w:fldCharType="end"/>
        </w:r>
      </w:ins>
      <w:del w:id="158" w:author="Heinisch, Katja" w:date="2026-07-27T09:22:00Z" w16du:dateUtc="2026-07-27T07:22:00Z">
        <w:r w:rsidRPr="00C9711D">
          <w:rPr>
            <w:lang w:val="en-US"/>
          </w:rPr>
          <w:fldChar w:fldCharType="begin"/>
        </w:r>
        <w:r w:rsidRPr="00C9711D">
          <w:rPr>
            <w:lang w:val="en-US"/>
          </w:rPr>
          <w:delInstrText>HYPERLINK "../data_sources.md" \h</w:delInstrText>
        </w:r>
        <w:r w:rsidRPr="00C9711D">
          <w:rPr>
            <w:lang w:val="en-US"/>
          </w:rPr>
        </w:r>
        <w:r w:rsidRPr="00C9711D">
          <w:rPr>
            <w:lang w:val="en-US"/>
          </w:rPr>
          <w:fldChar w:fldCharType="separate"/>
        </w:r>
        <w:r w:rsidRPr="00C9711D">
          <w:rPr>
            <w:rStyle w:val="Hyperlink"/>
            <w:lang w:val="en-US"/>
          </w:rPr>
          <w:delText>data_sources.md</w:delText>
        </w:r>
        <w:r w:rsidRPr="00C9711D">
          <w:rPr>
            <w:lang w:val="en-US"/>
          </w:rPr>
          <w:fldChar w:fldCharType="end"/>
        </w:r>
      </w:del>
      <w:r w:rsidRPr="00C9711D">
        <w:rPr>
          <w:lang w:val="en-US"/>
        </w:rPr>
        <w:t xml:space="preserve">; parameter-by-parameter citations for the structural-parameters sheet are in </w:t>
      </w:r>
      <w:ins w:id="159" w:author="Heinisch, Katja" w:date="2026-07-27T09:22:00Z" w16du:dateUtc="2026-07-27T07:22:00Z">
        <w:r w:rsidR="00A5230E" w:rsidRPr="00C9711D">
          <w:rPr>
            <w:lang w:val="en-US"/>
          </w:rPr>
          <w:fldChar w:fldCharType="begin"/>
        </w:r>
        <w:r w:rsidR="003C44CA" w:rsidRPr="00C9711D">
          <w:rPr>
            <w:lang w:val="en-US"/>
          </w:rPr>
          <w:instrText xml:space="preserve">HYPERLINK "C:\\Users\\nbKDL\\structural_parameters_source_audit.md" \h </w:instrText>
        </w:r>
        <w:r w:rsidR="00A5230E" w:rsidRPr="00C9711D">
          <w:rPr>
            <w:lang w:val="en-US"/>
          </w:rPr>
        </w:r>
        <w:r w:rsidR="00A5230E" w:rsidRPr="00C9711D">
          <w:rPr>
            <w:lang w:val="en-US"/>
          </w:rPr>
          <w:fldChar w:fldCharType="separate"/>
        </w:r>
        <w:r w:rsidR="00A5230E" w:rsidRPr="00C9711D">
          <w:rPr>
            <w:rStyle w:val="Hyperlink"/>
            <w:lang w:val="en-US"/>
          </w:rPr>
          <w:t>structural_parameters_source_audit.md</w:t>
        </w:r>
        <w:r w:rsidR="00A5230E" w:rsidRPr="00C9711D">
          <w:rPr>
            <w:lang w:val="en-US"/>
          </w:rPr>
          <w:fldChar w:fldCharType="end"/>
        </w:r>
        <w:r w:rsidR="00A5230E" w:rsidRPr="00C9711D">
          <w:rPr>
            <w:lang w:val="en-US"/>
          </w:rPr>
          <w:t>.</w:t>
        </w:r>
      </w:ins>
      <w:del w:id="160" w:author="Heinisch, Katja" w:date="2026-07-27T09:22:00Z" w16du:dateUtc="2026-07-27T07:22:00Z">
        <w:r w:rsidRPr="00C9711D">
          <w:rPr>
            <w:lang w:val="en-US"/>
          </w:rPr>
          <w:fldChar w:fldCharType="begin"/>
        </w:r>
        <w:r w:rsidRPr="00C9711D">
          <w:rPr>
            <w:lang w:val="en-US"/>
          </w:rPr>
          <w:delInstrText>HYPERLINK "../structural_parameters_source_audit.md" \h</w:delInstrText>
        </w:r>
        <w:r w:rsidRPr="00C9711D">
          <w:rPr>
            <w:lang w:val="en-US"/>
          </w:rPr>
        </w:r>
        <w:r w:rsidRPr="00C9711D">
          <w:rPr>
            <w:lang w:val="en-US"/>
          </w:rPr>
          <w:fldChar w:fldCharType="separate"/>
        </w:r>
        <w:r w:rsidRPr="00C9711D">
          <w:rPr>
            <w:rStyle w:val="Hyperlink"/>
            <w:lang w:val="en-US"/>
          </w:rPr>
          <w:delText>structural_parameters_source_audit.md</w:delText>
        </w:r>
        <w:r w:rsidRPr="00C9711D">
          <w:rPr>
            <w:lang w:val="en-US"/>
          </w:rPr>
          <w:fldChar w:fldCharType="end"/>
        </w:r>
        <w:r w:rsidRPr="00C9711D">
          <w:rPr>
            <w:lang w:val="en-US"/>
          </w:rPr>
          <w:delText>.</w:delText>
        </w:r>
      </w:del>
      <w:r w:rsidRPr="00C9711D">
        <w:rPr>
          <w:lang w:val="en-US"/>
        </w:rPr>
        <w:t xml:space="preserve"> Raw source data is maintained outside the repository (size/licensing) and is pre-processed into the calibration workbook.</w:t>
      </w:r>
    </w:p>
    <w:p w14:paraId="73ECAEB0" w14:textId="16341652" w:rsidR="001314FA" w:rsidRPr="00C9711D" w:rsidRDefault="001314FA" w:rsidP="00576499">
      <w:pPr>
        <w:pStyle w:val="berschrift3"/>
        <w:rPr>
          <w:lang w:val="en-US"/>
        </w:rPr>
      </w:pPr>
      <w:bookmarkStart w:id="161" w:name="_Toc235867059"/>
      <w:bookmarkStart w:id="162" w:name="expenditure-side-gdp-cross-check-output"/>
      <w:bookmarkEnd w:id="145"/>
      <w:r w:rsidRPr="00C9711D">
        <w:rPr>
          <w:lang w:val="en-US"/>
        </w:rPr>
        <w:t>Expenditure-side GDP cross-check output</w:t>
      </w:r>
      <w:bookmarkEnd w:id="161"/>
    </w:p>
    <w:p w14:paraId="59F68175" w14:textId="77777777" w:rsidR="001314FA" w:rsidRPr="00C9711D" w:rsidRDefault="001314FA" w:rsidP="001314FA">
      <w:pPr>
        <w:pStyle w:val="IWHFlietext"/>
        <w:rPr>
          <w:lang w:val="en-US"/>
        </w:rPr>
      </w:pPr>
      <w:commentRangeStart w:id="163"/>
      <w:r w:rsidRPr="00C9711D">
        <w:rPr>
          <w:b/>
          <w:bCs/>
          <w:lang w:val="en-US"/>
        </w:rPr>
        <w:t>Provenance note (ETS fiscal revenue):</w:t>
      </w:r>
      <w:r w:rsidRPr="00C9711D">
        <w:rPr>
          <w:lang w:val="en-US"/>
        </w:rPr>
        <w:t xml:space="preserve"> the model does not use an official published long-run (2030/2050) government ETS revenue forecast for Vietnam. Instead, ETS revenue is scenario-based and follows:</w:t>
      </w:r>
    </w:p>
    <w:p w14:paraId="60D15884" w14:textId="77777777" w:rsidR="001314FA" w:rsidRPr="00C9711D" w:rsidRDefault="001314FA" w:rsidP="001314FA">
      <w:pPr>
        <w:pStyle w:val="Textkrper"/>
        <w:rPr>
          <w:lang w:val="en-US"/>
        </w:rPr>
      </w:pPr>
      <w:r w:rsidRPr="00C9711D">
        <w:rPr>
          <w:noProof/>
          <w:lang w:val="en-US"/>
        </w:rPr>
        <w:drawing>
          <wp:inline distT="0" distB="0" distL="0" distR="0" wp14:anchorId="5F3D8FD9" wp14:editId="57C46A06">
            <wp:extent cx="2018995" cy="190471"/>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C:\Users\schul\Documents\GitHub\DGE-METRIC\.tmp\technical_report_build\math\math-0004.png"/>
                    <pic:cNvPicPr>
                      <a:picLocks noChangeAspect="1" noChangeArrowheads="1"/>
                    </pic:cNvPicPr>
                  </pic:nvPicPr>
                  <pic:blipFill>
                    <a:blip r:embed="rId27"/>
                    <a:stretch>
                      <a:fillRect/>
                    </a:stretch>
                  </pic:blipFill>
                  <pic:spPr bwMode="auto">
                    <a:xfrm>
                      <a:off x="0" y="0"/>
                      <a:ext cx="2018995" cy="190471"/>
                    </a:xfrm>
                    <a:prstGeom prst="rect">
                      <a:avLst/>
                    </a:prstGeom>
                    <a:noFill/>
                    <a:ln w="9525">
                      <a:noFill/>
                      <a:headEnd/>
                      <a:tailEnd/>
                    </a:ln>
                  </pic:spPr>
                </pic:pic>
              </a:graphicData>
            </a:graphic>
          </wp:inline>
        </w:drawing>
      </w:r>
    </w:p>
    <w:p w14:paraId="5A3DB930" w14:textId="77777777" w:rsidR="001314FA" w:rsidRPr="00C9711D" w:rsidRDefault="001314FA" w:rsidP="001314FA">
      <w:pPr>
        <w:pStyle w:val="Textkrper"/>
        <w:rPr>
          <w:lang w:val="en-US"/>
        </w:rPr>
      </w:pPr>
      <w:r w:rsidRPr="00C9711D">
        <w:rPr>
          <w:lang w:val="en-US"/>
        </w:rPr>
        <w:t>where only auctioned allowances generate direct public revenue. Free allocation is treated as compliance value transfer, not fiscal revenue.</w:t>
      </w:r>
      <w:commentRangeEnd w:id="163"/>
      <w:r w:rsidR="00576499" w:rsidRPr="00C9711D">
        <w:rPr>
          <w:rStyle w:val="Kommentarzeichen"/>
          <w:sz w:val="22"/>
          <w:szCs w:val="22"/>
          <w:lang w:val="en-US"/>
        </w:rPr>
        <w:commentReference w:id="163"/>
      </w:r>
    </w:p>
    <w:p w14:paraId="0CF63C3C" w14:textId="77777777" w:rsidR="001314FA" w:rsidRPr="00C9711D" w:rsidRDefault="001314FA" w:rsidP="002A4BF9">
      <w:pPr>
        <w:pStyle w:val="berschrift2"/>
        <w:rPr>
          <w:del w:id="164" w:author="Heinisch, Katja" w:date="2026-07-27T09:22:00Z" w16du:dateUtc="2026-07-27T07:22:00Z"/>
          <w:lang w:val="en-US"/>
        </w:rPr>
      </w:pPr>
      <w:bookmarkStart w:id="165" w:name="_Toc235867060"/>
      <w:bookmarkStart w:id="166" w:name="X9bc8de0246c94bb176d5dcfb61919a70e281c26"/>
      <w:bookmarkEnd w:id="162"/>
      <w:del w:id="167" w:author="Heinisch, Katja" w:date="2026-07-27T09:22:00Z" w16du:dateUtc="2026-07-27T07:22:00Z">
        <w:r w:rsidRPr="00C9711D">
          <w:rPr>
            <w:lang w:val="en-US"/>
          </w:rPr>
          <w:delText>Expenditure-side GDP cross-check output</w:delText>
        </w:r>
        <w:bookmarkEnd w:id="165"/>
      </w:del>
    </w:p>
    <w:p w14:paraId="5D717C72" w14:textId="77777777" w:rsidR="001314FA" w:rsidRPr="00C9711D" w:rsidRDefault="001314FA" w:rsidP="001314FA">
      <w:pPr>
        <w:pStyle w:val="IWHFlietext"/>
        <w:rPr>
          <w:lang w:val="en-US"/>
        </w:rPr>
      </w:pPr>
      <w:r w:rsidRPr="00C9711D">
        <w:rPr>
          <w:lang w:val="en-US"/>
        </w:rPr>
        <w:t>The repository includes a reproducible cross-check generated by scripts</w:t>
      </w:r>
      <w:r w:rsidRPr="00C9711D">
        <w:rPr>
          <w:rStyle w:val="VerbatimChar"/>
          <w:rFonts w:eastAsiaTheme="minorHAnsi"/>
          <w:lang w:val="en-US"/>
        </w:rPr>
        <w:t>/reporting/GenerateGDPComponentsStartEndVsActual.m</w:t>
      </w:r>
      <w:r w:rsidRPr="00C9711D">
        <w:rPr>
          <w:lang w:val="en-US"/>
        </w:rPr>
        <w:t>, which compares the model’s expenditure-side GDP component shares at the baseline start and end years against actual 2019 Vietnam national-accounts shares.</w:t>
      </w:r>
    </w:p>
    <w:p w14:paraId="3190011A" w14:textId="77777777" w:rsidR="00576499" w:rsidRPr="00C9711D" w:rsidRDefault="001314FA" w:rsidP="00576499">
      <w:pPr>
        <w:pStyle w:val="CaptionedFigure"/>
        <w:rPr>
          <w:lang w:val="en-US"/>
        </w:rPr>
      </w:pPr>
      <w:commentRangeStart w:id="168"/>
      <w:r w:rsidRPr="00C9711D">
        <w:rPr>
          <w:noProof/>
          <w:lang w:val="en-US"/>
        </w:rPr>
        <w:drawing>
          <wp:inline distT="0" distB="0" distL="0" distR="0" wp14:anchorId="25243B21" wp14:editId="79FD1762">
            <wp:extent cx="5334000" cy="3454695"/>
            <wp:effectExtent l="0" t="0" r="0" b="0"/>
            <wp:docPr id="57" name="Picture" descr="GDP components start/end vs actual"/>
            <wp:cNvGraphicFramePr/>
            <a:graphic xmlns:a="http://schemas.openxmlformats.org/drawingml/2006/main">
              <a:graphicData uri="http://schemas.openxmlformats.org/drawingml/2006/picture">
                <pic:pic xmlns:pic="http://schemas.openxmlformats.org/drawingml/2006/picture">
                  <pic:nvPicPr>
                    <pic:cNvPr id="58" name="Picture" descr="../../Figures/Baseline/GDPComponents/GDPComponents_StartEndVsActual.png"/>
                    <pic:cNvPicPr>
                      <a:picLocks noChangeAspect="1" noChangeArrowheads="1"/>
                    </pic:cNvPicPr>
                  </pic:nvPicPr>
                  <pic:blipFill>
                    <a:blip r:embed="rId28"/>
                    <a:stretch>
                      <a:fillRect/>
                    </a:stretch>
                  </pic:blipFill>
                  <pic:spPr bwMode="auto">
                    <a:xfrm>
                      <a:off x="0" y="0"/>
                      <a:ext cx="5334000" cy="3454695"/>
                    </a:xfrm>
                    <a:prstGeom prst="rect">
                      <a:avLst/>
                    </a:prstGeom>
                    <a:noFill/>
                    <a:ln w="9525">
                      <a:noFill/>
                      <a:headEnd/>
                      <a:tailEnd/>
                    </a:ln>
                  </pic:spPr>
                </pic:pic>
              </a:graphicData>
            </a:graphic>
          </wp:inline>
        </w:drawing>
      </w:r>
      <w:commentRangeEnd w:id="168"/>
      <w:r w:rsidR="002A4BF9" w:rsidRPr="00C9711D">
        <w:rPr>
          <w:rStyle w:val="Kommentarzeichen"/>
          <w:sz w:val="22"/>
          <w:szCs w:val="22"/>
          <w:lang w:val="en-US"/>
        </w:rPr>
        <w:commentReference w:id="168"/>
      </w:r>
    </w:p>
    <w:p w14:paraId="37ADEBBD" w14:textId="5CB75F16" w:rsidR="001314FA" w:rsidRPr="00C9711D" w:rsidRDefault="00576499" w:rsidP="00576499">
      <w:pPr>
        <w:pStyle w:val="Beschriftung"/>
        <w:rPr>
          <w:lang w:val="en-US"/>
        </w:rPr>
      </w:pPr>
      <w:bookmarkStart w:id="169" w:name="_Toc236050716"/>
      <w:r w:rsidRPr="00C9711D">
        <w:rPr>
          <w:lang w:val="en-US"/>
        </w:rPr>
        <w:t xml:space="preserve">Figure </w:t>
      </w:r>
      <w:r w:rsidRPr="00C9711D">
        <w:rPr>
          <w:lang w:val="en-US"/>
        </w:rPr>
        <w:fldChar w:fldCharType="begin"/>
      </w:r>
      <w:r w:rsidRPr="00C9711D">
        <w:rPr>
          <w:lang w:val="en-US"/>
        </w:rPr>
        <w:instrText xml:space="preserve"> SEQ Figure \* ARABIC </w:instrText>
      </w:r>
      <w:r w:rsidRPr="00C9711D">
        <w:rPr>
          <w:lang w:val="en-US"/>
        </w:rPr>
        <w:fldChar w:fldCharType="separate"/>
      </w:r>
      <w:r w:rsidR="00577A64">
        <w:rPr>
          <w:noProof/>
          <w:lang w:val="en-US"/>
        </w:rPr>
        <w:t>1</w:t>
      </w:r>
      <w:r w:rsidRPr="00C9711D">
        <w:rPr>
          <w:lang w:val="en-US"/>
        </w:rPr>
        <w:fldChar w:fldCharType="end"/>
      </w:r>
      <w:r w:rsidRPr="00C9711D">
        <w:rPr>
          <w:lang w:val="en-US"/>
        </w:rPr>
        <w:t xml:space="preserve">: </w:t>
      </w:r>
      <w:r w:rsidR="001314FA" w:rsidRPr="00C9711D">
        <w:rPr>
          <w:lang w:val="en-US"/>
        </w:rPr>
        <w:t>Expenditure-side GDP components: actual 2019 vs simulated baseline start and end.</w:t>
      </w:r>
      <w:bookmarkEnd w:id="169"/>
    </w:p>
    <w:p w14:paraId="26397DCA" w14:textId="77777777" w:rsidR="001314FA" w:rsidRPr="00C9711D" w:rsidRDefault="001314FA" w:rsidP="0087235D">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The chart stacks seven components as shares of GDP: private consumption, government consumption, private investment, housing investment, solar/PV investment, government investment, and net exports. In the Actual (2019) bar, government investment and solar/PV investment are proxy estimates documented in the script header; housing investment is taken directly from the NSO IO table.</w:t>
      </w:r>
    </w:p>
    <w:p w14:paraId="069B76D8" w14:textId="77777777" w:rsidR="001314FA" w:rsidRPr="00C9711D" w:rsidRDefault="001314FA" w:rsidP="0087235D">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Output files </w:t>
      </w:r>
      <w:r w:rsidRPr="00C9711D">
        <w:rPr>
          <w:rStyle w:val="VerbatimChar"/>
          <w:rFonts w:eastAsiaTheme="minorHAnsi"/>
          <w:lang w:val="en-US"/>
        </w:rPr>
        <w:t>GDPComponents_StartEndVsActual.png</w:t>
      </w:r>
      <w:r w:rsidRPr="00C9711D">
        <w:rPr>
          <w:lang w:val="en-US"/>
        </w:rPr>
        <w:t xml:space="preserve">, </w:t>
      </w:r>
      <w:r w:rsidRPr="00C9711D">
        <w:rPr>
          <w:rStyle w:val="VerbatimChar"/>
          <w:rFonts w:eastAsiaTheme="minorHAnsi"/>
          <w:lang w:val="en-US"/>
        </w:rPr>
        <w:t>GDPComponents_StartEndVsActual.svg</w:t>
      </w:r>
      <w:r w:rsidRPr="00C9711D">
        <w:rPr>
          <w:lang w:val="en-US"/>
        </w:rPr>
        <w:t xml:space="preserve">, and </w:t>
      </w:r>
      <w:r w:rsidRPr="00C9711D">
        <w:rPr>
          <w:rStyle w:val="VerbatimChar"/>
          <w:rFonts w:eastAsiaTheme="minorHAnsi"/>
          <w:lang w:val="en-US"/>
        </w:rPr>
        <w:t>GDPComponents_StartEndVsActual.csv</w:t>
      </w:r>
      <w:r w:rsidRPr="00C9711D">
        <w:rPr>
          <w:lang w:val="en-US"/>
        </w:rPr>
        <w:t xml:space="preserve"> in </w:t>
      </w:r>
      <w:r w:rsidRPr="00C9711D">
        <w:rPr>
          <w:rStyle w:val="VerbatimChar"/>
          <w:rFonts w:eastAsiaTheme="minorHAnsi"/>
          <w:lang w:val="en-US"/>
        </w:rPr>
        <w:t>Figures/Baseline/GDPComponents/</w:t>
      </w:r>
      <w:r w:rsidRPr="00C9711D">
        <w:rPr>
          <w:lang w:val="en-US"/>
        </w:rPr>
        <w:t xml:space="preserve">, generated from </w:t>
      </w:r>
      <w:r w:rsidRPr="00C9711D">
        <w:rPr>
          <w:rStyle w:val="VerbatimChar"/>
          <w:rFonts w:eastAsiaTheme="minorHAnsi"/>
          <w:lang w:val="en-US"/>
        </w:rPr>
        <w:t>ExcelFiles/Output/Baseline.csv</w:t>
      </w:r>
      <w:r w:rsidRPr="00C9711D">
        <w:rPr>
          <w:lang w:val="en-US"/>
        </w:rPr>
        <w:t xml:space="preserve"> and external NSO workbook </w:t>
      </w:r>
      <w:r w:rsidRPr="00C9711D">
        <w:rPr>
          <w:rStyle w:val="VerbatimChar"/>
          <w:rFonts w:eastAsiaTheme="minorHAnsi"/>
          <w:lang w:val="en-US"/>
        </w:rPr>
        <w:t>IO_GSO_2019.xlsx</w:t>
      </w:r>
      <w:r w:rsidRPr="00C9711D">
        <w:rPr>
          <w:lang w:val="en-US"/>
        </w:rPr>
        <w:t xml:space="preserve"> by </w:t>
      </w:r>
      <w:r w:rsidRPr="00C9711D">
        <w:rPr>
          <w:rStyle w:val="VerbatimChar"/>
          <w:rFonts w:eastAsiaTheme="minorHAnsi"/>
          <w:lang w:val="en-US"/>
        </w:rPr>
        <w:t>scripts/reporting/GenerateGDPComponentsStartEndVsActual.m</w:t>
      </w:r>
      <w:r w:rsidRPr="00C9711D">
        <w:rPr>
          <w:lang w:val="en-US"/>
        </w:rPr>
        <w:t>.</w:t>
      </w:r>
    </w:p>
    <w:p w14:paraId="152AE263" w14:textId="181CD51B" w:rsidR="001314FA" w:rsidRPr="00C9711D" w:rsidRDefault="00A5230E" w:rsidP="002A4BF9">
      <w:pPr>
        <w:pStyle w:val="berschrift2"/>
        <w:rPr>
          <w:lang w:val="en-US"/>
        </w:rPr>
      </w:pPr>
      <w:bookmarkStart w:id="170" w:name="_Toc235867061"/>
      <w:bookmarkStart w:id="171" w:name="calibration-workflow"/>
      <w:bookmarkEnd w:id="166"/>
      <w:r w:rsidRPr="00C9711D">
        <w:rPr>
          <w:lang w:val="en-US"/>
        </w:rPr>
        <w:lastRenderedPageBreak/>
        <w:t xml:space="preserve"> </w:t>
      </w:r>
      <w:bookmarkStart w:id="172" w:name="_Toc236050655"/>
      <w:r w:rsidR="001314FA" w:rsidRPr="00C9711D">
        <w:rPr>
          <w:lang w:val="en-US"/>
        </w:rPr>
        <w:t>Calibration workflow</w:t>
      </w:r>
      <w:bookmarkEnd w:id="170"/>
      <w:bookmarkEnd w:id="172"/>
    </w:p>
    <w:p w14:paraId="20EBC8FA" w14:textId="77777777" w:rsidR="00FE754E" w:rsidRPr="00C9711D" w:rsidRDefault="00FE754E" w:rsidP="004915C4">
      <w:pPr>
        <w:pStyle w:val="IWHFlietext"/>
        <w:rPr>
          <w:ins w:id="173" w:author="Heinisch, Katja" w:date="2026-07-27T09:22:00Z" w16du:dateUtc="2026-07-27T07:22:00Z"/>
          <w:rFonts w:asciiTheme="majorHAnsi" w:hAnsiTheme="majorHAnsi"/>
          <w:lang w:val="en-US"/>
        </w:rPr>
      </w:pPr>
      <w:ins w:id="174" w:author="Heinisch, Katja" w:date="2026-07-27T09:22:00Z" w16du:dateUtc="2026-07-27T07:22:00Z">
        <w:r w:rsidRPr="00C9711D">
          <w:rPr>
            <w:lang w:val="en-US"/>
          </w:rPr>
          <w:t>The calibration combines observed economic data with structural assumptions and model-consistent para</w:t>
        </w:r>
        <w:r w:rsidRPr="00C9711D">
          <w:rPr>
            <w:rFonts w:asciiTheme="majorHAnsi" w:hAnsiTheme="majorHAnsi"/>
            <w:lang w:val="en-US"/>
          </w:rPr>
          <w:t>meter estimation. Four categories of information enter the calibration process:</w:t>
        </w:r>
      </w:ins>
    </w:p>
    <w:p w14:paraId="77FF2A1B" w14:textId="68BB0D40" w:rsidR="00FE754E" w:rsidRPr="00C9711D" w:rsidRDefault="00FE754E" w:rsidP="00A5230E">
      <w:pPr>
        <w:pStyle w:val="FirstParagraph"/>
        <w:numPr>
          <w:ilvl w:val="0"/>
          <w:numId w:val="4"/>
        </w:numPr>
        <w:spacing w:before="180" w:after="180" w:line="240" w:lineRule="auto"/>
        <w:rPr>
          <w:ins w:id="175" w:author="Heinisch, Katja" w:date="2026-07-27T09:22:00Z" w16du:dateUtc="2026-07-27T07:22:00Z"/>
          <w:rFonts w:asciiTheme="majorHAnsi" w:hAnsiTheme="majorHAnsi"/>
          <w:lang w:val="en-US"/>
        </w:rPr>
      </w:pPr>
      <w:ins w:id="176" w:author="Heinisch, Katja" w:date="2026-07-27T09:22:00Z" w16du:dateUtc="2026-07-27T07:22:00Z">
        <w:r w:rsidRPr="00C9711D">
          <w:rPr>
            <w:rFonts w:asciiTheme="majorHAnsi" w:hAnsiTheme="majorHAnsi"/>
            <w:b/>
            <w:bCs/>
            <w:lang w:val="en-US"/>
          </w:rPr>
          <w:t>Observed baseline data</w:t>
        </w:r>
        <w:r w:rsidRPr="00C9711D">
          <w:rPr>
            <w:rFonts w:asciiTheme="majorHAnsi" w:hAnsiTheme="majorHAnsi"/>
            <w:lang w:val="en-US"/>
          </w:rPr>
          <w:t>, including sectoral production, employment, trade flows, and expenditure shares obtained from official statistics (</w:t>
        </w:r>
        <w:r w:rsidRPr="00C9711D">
          <w:rPr>
            <w:rStyle w:val="VerbatimChar"/>
            <w:rFonts w:asciiTheme="majorHAnsi" w:eastAsiaTheme="minorHAnsi" w:hAnsiTheme="majorHAnsi"/>
            <w:lang w:val="en-US"/>
          </w:rPr>
          <w:t>phiY0</w:t>
        </w:r>
        <w:r w:rsidRPr="00C9711D">
          <w:rPr>
            <w:rFonts w:asciiTheme="majorHAnsi" w:hAnsiTheme="majorHAnsi"/>
            <w:lang w:val="en-US"/>
          </w:rPr>
          <w:t xml:space="preserve">, </w:t>
        </w:r>
        <w:r w:rsidRPr="00C9711D">
          <w:rPr>
            <w:rStyle w:val="VerbatimChar"/>
            <w:rFonts w:asciiTheme="majorHAnsi" w:eastAsiaTheme="minorHAnsi" w:hAnsiTheme="majorHAnsi"/>
            <w:lang w:val="en-US"/>
          </w:rPr>
          <w:t>phiN0</w:t>
        </w:r>
        <w:r w:rsidRPr="00C9711D">
          <w:rPr>
            <w:rFonts w:asciiTheme="majorHAnsi" w:hAnsiTheme="majorHAnsi"/>
            <w:lang w:val="en-US"/>
          </w:rPr>
          <w:t xml:space="preserve">, </w:t>
        </w:r>
        <w:r w:rsidRPr="00C9711D">
          <w:rPr>
            <w:rStyle w:val="VerbatimChar"/>
            <w:rFonts w:asciiTheme="majorHAnsi" w:eastAsiaTheme="minorHAnsi" w:hAnsiTheme="majorHAnsi"/>
            <w:lang w:val="en-US"/>
          </w:rPr>
          <w:t>phiW</w:t>
        </w:r>
        <w:r w:rsidRPr="00C9711D">
          <w:rPr>
            <w:rFonts w:asciiTheme="majorHAnsi" w:hAnsiTheme="majorHAnsi"/>
            <w:lang w:val="en-US"/>
          </w:rPr>
          <w:t xml:space="preserve">, </w:t>
        </w:r>
        <w:r w:rsidRPr="00C9711D">
          <w:rPr>
            <w:rStyle w:val="VerbatimChar"/>
            <w:rFonts w:asciiTheme="majorHAnsi" w:eastAsiaTheme="minorHAnsi" w:hAnsiTheme="majorHAnsi"/>
            <w:lang w:val="en-US"/>
          </w:rPr>
          <w:t>phiX</w:t>
        </w:r>
        <w:r w:rsidRPr="00C9711D">
          <w:rPr>
            <w:rFonts w:asciiTheme="majorHAnsi" w:hAnsiTheme="majorHAnsi"/>
            <w:lang w:val="en-US"/>
          </w:rPr>
          <w:t xml:space="preserve">, </w:t>
        </w:r>
        <w:r w:rsidRPr="00C9711D">
          <w:rPr>
            <w:rStyle w:val="VerbatimChar"/>
            <w:rFonts w:asciiTheme="majorHAnsi" w:eastAsiaTheme="minorHAnsi" w:hAnsiTheme="majorHAnsi"/>
            <w:lang w:val="en-US"/>
          </w:rPr>
          <w:t>phiQI</w:t>
        </w:r>
        <w:r w:rsidRPr="00C9711D">
          <w:rPr>
            <w:rFonts w:asciiTheme="majorHAnsi" w:hAnsiTheme="majorHAnsi"/>
            <w:lang w:val="en-US"/>
          </w:rPr>
          <w:t xml:space="preserve">, …) — read directly from workbook sheets. </w:t>
        </w:r>
      </w:ins>
    </w:p>
    <w:p w14:paraId="74DE55C8" w14:textId="4147BBDF" w:rsidR="00FE754E" w:rsidRPr="00C9711D" w:rsidRDefault="00FE754E" w:rsidP="00A5230E">
      <w:pPr>
        <w:pStyle w:val="FirstParagraph"/>
        <w:numPr>
          <w:ilvl w:val="0"/>
          <w:numId w:val="4"/>
        </w:numPr>
        <w:spacing w:before="180" w:after="180" w:line="240" w:lineRule="auto"/>
        <w:rPr>
          <w:ins w:id="177" w:author="Heinisch, Katja" w:date="2026-07-27T09:22:00Z" w16du:dateUtc="2026-07-27T07:22:00Z"/>
          <w:rFonts w:asciiTheme="majorHAnsi" w:hAnsiTheme="majorHAnsi"/>
          <w:lang w:val="en-US"/>
        </w:rPr>
      </w:pPr>
      <w:ins w:id="178" w:author="Heinisch, Katja" w:date="2026-07-27T09:22:00Z" w16du:dateUtc="2026-07-27T07:22:00Z">
        <w:r w:rsidRPr="00C9711D">
          <w:rPr>
            <w:rFonts w:asciiTheme="majorHAnsi" w:hAnsiTheme="majorHAnsi"/>
            <w:b/>
            <w:bCs/>
            <w:lang w:val="en-US"/>
          </w:rPr>
          <w:t>Structural parameters</w:t>
        </w:r>
        <w:r w:rsidRPr="00C9711D">
          <w:rPr>
            <w:rFonts w:asciiTheme="majorHAnsi" w:hAnsiTheme="majorHAnsi"/>
            <w:lang w:val="en-US"/>
          </w:rPr>
          <w:t>, such as discount factors, depreciation rates, substitution elasticities, and tax rates, derived from the literature or project assumption (</w:t>
        </w:r>
        <w:r w:rsidRPr="00C9711D">
          <w:rPr>
            <w:rStyle w:val="VerbatimChar"/>
            <w:rFonts w:asciiTheme="majorHAnsi" w:eastAsiaTheme="minorHAnsi" w:hAnsiTheme="majorHAnsi"/>
            <w:lang w:val="en-US"/>
          </w:rPr>
          <w:t>beta</w:t>
        </w:r>
        <w:r w:rsidRPr="00C9711D">
          <w:rPr>
            <w:rFonts w:asciiTheme="majorHAnsi" w:hAnsiTheme="majorHAnsi"/>
            <w:lang w:val="en-US"/>
          </w:rPr>
          <w:t xml:space="preserve">, </w:t>
        </w:r>
        <w:r w:rsidRPr="00C9711D">
          <w:rPr>
            <w:rStyle w:val="VerbatimChar"/>
            <w:rFonts w:asciiTheme="majorHAnsi" w:eastAsiaTheme="minorHAnsi" w:hAnsiTheme="majorHAnsi"/>
            <w:lang w:val="en-US"/>
          </w:rPr>
          <w:t>delta</w:t>
        </w:r>
        <w:r w:rsidRPr="00C9711D">
          <w:rPr>
            <w:rFonts w:asciiTheme="majorHAnsi" w:hAnsiTheme="majorHAnsi"/>
            <w:lang w:val="en-US"/>
          </w:rPr>
          <w:t xml:space="preserve">, </w:t>
        </w:r>
        <w:r w:rsidRPr="00C9711D">
          <w:rPr>
            <w:rStyle w:val="VerbatimChar"/>
            <w:rFonts w:asciiTheme="majorHAnsi" w:eastAsiaTheme="minorHAnsi" w:hAnsiTheme="majorHAnsi"/>
            <w:lang w:val="en-US"/>
          </w:rPr>
          <w:t>sigmaL</w:t>
        </w:r>
        <w:r w:rsidRPr="00C9711D">
          <w:rPr>
            <w:rFonts w:asciiTheme="majorHAnsi" w:hAnsiTheme="majorHAnsi"/>
            <w:lang w:val="en-US"/>
          </w:rPr>
          <w:t xml:space="preserve">, </w:t>
        </w:r>
        <w:r w:rsidRPr="00C9711D">
          <w:rPr>
            <w:rStyle w:val="VerbatimChar"/>
            <w:rFonts w:asciiTheme="majorHAnsi" w:eastAsiaTheme="minorHAnsi" w:hAnsiTheme="majorHAnsi"/>
            <w:lang w:val="en-US"/>
          </w:rPr>
          <w:t>sigmaC</w:t>
        </w:r>
        <w:r w:rsidRPr="00C9711D">
          <w:rPr>
            <w:rFonts w:asciiTheme="majorHAnsi" w:hAnsiTheme="majorHAnsi"/>
            <w:lang w:val="en-US"/>
          </w:rPr>
          <w:t xml:space="preserve">, CES elasticities, tax rates) — read from the </w:t>
        </w:r>
        <w:r w:rsidRPr="00C9711D">
          <w:rPr>
            <w:rStyle w:val="VerbatimChar"/>
            <w:rFonts w:asciiTheme="majorHAnsi" w:eastAsiaTheme="minorHAnsi" w:hAnsiTheme="majorHAnsi"/>
            <w:lang w:val="en-US"/>
          </w:rPr>
          <w:t>Structural Parameters</w:t>
        </w:r>
        <w:r w:rsidRPr="00C9711D">
          <w:rPr>
            <w:rFonts w:asciiTheme="majorHAnsi" w:hAnsiTheme="majorHAnsi"/>
            <w:lang w:val="en-US"/>
          </w:rPr>
          <w:t xml:space="preserve"> sheet or left at code defaults.</w:t>
        </w:r>
      </w:ins>
    </w:p>
    <w:p w14:paraId="07F48D1B" w14:textId="280F7A94" w:rsidR="00FE754E" w:rsidRPr="00C9711D" w:rsidRDefault="00FE754E" w:rsidP="00A5230E">
      <w:pPr>
        <w:pStyle w:val="FirstParagraph"/>
        <w:numPr>
          <w:ilvl w:val="0"/>
          <w:numId w:val="4"/>
        </w:numPr>
        <w:spacing w:before="180" w:after="180" w:line="240" w:lineRule="auto"/>
        <w:rPr>
          <w:ins w:id="179" w:author="Heinisch, Katja" w:date="2026-07-27T09:22:00Z" w16du:dateUtc="2026-07-27T07:22:00Z"/>
          <w:rFonts w:asciiTheme="majorHAnsi" w:hAnsiTheme="majorHAnsi"/>
          <w:lang w:val="en-US"/>
        </w:rPr>
      </w:pPr>
      <w:ins w:id="180" w:author="Heinisch, Katja" w:date="2026-07-27T09:22:00Z" w16du:dateUtc="2026-07-27T07:22:00Z">
        <w:r w:rsidRPr="00C9711D">
          <w:rPr>
            <w:rFonts w:asciiTheme="majorHAnsi" w:hAnsiTheme="majorHAnsi"/>
            <w:b/>
            <w:bCs/>
            <w:lang w:val="en-US"/>
          </w:rPr>
          <w:t>Initial macroeconomic conditions</w:t>
        </w:r>
        <w:r w:rsidRPr="00C9711D">
          <w:rPr>
            <w:rFonts w:asciiTheme="majorHAnsi" w:hAnsiTheme="majorHAnsi"/>
            <w:lang w:val="en-US"/>
          </w:rPr>
          <w:t>, defining the baseline economy at the beginning of the simulation period (</w:t>
        </w:r>
        <w:r w:rsidRPr="00C9711D">
          <w:rPr>
            <w:rStyle w:val="VerbatimChar"/>
            <w:rFonts w:asciiTheme="majorHAnsi" w:eastAsiaTheme="minorHAnsi" w:hAnsiTheme="majorHAnsi"/>
            <w:lang w:val="en-US"/>
          </w:rPr>
          <w:t>Y0</w:t>
        </w:r>
        <w:r w:rsidRPr="00C9711D">
          <w:rPr>
            <w:rFonts w:asciiTheme="majorHAnsi" w:hAnsiTheme="majorHAnsi"/>
            <w:lang w:val="en-US"/>
          </w:rPr>
          <w:t xml:space="preserve">, </w:t>
        </w:r>
        <w:r w:rsidRPr="00C9711D">
          <w:rPr>
            <w:rStyle w:val="VerbatimChar"/>
            <w:rFonts w:asciiTheme="majorHAnsi" w:eastAsiaTheme="minorHAnsi" w:hAnsiTheme="majorHAnsi"/>
            <w:lang w:val="en-US"/>
          </w:rPr>
          <w:t>N0</w:t>
        </w:r>
        <w:r w:rsidRPr="00C9711D">
          <w:rPr>
            <w:rFonts w:asciiTheme="majorHAnsi" w:hAnsiTheme="majorHAnsi"/>
            <w:lang w:val="en-US"/>
          </w:rPr>
          <w:t xml:space="preserve">, </w:t>
        </w:r>
        <w:r w:rsidRPr="00C9711D">
          <w:rPr>
            <w:rStyle w:val="VerbatimChar"/>
            <w:rFonts w:asciiTheme="majorHAnsi" w:eastAsiaTheme="minorHAnsi" w:hAnsiTheme="majorHAnsi"/>
            <w:lang w:val="en-US"/>
          </w:rPr>
          <w:t>PoP0</w:t>
        </w:r>
        <w:r w:rsidRPr="00C9711D">
          <w:rPr>
            <w:rFonts w:asciiTheme="majorHAnsi" w:hAnsiTheme="majorHAnsi"/>
            <w:lang w:val="en-US"/>
          </w:rPr>
          <w:t xml:space="preserve">, </w:t>
        </w:r>
        <w:r w:rsidRPr="00C9711D">
          <w:rPr>
            <w:rStyle w:val="VerbatimChar"/>
            <w:rFonts w:asciiTheme="majorHAnsi" w:eastAsiaTheme="minorHAnsi" w:hAnsiTheme="majorHAnsi"/>
            <w:lang w:val="en-US"/>
          </w:rPr>
          <w:t>LF0</w:t>
        </w:r>
        <w:r w:rsidRPr="00C9711D">
          <w:rPr>
            <w:rFonts w:asciiTheme="majorHAnsi" w:hAnsiTheme="majorHAnsi"/>
            <w:lang w:val="en-US"/>
          </w:rPr>
          <w:t xml:space="preserve">, </w:t>
        </w:r>
        <w:r w:rsidRPr="00C9711D">
          <w:rPr>
            <w:rStyle w:val="VerbatimChar"/>
            <w:rFonts w:asciiTheme="majorHAnsi" w:eastAsiaTheme="minorHAnsi" w:hAnsiTheme="majorHAnsi"/>
            <w:lang w:val="en-US"/>
          </w:rPr>
          <w:t>H0</w:t>
        </w:r>
        <w:r w:rsidRPr="00C9711D">
          <w:rPr>
            <w:rFonts w:asciiTheme="majorHAnsi" w:hAnsiTheme="majorHAnsi"/>
            <w:lang w:val="en-US"/>
          </w:rPr>
          <w:t xml:space="preserve">, </w:t>
        </w:r>
        <w:r w:rsidRPr="00C9711D">
          <w:rPr>
            <w:rStyle w:val="VerbatimChar"/>
            <w:rFonts w:asciiTheme="majorHAnsi" w:eastAsiaTheme="minorHAnsi" w:hAnsiTheme="majorHAnsi"/>
            <w:lang w:val="en-US"/>
          </w:rPr>
          <w:t>E0</w:t>
        </w:r>
        <w:r w:rsidRPr="00C9711D">
          <w:rPr>
            <w:rFonts w:asciiTheme="majorHAnsi" w:hAnsiTheme="majorHAnsi"/>
            <w:lang w:val="en-US"/>
          </w:rPr>
          <w:t xml:space="preserve">, </w:t>
        </w:r>
        <w:r w:rsidRPr="00C9711D">
          <w:rPr>
            <w:rStyle w:val="VerbatimChar"/>
            <w:rFonts w:asciiTheme="majorHAnsi" w:eastAsiaTheme="minorHAnsi" w:hAnsiTheme="majorHAnsi"/>
            <w:lang w:val="en-US"/>
          </w:rPr>
          <w:t>PE0</w:t>
        </w:r>
        <w:r w:rsidRPr="00C9711D">
          <w:rPr>
            <w:rFonts w:asciiTheme="majorHAnsi" w:hAnsiTheme="majorHAnsi"/>
            <w:lang w:val="en-US"/>
          </w:rPr>
          <w:t xml:space="preserve">, …) — read from </w:t>
        </w:r>
        <w:r w:rsidRPr="00C9711D">
          <w:rPr>
            <w:rStyle w:val="VerbatimChar"/>
            <w:rFonts w:asciiTheme="majorHAnsi" w:eastAsiaTheme="minorHAnsi" w:hAnsiTheme="majorHAnsi"/>
            <w:lang w:val="en-US"/>
          </w:rPr>
          <w:t>Start</w:t>
        </w:r>
        <w:r w:rsidRPr="00C9711D">
          <w:rPr>
            <w:rFonts w:asciiTheme="majorHAnsi" w:hAnsiTheme="majorHAnsi"/>
            <w:lang w:val="en-US"/>
          </w:rPr>
          <w:t xml:space="preserve"> when available.</w:t>
        </w:r>
      </w:ins>
    </w:p>
    <w:p w14:paraId="479F2FCE" w14:textId="78864CFB" w:rsidR="00FE754E" w:rsidRPr="00C9711D" w:rsidRDefault="00FE754E" w:rsidP="00A5230E">
      <w:pPr>
        <w:pStyle w:val="Compact"/>
        <w:numPr>
          <w:ilvl w:val="0"/>
          <w:numId w:val="4"/>
        </w:numPr>
        <w:spacing w:line="240" w:lineRule="auto"/>
        <w:rPr>
          <w:ins w:id="181" w:author="Heinisch, Katja" w:date="2026-07-27T09:22:00Z" w16du:dateUtc="2026-07-27T07:22:00Z"/>
          <w:rFonts w:asciiTheme="majorHAnsi" w:hAnsiTheme="majorHAnsi"/>
          <w:lang w:val="en-US"/>
        </w:rPr>
      </w:pPr>
      <w:ins w:id="182" w:author="Heinisch, Katja" w:date="2026-07-27T09:22:00Z" w16du:dateUtc="2026-07-27T07:22:00Z">
        <w:r w:rsidRPr="00C9711D">
          <w:rPr>
            <w:rFonts w:asciiTheme="majorHAnsi" w:hAnsiTheme="majorHAnsi"/>
            <w:b/>
            <w:bCs/>
            <w:lang w:val="en-US"/>
          </w:rPr>
          <w:t>Residual calibration parameters</w:t>
        </w:r>
        <w:r w:rsidRPr="00C9711D">
          <w:rPr>
            <w:rFonts w:asciiTheme="majorHAnsi" w:hAnsiTheme="majorHAnsi"/>
            <w:lang w:val="en-US"/>
          </w:rPr>
          <w:t>, including productivity levels, CES share parameters, labour-disutility parameters, and emission coefficients, which are determined endogenously to ensure that the model exactly reproduces the observed benchmark equilibrium</w:t>
        </w:r>
        <w:r w:rsidR="00C20E0F" w:rsidRPr="00C9711D">
          <w:rPr>
            <w:rFonts w:asciiTheme="majorHAnsi" w:hAnsiTheme="majorHAnsi"/>
            <w:lang w:val="en-US"/>
          </w:rPr>
          <w:t xml:space="preserve"> (CES weights, emission intensities </w:t>
        </w:r>
        <w:r w:rsidR="00C20E0F" w:rsidRPr="00C9711D">
          <w:rPr>
            <w:rStyle w:val="VerbatimChar"/>
            <w:rFonts w:asciiTheme="majorHAnsi" w:eastAsiaTheme="minorHAnsi" w:hAnsiTheme="majorHAnsi"/>
            <w:lang w:val="en-US"/>
          </w:rPr>
          <w:t>kappaE</w:t>
        </w:r>
        <w:r w:rsidR="00C20E0F" w:rsidRPr="00C9711D">
          <w:rPr>
            <w:rFonts w:asciiTheme="majorHAnsi" w:hAnsiTheme="majorHAnsi"/>
            <w:lang w:val="en-US"/>
          </w:rPr>
          <w:t xml:space="preserve">, labor disutility weights, TFP levels </w:t>
        </w:r>
        <w:r w:rsidR="00C20E0F" w:rsidRPr="00C9711D">
          <w:rPr>
            <w:rStyle w:val="VerbatimChar"/>
            <w:rFonts w:asciiTheme="majorHAnsi" w:eastAsiaTheme="minorHAnsi" w:hAnsiTheme="majorHAnsi"/>
            <w:lang w:val="en-US"/>
          </w:rPr>
          <w:t>A_s</w:t>
        </w:r>
        <w:r w:rsidR="00C20E0F" w:rsidRPr="00C9711D">
          <w:rPr>
            <w:rFonts w:asciiTheme="majorHAnsi" w:hAnsiTheme="majorHAnsi"/>
            <w:lang w:val="en-US"/>
          </w:rPr>
          <w:t xml:space="preserve">, </w:t>
        </w:r>
        <w:r w:rsidR="00C20E0F" w:rsidRPr="00C9711D">
          <w:rPr>
            <w:rStyle w:val="VerbatimChar"/>
            <w:rFonts w:asciiTheme="majorHAnsi" w:eastAsiaTheme="minorHAnsi" w:hAnsiTheme="majorHAnsi"/>
            <w:lang w:val="en-US"/>
          </w:rPr>
          <w:t>rf0</w:t>
        </w:r>
        <w:r w:rsidR="00C20E0F" w:rsidRPr="00C9711D">
          <w:rPr>
            <w:rFonts w:asciiTheme="majorHAnsi" w:hAnsiTheme="majorHAnsi"/>
            <w:lang w:val="en-US"/>
          </w:rPr>
          <w:t>)</w:t>
        </w:r>
        <w:r w:rsidRPr="00C9711D">
          <w:rPr>
            <w:rFonts w:asciiTheme="majorHAnsi" w:hAnsiTheme="majorHAnsi"/>
            <w:lang w:val="en-US"/>
          </w:rPr>
          <w:t xml:space="preserve">. </w:t>
        </w:r>
      </w:ins>
    </w:p>
    <w:p w14:paraId="40F9BFB0" w14:textId="77777777" w:rsidR="00FE754E" w:rsidRPr="00C9711D" w:rsidRDefault="00FE754E" w:rsidP="004915C4">
      <w:pPr>
        <w:pStyle w:val="IWHFlietext"/>
        <w:rPr>
          <w:ins w:id="183" w:author="Heinisch, Katja" w:date="2026-07-27T09:22:00Z" w16du:dateUtc="2026-07-27T07:22:00Z"/>
          <w:lang w:val="en-US"/>
        </w:rPr>
      </w:pPr>
      <w:ins w:id="184" w:author="Heinisch, Katja" w:date="2026-07-27T09:22:00Z" w16du:dateUtc="2026-07-27T07:22:00Z">
        <w:r w:rsidRPr="00C9711D">
          <w:rPr>
            <w:lang w:val="en-US"/>
          </w:rPr>
          <w:t>This combination allows the model to remain closely aligned with observed economic data while preserving internal consistency between the theoretical structure and the empirical calibration.</w:t>
        </w:r>
      </w:ins>
    </w:p>
    <w:p w14:paraId="13B03571" w14:textId="77777777" w:rsidR="00C20E0F" w:rsidRPr="00C9711D" w:rsidRDefault="001314FA" w:rsidP="004915C4">
      <w:pPr>
        <w:pStyle w:val="IWHFlietext"/>
        <w:rPr>
          <w:ins w:id="185" w:author="Heinisch, Katja" w:date="2026-07-27T09:22:00Z" w16du:dateUtc="2026-07-27T07:22:00Z"/>
          <w:lang w:val="en-US"/>
        </w:rPr>
      </w:pPr>
      <w:r w:rsidRPr="00C9711D">
        <w:rPr>
          <w:lang w:val="en-US"/>
        </w:rPr>
        <w:t xml:space="preserve">The 5-sector, 1-region model is driven by three workbooks: </w:t>
      </w:r>
    </w:p>
    <w:p w14:paraId="1172A975" w14:textId="0FA6F922" w:rsidR="00C20E0F" w:rsidRPr="00C9711D" w:rsidRDefault="001314FA" w:rsidP="00A5230E">
      <w:pPr>
        <w:pStyle w:val="FirstParagraph"/>
        <w:numPr>
          <w:ilvl w:val="0"/>
          <w:numId w:val="7"/>
        </w:numPr>
        <w:spacing w:before="180" w:after="180" w:line="240" w:lineRule="auto"/>
        <w:rPr>
          <w:ins w:id="186" w:author="Heinisch, Katja" w:date="2026-07-27T09:22:00Z" w16du:dateUtc="2026-07-27T07:22:00Z"/>
          <w:lang w:val="en-US"/>
        </w:rPr>
      </w:pPr>
      <w:r w:rsidRPr="00C9711D">
        <w:rPr>
          <w:rStyle w:val="VerbatimChar"/>
          <w:rFonts w:eastAsiaTheme="minorHAnsi"/>
          <w:lang w:val="en-US"/>
        </w:rPr>
        <w:t>ExcelFiles/ModelCalibration5Sectorsand1Regions.xlsx</w:t>
      </w:r>
      <w:r w:rsidRPr="00C9711D">
        <w:rPr>
          <w:lang w:val="en-US"/>
        </w:rPr>
        <w:t xml:space="preserve"> (calibration inputs and named ranges), </w:t>
      </w:r>
    </w:p>
    <w:p w14:paraId="293B9FFF" w14:textId="77777777" w:rsidR="001314FA" w:rsidRPr="00C9711D" w:rsidRDefault="001314FA" w:rsidP="001314FA">
      <w:pPr>
        <w:pStyle w:val="IWHFlietext"/>
        <w:rPr>
          <w:lang w:val="en-US"/>
        </w:rPr>
      </w:pPr>
      <w:r w:rsidRPr="00C9711D">
        <w:rPr>
          <w:rStyle w:val="VerbatimChar"/>
          <w:rFonts w:eastAsiaTheme="minorHAnsi"/>
          <w:lang w:val="en-US"/>
        </w:rPr>
        <w:t>ExcelFiles/ModelBaseline5Sectorsand1Regions.xlsx</w:t>
      </w:r>
      <w:r w:rsidRPr="00C9711D">
        <w:rPr>
          <w:lang w:val="en-US"/>
        </w:rPr>
        <w:t xml:space="preserve"> (the split baseline path, built </w:t>
      </w:r>
      <w:r w:rsidRPr="00C9711D">
        <w:rPr>
          <w:rStyle w:val="VerbatimChar"/>
          <w:rFonts w:eastAsiaTheme="minorHAnsi"/>
          <w:lang w:val="en-US"/>
        </w:rPr>
        <w:t>Baseline_Input → Baseline_calc → Baseline_Implied → Baseline</w:t>
      </w:r>
      <w:r w:rsidRPr="00C9711D">
        <w:rPr>
          <w:lang w:val="en-US"/>
        </w:rPr>
        <w:t xml:space="preserve">), and </w:t>
      </w:r>
      <w:del w:id="187" w:author="Heinisch, Katja" w:date="2026-07-27T09:22:00Z" w16du:dateUtc="2026-07-27T07:22:00Z">
        <w:r w:rsidRPr="00C9711D">
          <w:rPr>
            <w:rStyle w:val="VerbatimChar"/>
            <w:rFonts w:eastAsiaTheme="minorHAnsi"/>
            <w:lang w:val="en-US"/>
          </w:rPr>
          <w:delText>ExcelFiles/ModelScenarios5Sectorsand1Regions.xlsx</w:delText>
        </w:r>
        <w:r w:rsidRPr="00C9711D">
          <w:rPr>
            <w:lang w:val="en-US"/>
          </w:rPr>
          <w:delText xml:space="preserve"> (scenario shock paths).</w:delText>
        </w:r>
      </w:del>
    </w:p>
    <w:p w14:paraId="290B4038" w14:textId="5116C56B" w:rsidR="00C70881" w:rsidRPr="00C9711D" w:rsidRDefault="00A5230E" w:rsidP="00A5230E">
      <w:pPr>
        <w:pStyle w:val="FirstParagraph"/>
        <w:numPr>
          <w:ilvl w:val="0"/>
          <w:numId w:val="7"/>
        </w:numPr>
        <w:spacing w:before="180" w:after="180" w:line="240" w:lineRule="auto"/>
        <w:rPr>
          <w:ins w:id="188" w:author="Heinisch, Katja" w:date="2026-07-27T09:22:00Z" w16du:dateUtc="2026-07-27T07:22:00Z"/>
          <w:lang w:val="en-US"/>
        </w:rPr>
      </w:pPr>
      <w:ins w:id="189" w:author="Heinisch, Katja" w:date="2026-07-27T09:22:00Z" w16du:dateUtc="2026-07-27T07:22:00Z">
        <w:r w:rsidRPr="00C9711D">
          <w:rPr>
            <w:rStyle w:val="VerbatimChar"/>
            <w:rFonts w:eastAsiaTheme="minorHAnsi"/>
            <w:lang w:val="en-US"/>
          </w:rPr>
          <w:t>ExcelFiles/ModelScenarios5Sectorsand1Regions.xlsx</w:t>
        </w:r>
        <w:r w:rsidRPr="00C9711D">
          <w:rPr>
            <w:lang w:val="en-US"/>
          </w:rPr>
          <w:t xml:space="preserve"> (scenario shock paths).</w:t>
        </w:r>
      </w:ins>
    </w:p>
    <w:p w14:paraId="185EF14F" w14:textId="0176297A" w:rsidR="00C70881" w:rsidRPr="00C9711D" w:rsidRDefault="00C70881" w:rsidP="00A5230E">
      <w:pPr>
        <w:pStyle w:val="Compact"/>
        <w:numPr>
          <w:ilvl w:val="0"/>
          <w:numId w:val="4"/>
        </w:numPr>
        <w:spacing w:line="240" w:lineRule="auto"/>
        <w:rPr>
          <w:ins w:id="190" w:author="Heinisch, Katja" w:date="2026-07-27T09:22:00Z" w16du:dateUtc="2026-07-27T07:22:00Z"/>
          <w:lang w:val="en-US"/>
        </w:rPr>
      </w:pPr>
    </w:p>
    <w:p w14:paraId="6F75BDAB" w14:textId="77777777" w:rsidR="001314FA" w:rsidRPr="00C9711D" w:rsidRDefault="001314FA" w:rsidP="001314FA">
      <w:pPr>
        <w:pStyle w:val="IWHFlietext"/>
        <w:rPr>
          <w:del w:id="191" w:author="Heinisch, Katja" w:date="2026-07-27T09:22:00Z" w16du:dateUtc="2026-07-27T07:22:00Z"/>
          <w:lang w:val="en-US"/>
        </w:rPr>
      </w:pPr>
      <w:del w:id="192" w:author="Heinisch, Katja" w:date="2026-07-27T09:22:00Z" w16du:dateUtc="2026-07-27T07:22:00Z">
        <w:r w:rsidRPr="00C9711D">
          <w:rPr>
            <w:lang w:val="en-US"/>
          </w:rPr>
          <w:delText>Calibration mixes four distinct types of input, and keeping them separate is essential to interpreting results correctly:</w:delText>
        </w:r>
      </w:del>
    </w:p>
    <w:p w14:paraId="12FA46A1" w14:textId="77777777" w:rsidR="001314FA" w:rsidRPr="00C9711D" w:rsidRDefault="001314FA" w:rsidP="00A5230E">
      <w:pPr>
        <w:pStyle w:val="Compact"/>
        <w:numPr>
          <w:ilvl w:val="0"/>
          <w:numId w:val="4"/>
        </w:numPr>
        <w:rPr>
          <w:del w:id="193" w:author="Heinisch, Katja" w:date="2026-07-27T09:22:00Z" w16du:dateUtc="2026-07-27T07:22:00Z"/>
          <w:lang w:val="en-US"/>
        </w:rPr>
      </w:pPr>
      <w:del w:id="194" w:author="Heinisch, Katja" w:date="2026-07-27T09:22:00Z" w16du:dateUtc="2026-07-27T07:22:00Z">
        <w:r w:rsidRPr="00C9711D">
          <w:rPr>
            <w:b/>
            <w:bCs/>
            <w:lang w:val="en-US"/>
          </w:rPr>
          <w:delText>Observed or targeted baseline shares</w:delText>
        </w:r>
        <w:r w:rsidRPr="00C9711D">
          <w:rPr>
            <w:lang w:val="en-US"/>
          </w:rPr>
          <w:delText xml:space="preserve"> (</w:delText>
        </w:r>
        <w:r w:rsidRPr="00C9711D">
          <w:rPr>
            <w:rStyle w:val="VerbatimChar"/>
            <w:rFonts w:eastAsiaTheme="minorHAnsi"/>
            <w:lang w:val="en-US"/>
          </w:rPr>
          <w:delText>phiY0</w:delText>
        </w:r>
        <w:r w:rsidRPr="00C9711D">
          <w:rPr>
            <w:lang w:val="en-US"/>
          </w:rPr>
          <w:delText xml:space="preserve">, </w:delText>
        </w:r>
        <w:r w:rsidRPr="00C9711D">
          <w:rPr>
            <w:rStyle w:val="VerbatimChar"/>
            <w:rFonts w:eastAsiaTheme="minorHAnsi"/>
            <w:lang w:val="en-US"/>
          </w:rPr>
          <w:delText>phiN0</w:delText>
        </w:r>
        <w:r w:rsidRPr="00C9711D">
          <w:rPr>
            <w:lang w:val="en-US"/>
          </w:rPr>
          <w:delText xml:space="preserve">, </w:delText>
        </w:r>
        <w:r w:rsidRPr="00C9711D">
          <w:rPr>
            <w:rStyle w:val="VerbatimChar"/>
            <w:rFonts w:eastAsiaTheme="minorHAnsi"/>
            <w:lang w:val="en-US"/>
          </w:rPr>
          <w:delText>phiW</w:delText>
        </w:r>
        <w:r w:rsidRPr="00C9711D">
          <w:rPr>
            <w:lang w:val="en-US"/>
          </w:rPr>
          <w:delText xml:space="preserve">, </w:delText>
        </w:r>
        <w:r w:rsidRPr="00C9711D">
          <w:rPr>
            <w:rStyle w:val="VerbatimChar"/>
            <w:rFonts w:eastAsiaTheme="minorHAnsi"/>
            <w:lang w:val="en-US"/>
          </w:rPr>
          <w:delText>phiX</w:delText>
        </w:r>
        <w:r w:rsidRPr="00C9711D">
          <w:rPr>
            <w:lang w:val="en-US"/>
          </w:rPr>
          <w:delText xml:space="preserve">, </w:delText>
        </w:r>
        <w:r w:rsidRPr="00C9711D">
          <w:rPr>
            <w:rStyle w:val="VerbatimChar"/>
            <w:rFonts w:eastAsiaTheme="minorHAnsi"/>
            <w:lang w:val="en-US"/>
          </w:rPr>
          <w:delText>phiQI</w:delText>
        </w:r>
        <w:r w:rsidRPr="00C9711D">
          <w:rPr>
            <w:lang w:val="en-US"/>
          </w:rPr>
          <w:delText>, …) — read directly from workbook sheets.</w:delText>
        </w:r>
      </w:del>
    </w:p>
    <w:p w14:paraId="26744B8F" w14:textId="77777777" w:rsidR="001314FA" w:rsidRPr="00C9711D" w:rsidRDefault="001314FA" w:rsidP="00A5230E">
      <w:pPr>
        <w:pStyle w:val="Compact"/>
        <w:numPr>
          <w:ilvl w:val="0"/>
          <w:numId w:val="4"/>
        </w:numPr>
        <w:rPr>
          <w:del w:id="195" w:author="Heinisch, Katja" w:date="2026-07-27T09:22:00Z" w16du:dateUtc="2026-07-27T07:22:00Z"/>
          <w:lang w:val="en-US"/>
        </w:rPr>
      </w:pPr>
      <w:del w:id="196" w:author="Heinisch, Katja" w:date="2026-07-27T09:22:00Z" w16du:dateUtc="2026-07-27T07:22:00Z">
        <w:r w:rsidRPr="00C9711D">
          <w:rPr>
            <w:b/>
            <w:bCs/>
            <w:lang w:val="en-US"/>
          </w:rPr>
          <w:delText>Structural assumptions</w:delText>
        </w:r>
        <w:r w:rsidRPr="00C9711D">
          <w:rPr>
            <w:lang w:val="en-US"/>
          </w:rPr>
          <w:delText xml:space="preserve"> (</w:delText>
        </w:r>
        <w:r w:rsidRPr="00C9711D">
          <w:rPr>
            <w:rStyle w:val="VerbatimChar"/>
            <w:rFonts w:eastAsiaTheme="minorHAnsi"/>
            <w:lang w:val="en-US"/>
          </w:rPr>
          <w:delText>beta</w:delText>
        </w:r>
        <w:r w:rsidRPr="00C9711D">
          <w:rPr>
            <w:lang w:val="en-US"/>
          </w:rPr>
          <w:delText xml:space="preserve">, </w:delText>
        </w:r>
        <w:r w:rsidRPr="00C9711D">
          <w:rPr>
            <w:rStyle w:val="VerbatimChar"/>
            <w:rFonts w:eastAsiaTheme="minorHAnsi"/>
            <w:lang w:val="en-US"/>
          </w:rPr>
          <w:delText>delta</w:delText>
        </w:r>
        <w:r w:rsidRPr="00C9711D">
          <w:rPr>
            <w:lang w:val="en-US"/>
          </w:rPr>
          <w:delText xml:space="preserve">, </w:delText>
        </w:r>
        <w:r w:rsidRPr="00C9711D">
          <w:rPr>
            <w:rStyle w:val="VerbatimChar"/>
            <w:rFonts w:eastAsiaTheme="minorHAnsi"/>
            <w:lang w:val="en-US"/>
          </w:rPr>
          <w:delText>sigmaL</w:delText>
        </w:r>
        <w:r w:rsidRPr="00C9711D">
          <w:rPr>
            <w:lang w:val="en-US"/>
          </w:rPr>
          <w:delText xml:space="preserve">, </w:delText>
        </w:r>
        <w:r w:rsidRPr="00C9711D">
          <w:rPr>
            <w:rStyle w:val="VerbatimChar"/>
            <w:rFonts w:eastAsiaTheme="minorHAnsi"/>
            <w:lang w:val="en-US"/>
          </w:rPr>
          <w:delText>sigmaC</w:delText>
        </w:r>
        <w:r w:rsidRPr="00C9711D">
          <w:rPr>
            <w:lang w:val="en-US"/>
          </w:rPr>
          <w:delText xml:space="preserve">, CES elasticities, tax rates) — read from the </w:delText>
        </w:r>
        <w:r w:rsidRPr="00C9711D">
          <w:rPr>
            <w:rStyle w:val="VerbatimChar"/>
            <w:rFonts w:eastAsiaTheme="minorHAnsi"/>
            <w:lang w:val="en-US"/>
          </w:rPr>
          <w:delText>Structural Parameters</w:delText>
        </w:r>
        <w:r w:rsidRPr="00C9711D">
          <w:rPr>
            <w:lang w:val="en-US"/>
          </w:rPr>
          <w:delText xml:space="preserve"> sheet or left at code defaults.</w:delText>
        </w:r>
      </w:del>
    </w:p>
    <w:p w14:paraId="568361D9" w14:textId="77777777" w:rsidR="001314FA" w:rsidRPr="00C9711D" w:rsidRDefault="001314FA" w:rsidP="00A5230E">
      <w:pPr>
        <w:pStyle w:val="Compact"/>
        <w:numPr>
          <w:ilvl w:val="0"/>
          <w:numId w:val="4"/>
        </w:numPr>
        <w:rPr>
          <w:del w:id="197" w:author="Heinisch, Katja" w:date="2026-07-27T09:22:00Z" w16du:dateUtc="2026-07-27T07:22:00Z"/>
          <w:lang w:val="en-US"/>
        </w:rPr>
      </w:pPr>
      <w:del w:id="198" w:author="Heinisch, Katja" w:date="2026-07-27T09:22:00Z" w16du:dateUtc="2026-07-27T07:22:00Z">
        <w:r w:rsidRPr="00C9711D">
          <w:rPr>
            <w:b/>
            <w:bCs/>
            <w:lang w:val="en-US"/>
          </w:rPr>
          <w:delText>Initial levels / macro closures</w:delText>
        </w:r>
        <w:r w:rsidRPr="00C9711D">
          <w:rPr>
            <w:lang w:val="en-US"/>
          </w:rPr>
          <w:delText xml:space="preserve"> (</w:delText>
        </w:r>
        <w:r w:rsidRPr="00C9711D">
          <w:rPr>
            <w:rStyle w:val="VerbatimChar"/>
            <w:rFonts w:eastAsiaTheme="minorHAnsi"/>
            <w:lang w:val="en-US"/>
          </w:rPr>
          <w:delText>Y0</w:delText>
        </w:r>
        <w:r w:rsidRPr="00C9711D">
          <w:rPr>
            <w:lang w:val="en-US"/>
          </w:rPr>
          <w:delText xml:space="preserve">, </w:delText>
        </w:r>
        <w:r w:rsidRPr="00C9711D">
          <w:rPr>
            <w:rStyle w:val="VerbatimChar"/>
            <w:rFonts w:eastAsiaTheme="minorHAnsi"/>
            <w:lang w:val="en-US"/>
          </w:rPr>
          <w:delText>N0</w:delText>
        </w:r>
        <w:r w:rsidRPr="00C9711D">
          <w:rPr>
            <w:lang w:val="en-US"/>
          </w:rPr>
          <w:delText xml:space="preserve">, </w:delText>
        </w:r>
        <w:r w:rsidRPr="00C9711D">
          <w:rPr>
            <w:rStyle w:val="VerbatimChar"/>
            <w:rFonts w:eastAsiaTheme="minorHAnsi"/>
            <w:lang w:val="en-US"/>
          </w:rPr>
          <w:delText>PoP0</w:delText>
        </w:r>
        <w:r w:rsidRPr="00C9711D">
          <w:rPr>
            <w:lang w:val="en-US"/>
          </w:rPr>
          <w:delText xml:space="preserve">, </w:delText>
        </w:r>
        <w:r w:rsidRPr="00C9711D">
          <w:rPr>
            <w:rStyle w:val="VerbatimChar"/>
            <w:rFonts w:eastAsiaTheme="minorHAnsi"/>
            <w:lang w:val="en-US"/>
          </w:rPr>
          <w:delText>LF0</w:delText>
        </w:r>
        <w:r w:rsidRPr="00C9711D">
          <w:rPr>
            <w:lang w:val="en-US"/>
          </w:rPr>
          <w:delText xml:space="preserve">, </w:delText>
        </w:r>
        <w:r w:rsidRPr="00C9711D">
          <w:rPr>
            <w:rStyle w:val="VerbatimChar"/>
            <w:rFonts w:eastAsiaTheme="minorHAnsi"/>
            <w:lang w:val="en-US"/>
          </w:rPr>
          <w:delText>H0</w:delText>
        </w:r>
        <w:r w:rsidRPr="00C9711D">
          <w:rPr>
            <w:lang w:val="en-US"/>
          </w:rPr>
          <w:delText xml:space="preserve">, </w:delText>
        </w:r>
        <w:r w:rsidRPr="00C9711D">
          <w:rPr>
            <w:rStyle w:val="VerbatimChar"/>
            <w:rFonts w:eastAsiaTheme="minorHAnsi"/>
            <w:lang w:val="en-US"/>
          </w:rPr>
          <w:delText>E0</w:delText>
        </w:r>
        <w:r w:rsidRPr="00C9711D">
          <w:rPr>
            <w:lang w:val="en-US"/>
          </w:rPr>
          <w:delText xml:space="preserve">, </w:delText>
        </w:r>
        <w:r w:rsidRPr="00C9711D">
          <w:rPr>
            <w:rStyle w:val="VerbatimChar"/>
            <w:rFonts w:eastAsiaTheme="minorHAnsi"/>
            <w:lang w:val="en-US"/>
          </w:rPr>
          <w:delText>PE0</w:delText>
        </w:r>
        <w:r w:rsidRPr="00C9711D">
          <w:rPr>
            <w:lang w:val="en-US"/>
          </w:rPr>
          <w:delText xml:space="preserve">, …) — read from </w:delText>
        </w:r>
        <w:r w:rsidRPr="00C9711D">
          <w:rPr>
            <w:rStyle w:val="VerbatimChar"/>
            <w:rFonts w:eastAsiaTheme="minorHAnsi"/>
            <w:lang w:val="en-US"/>
          </w:rPr>
          <w:delText>Start</w:delText>
        </w:r>
        <w:r w:rsidRPr="00C9711D">
          <w:rPr>
            <w:lang w:val="en-US"/>
          </w:rPr>
          <w:delText xml:space="preserve"> when available.</w:delText>
        </w:r>
      </w:del>
    </w:p>
    <w:p w14:paraId="094DA4D1" w14:textId="77777777" w:rsidR="001314FA" w:rsidRPr="00C9711D" w:rsidRDefault="001314FA" w:rsidP="00A5230E">
      <w:pPr>
        <w:pStyle w:val="Compact"/>
        <w:numPr>
          <w:ilvl w:val="0"/>
          <w:numId w:val="4"/>
        </w:numPr>
        <w:rPr>
          <w:del w:id="199" w:author="Heinisch, Katja" w:date="2026-07-27T09:22:00Z" w16du:dateUtc="2026-07-27T07:22:00Z"/>
          <w:lang w:val="en-US"/>
        </w:rPr>
      </w:pPr>
      <w:del w:id="200" w:author="Heinisch, Katja" w:date="2026-07-27T09:22:00Z" w16du:dateUtc="2026-07-27T07:22:00Z">
        <w:r w:rsidRPr="00C9711D">
          <w:rPr>
            <w:b/>
            <w:bCs/>
            <w:lang w:val="en-US"/>
          </w:rPr>
          <w:delText>Solved residual parameters</w:delText>
        </w:r>
        <w:r w:rsidRPr="00C9711D">
          <w:rPr>
            <w:lang w:val="en-US"/>
          </w:rPr>
          <w:delText xml:space="preserve"> (CES weights, emission intensities </w:delText>
        </w:r>
        <w:r w:rsidRPr="00C9711D">
          <w:rPr>
            <w:rStyle w:val="VerbatimChar"/>
            <w:rFonts w:eastAsiaTheme="minorHAnsi"/>
            <w:lang w:val="en-US"/>
          </w:rPr>
          <w:delText>kappaE</w:delText>
        </w:r>
        <w:r w:rsidRPr="00C9711D">
          <w:rPr>
            <w:lang w:val="en-US"/>
          </w:rPr>
          <w:delText xml:space="preserve">, labor disutility weights, TFP levels </w:delText>
        </w:r>
        <w:r w:rsidRPr="00C9711D">
          <w:rPr>
            <w:rStyle w:val="VerbatimChar"/>
            <w:rFonts w:eastAsiaTheme="minorHAnsi"/>
            <w:lang w:val="en-US"/>
          </w:rPr>
          <w:delText>A_s</w:delText>
        </w:r>
        <w:r w:rsidRPr="00C9711D">
          <w:rPr>
            <w:lang w:val="en-US"/>
          </w:rPr>
          <w:delText xml:space="preserve">, </w:delText>
        </w:r>
        <w:r w:rsidRPr="00C9711D">
          <w:rPr>
            <w:rStyle w:val="VerbatimChar"/>
            <w:rFonts w:eastAsiaTheme="minorHAnsi"/>
            <w:lang w:val="en-US"/>
          </w:rPr>
          <w:delText>rf0</w:delText>
        </w:r>
        <w:r w:rsidRPr="00C9711D">
          <w:rPr>
            <w:lang w:val="en-US"/>
          </w:rPr>
          <w:delText>) — backed out inside the steady-state routines so the baseline is internally consistent.</w:delText>
        </w:r>
      </w:del>
    </w:p>
    <w:p w14:paraId="566FC83A" w14:textId="77777777" w:rsidR="00C20E0F" w:rsidRPr="00C9711D" w:rsidRDefault="001314FA">
      <w:pPr>
        <w:pStyle w:val="FirstParagraph"/>
        <w:rPr>
          <w:ins w:id="201" w:author="Heinisch, Katja" w:date="2026-07-27T09:22:00Z" w16du:dateUtc="2026-07-27T07:22:00Z"/>
          <w:lang w:val="en-US"/>
        </w:rPr>
      </w:pPr>
      <w:r w:rsidRPr="00C9711D">
        <w:rPr>
          <w:lang w:val="en-US"/>
        </w:rPr>
        <w:t xml:space="preserve">The model is calibrated in three stages: </w:t>
      </w:r>
    </w:p>
    <w:p w14:paraId="1D62084C" w14:textId="2D21EA9D" w:rsidR="00C20E0F" w:rsidRPr="00C9711D" w:rsidRDefault="001314FA" w:rsidP="00A5230E">
      <w:pPr>
        <w:pStyle w:val="FirstParagraph"/>
        <w:numPr>
          <w:ilvl w:val="0"/>
          <w:numId w:val="8"/>
        </w:numPr>
        <w:spacing w:before="180" w:after="180" w:line="240" w:lineRule="auto"/>
        <w:rPr>
          <w:ins w:id="202" w:author="Heinisch, Katja" w:date="2026-07-27T09:22:00Z" w16du:dateUtc="2026-07-27T07:22:00Z"/>
          <w:lang w:val="en-US"/>
        </w:rPr>
      </w:pPr>
      <w:del w:id="203" w:author="Heinisch, Katja" w:date="2026-07-27T09:22:00Z" w16du:dateUtc="2026-07-27T07:22:00Z">
        <w:r w:rsidRPr="00C9711D">
          <w:rPr>
            <w:lang w:val="en-US"/>
          </w:rPr>
          <w:delText xml:space="preserve">(i) </w:delText>
        </w:r>
      </w:del>
      <w:r w:rsidRPr="00C9711D">
        <w:rPr>
          <w:rStyle w:val="VerbatimChar"/>
          <w:rFonts w:eastAsiaTheme="minorHAnsi"/>
          <w:lang w:val="en-US"/>
        </w:rPr>
        <w:t>lCalibration_p = 1</w:t>
      </w:r>
      <w:r w:rsidRPr="00C9711D">
        <w:rPr>
          <w:lang w:val="en-US"/>
        </w:rPr>
        <w:t xml:space="preserve"> builds the baseline steady state and solves residual parameters via </w:t>
      </w:r>
      <w:r w:rsidRPr="00C9711D">
        <w:rPr>
          <w:rStyle w:val="VerbatimChar"/>
          <w:rFonts w:eastAsiaTheme="minorHAnsi"/>
          <w:lang w:val="en-US"/>
        </w:rPr>
        <w:t>fsolve</w:t>
      </w:r>
      <w:r w:rsidRPr="00C9711D">
        <w:rPr>
          <w:lang w:val="en-US"/>
        </w:rPr>
        <w:t xml:space="preserve">; </w:t>
      </w:r>
    </w:p>
    <w:p w14:paraId="533CAB69" w14:textId="77777777" w:rsidR="004915C4" w:rsidRPr="00C9711D" w:rsidRDefault="001314FA" w:rsidP="00A5230E">
      <w:pPr>
        <w:pStyle w:val="FirstParagraph"/>
        <w:numPr>
          <w:ilvl w:val="0"/>
          <w:numId w:val="8"/>
        </w:numPr>
        <w:spacing w:before="180" w:after="180" w:line="240" w:lineRule="auto"/>
        <w:rPr>
          <w:lang w:val="en-US"/>
        </w:rPr>
      </w:pPr>
      <w:del w:id="204" w:author="Heinisch, Katja" w:date="2026-07-27T09:22:00Z" w16du:dateUtc="2026-07-27T07:22:00Z">
        <w:r w:rsidRPr="00C9711D">
          <w:rPr>
            <w:lang w:val="en-US"/>
          </w:rPr>
          <w:delText xml:space="preserve">(ii) </w:delText>
        </w:r>
      </w:del>
      <w:r w:rsidRPr="00C9711D">
        <w:rPr>
          <w:rStyle w:val="VerbatimChar"/>
          <w:rFonts w:eastAsiaTheme="minorHAnsi"/>
          <w:lang w:val="en-US"/>
        </w:rPr>
        <w:t>lCalibration_p = 0</w:t>
      </w:r>
      <w:r w:rsidRPr="00C9711D">
        <w:rPr>
          <w:lang w:val="en-US"/>
        </w:rPr>
        <w:t xml:space="preserve"> re-solves the full steady state using the calibrated parameters as fixed; </w:t>
      </w:r>
    </w:p>
    <w:p w14:paraId="02B89762" w14:textId="3956D52B" w:rsidR="001314FA" w:rsidRPr="00C9711D" w:rsidRDefault="001314FA" w:rsidP="00A5230E">
      <w:pPr>
        <w:pStyle w:val="FirstParagraph"/>
        <w:numPr>
          <w:ilvl w:val="0"/>
          <w:numId w:val="8"/>
        </w:numPr>
        <w:spacing w:before="180" w:after="180" w:line="240" w:lineRule="auto"/>
        <w:rPr>
          <w:lang w:val="en-US"/>
        </w:rPr>
      </w:pPr>
      <w:del w:id="205" w:author="Heinisch, Katja" w:date="2026-07-27T09:22:00Z" w16du:dateUtc="2026-07-27T07:22:00Z">
        <w:r w:rsidRPr="00C9711D">
          <w:rPr>
            <w:lang w:val="en-US"/>
          </w:rPr>
          <w:delText xml:space="preserve">(iii) </w:delText>
        </w:r>
      </w:del>
      <w:r w:rsidRPr="00C9711D">
        <w:rPr>
          <w:lang w:val="en-US"/>
        </w:rPr>
        <w:t>non-baseline scenarios run in a hybrid mode (</w:t>
      </w:r>
      <w:r w:rsidRPr="00C9711D">
        <w:rPr>
          <w:rStyle w:val="VerbatimChar"/>
          <w:rFonts w:eastAsiaTheme="minorHAnsi"/>
          <w:lang w:val="en-US"/>
        </w:rPr>
        <w:t>lCalibration_p = 2</w:t>
      </w:r>
      <w:r w:rsidRPr="00C9711D">
        <w:rPr>
          <w:lang w:val="en-US"/>
        </w:rPr>
        <w:t xml:space="preserve">) that takes the calibrated baseline as given and applies scenario shocks. </w:t>
      </w:r>
      <w:del w:id="206" w:author="Heinisch, Katja" w:date="2026-07-27T09:22:00Z" w16du:dateUtc="2026-07-27T07:22:00Z">
        <w:r w:rsidRPr="00C9711D">
          <w:rPr>
            <w:lang w:val="en-US"/>
          </w:rPr>
          <w:delText xml:space="preserve">See </w:delText>
        </w:r>
        <w:r w:rsidRPr="00C9711D">
          <w:rPr>
            <w:lang w:val="en-US"/>
          </w:rPr>
          <w:fldChar w:fldCharType="begin"/>
        </w:r>
        <w:r w:rsidRPr="00C9711D">
          <w:rPr>
            <w:lang w:val="en-US"/>
          </w:rPr>
          <w:delInstrText>HYPERLINK "../calibration.md" \h</w:delInstrText>
        </w:r>
        <w:r w:rsidRPr="00C9711D">
          <w:rPr>
            <w:lang w:val="en-US"/>
          </w:rPr>
        </w:r>
        <w:r w:rsidRPr="00C9711D">
          <w:rPr>
            <w:lang w:val="en-US"/>
          </w:rPr>
          <w:fldChar w:fldCharType="separate"/>
        </w:r>
        <w:r w:rsidRPr="00C9711D">
          <w:rPr>
            <w:rStyle w:val="Hyperlink"/>
            <w:lang w:val="en-US"/>
          </w:rPr>
          <w:delText>calibration.md</w:delText>
        </w:r>
        <w:r w:rsidRPr="00C9711D">
          <w:rPr>
            <w:lang w:val="en-US"/>
          </w:rPr>
          <w:fldChar w:fldCharType="end"/>
        </w:r>
        <w:r w:rsidRPr="00C9711D">
          <w:rPr>
            <w:lang w:val="en-US"/>
          </w:rPr>
          <w:delText xml:space="preserve"> for the step-by-step MATLAB call sequence.</w:delText>
        </w:r>
      </w:del>
    </w:p>
    <w:p w14:paraId="0D5C1741" w14:textId="3960464C" w:rsidR="00C70881" w:rsidRPr="00C9711D" w:rsidRDefault="00A5230E" w:rsidP="004915C4">
      <w:pPr>
        <w:pStyle w:val="IWHFlietext"/>
        <w:rPr>
          <w:ins w:id="207" w:author="Heinisch, Katja" w:date="2026-07-27T09:22:00Z" w16du:dateUtc="2026-07-27T07:22:00Z"/>
          <w:lang w:val="en-US"/>
        </w:rPr>
      </w:pPr>
      <w:ins w:id="208" w:author="Heinisch, Katja" w:date="2026-07-27T09:22:00Z" w16du:dateUtc="2026-07-27T07:22:00Z">
        <w:r w:rsidRPr="00C9711D">
          <w:rPr>
            <w:lang w:val="en-US"/>
          </w:rPr>
          <w:t xml:space="preserve">See </w:t>
        </w:r>
        <w:r w:rsidRPr="00C9711D">
          <w:rPr>
            <w:lang w:val="en-US"/>
          </w:rPr>
          <w:fldChar w:fldCharType="begin"/>
        </w:r>
        <w:r w:rsidR="003C44CA" w:rsidRPr="00C9711D">
          <w:rPr>
            <w:lang w:val="en-US"/>
          </w:rPr>
          <w:instrText xml:space="preserve">HYPERLINK "C:\\Users\\nbKDL\\calibration.md" \h </w:instrText>
        </w:r>
        <w:r w:rsidRPr="00C9711D">
          <w:rPr>
            <w:lang w:val="en-US"/>
          </w:rPr>
        </w:r>
        <w:r w:rsidRPr="00C9711D">
          <w:rPr>
            <w:lang w:val="en-US"/>
          </w:rPr>
          <w:fldChar w:fldCharType="separate"/>
        </w:r>
        <w:r w:rsidRPr="00C9711D">
          <w:rPr>
            <w:rStyle w:val="Hyperlink"/>
            <w:lang w:val="en-US"/>
          </w:rPr>
          <w:t>calibration.md</w:t>
        </w:r>
        <w:r w:rsidRPr="00C9711D">
          <w:rPr>
            <w:lang w:val="en-US"/>
          </w:rPr>
          <w:fldChar w:fldCharType="end"/>
        </w:r>
        <w:r w:rsidRPr="00C9711D">
          <w:rPr>
            <w:lang w:val="en-US"/>
          </w:rPr>
          <w:t xml:space="preserve"> for the step-by-step MATLAB call sequence.</w:t>
        </w:r>
      </w:ins>
    </w:p>
    <w:p w14:paraId="14332046" w14:textId="156420E5" w:rsidR="00C20E0F" w:rsidRPr="00C9711D" w:rsidRDefault="00C20E0F" w:rsidP="004915C4">
      <w:pPr>
        <w:pStyle w:val="berschrift2"/>
        <w:rPr>
          <w:ins w:id="209" w:author="Heinisch, Katja" w:date="2026-07-27T09:22:00Z" w16du:dateUtc="2026-07-27T07:22:00Z"/>
          <w:lang w:val="en-US"/>
        </w:rPr>
      </w:pPr>
      <w:bookmarkStart w:id="210" w:name="_Toc236050656"/>
      <w:ins w:id="211" w:author="Heinisch, Katja" w:date="2026-07-27T09:22:00Z" w16du:dateUtc="2026-07-27T07:22:00Z">
        <w:r w:rsidRPr="00C9711D">
          <w:rPr>
            <w:lang w:val="en-US"/>
          </w:rPr>
          <w:t>Calibration Consistency</w:t>
        </w:r>
        <w:bookmarkEnd w:id="210"/>
      </w:ins>
    </w:p>
    <w:p w14:paraId="69EC87BE" w14:textId="77FBD905" w:rsidR="00C20E0F" w:rsidRPr="00C9711D" w:rsidRDefault="00C20E0F" w:rsidP="00446DF3">
      <w:pPr>
        <w:pStyle w:val="IWHFlietext"/>
        <w:rPr>
          <w:ins w:id="212" w:author="Heinisch, Katja" w:date="2026-07-27T09:22:00Z" w16du:dateUtc="2026-07-27T07:22:00Z"/>
          <w:lang w:val="en-US"/>
        </w:rPr>
      </w:pPr>
      <w:ins w:id="213" w:author="Heinisch, Katja" w:date="2026-07-27T09:22:00Z" w16du:dateUtc="2026-07-27T07:22:00Z">
        <w:r w:rsidRPr="00C9711D">
          <w:rPr>
            <w:lang w:val="en-US"/>
          </w:rPr>
          <w:t>An essential objective of the calibration is to ensure consistency between the model's accounting framework and Vietnam's national accounts. Particular attention is given to reproducing the benchmark structure of production, value added, intermediate demand, investment, trade, and emissions before introducing any policy shocks.</w:t>
        </w:r>
      </w:ins>
    </w:p>
    <w:p w14:paraId="7E943994" w14:textId="77777777" w:rsidR="001314FA" w:rsidRPr="00C9711D" w:rsidRDefault="00C20E0F" w:rsidP="004915C4">
      <w:pPr>
        <w:pStyle w:val="IWHFlietext"/>
        <w:rPr>
          <w:del w:id="214" w:author="Heinisch, Katja" w:date="2026-07-27T09:22:00Z" w16du:dateUtc="2026-07-27T07:22:00Z"/>
          <w:lang w:val="en-US"/>
        </w:rPr>
      </w:pPr>
      <w:ins w:id="215" w:author="Heinisch, Katja" w:date="2026-07-27T09:22:00Z" w16du:dateUtc="2026-07-27T07:22:00Z">
        <w:r w:rsidRPr="00C9711D">
          <w:rPr>
            <w:lang w:val="en-US"/>
          </w:rPr>
          <w:lastRenderedPageBreak/>
          <w:t>One important consistency condition links price-weighted value added to factor-cost gross value added:</w:t>
        </w:r>
      </w:ins>
      <w:bookmarkStart w:id="216" w:name="_Toc235867062"/>
      <w:bookmarkStart w:id="217" w:name="the-factor-cost-gva-identity"/>
      <w:bookmarkEnd w:id="171"/>
      <w:del w:id="218" w:author="Heinisch, Katja" w:date="2026-07-27T09:22:00Z" w16du:dateUtc="2026-07-27T07:22:00Z">
        <w:r w:rsidR="001314FA" w:rsidRPr="00C9711D">
          <w:rPr>
            <w:lang w:val="en-US"/>
          </w:rPr>
          <w:delText>The factor-cost GVA identity</w:delText>
        </w:r>
        <w:bookmarkEnd w:id="216"/>
      </w:del>
    </w:p>
    <w:p w14:paraId="1771DEB4" w14:textId="77777777" w:rsidR="001314FA" w:rsidRPr="00C9711D" w:rsidRDefault="001314FA" w:rsidP="004915C4">
      <w:pPr>
        <w:pStyle w:val="IWHFlietext"/>
        <w:rPr>
          <w:lang w:val="en-US"/>
        </w:rPr>
      </w:pPr>
      <w:del w:id="219" w:author="Heinisch, Katja" w:date="2026-07-27T09:22:00Z" w16du:dateUtc="2026-07-27T07:22:00Z">
        <w:r w:rsidRPr="00C9711D">
          <w:rPr>
            <w:lang w:val="en-US"/>
          </w:rPr>
          <w:delText>A central calibration invariant,</w:delText>
        </w:r>
      </w:del>
      <w:r w:rsidRPr="00C9711D">
        <w:rPr>
          <w:lang w:val="en-US"/>
        </w:rPr>
        <w:t xml:space="preserve"> load-bearing whenever the baseline emission price is positive (</w:t>
      </w:r>
      <w:r w:rsidRPr="00C9711D">
        <w:rPr>
          <w:rStyle w:val="VerbatimChar"/>
          <w:rFonts w:eastAsiaTheme="minorHAnsi"/>
          <w:lang w:val="en-US"/>
        </w:rPr>
        <w:t>PE &gt; 0</w:t>
      </w:r>
      <w:r w:rsidRPr="00C9711D">
        <w:rPr>
          <w:lang w:val="en-US"/>
        </w:rPr>
        <w:t>), is:</w:t>
      </w:r>
    </w:p>
    <w:p w14:paraId="06795438" w14:textId="77777777" w:rsidR="001314FA" w:rsidRPr="00C9711D" w:rsidRDefault="001314FA" w:rsidP="001314FA">
      <w:pPr>
        <w:pStyle w:val="Textkrper"/>
        <w:rPr>
          <w:lang w:val="en-US"/>
        </w:rPr>
      </w:pPr>
      <w:r w:rsidRPr="00C9711D">
        <w:rPr>
          <w:noProof/>
          <w:lang w:val="en-US"/>
        </w:rPr>
        <w:drawing>
          <wp:inline distT="0" distB="0" distL="0" distR="0" wp14:anchorId="7D7705DB" wp14:editId="5A289B1E">
            <wp:extent cx="3783787" cy="163849"/>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C:\Users\schul\Documents\GitHub\DGE-METRIC\.tmp\technical_report_build\math\math-0005.png"/>
                    <pic:cNvPicPr>
                      <a:picLocks noChangeAspect="1" noChangeArrowheads="1"/>
                    </pic:cNvPicPr>
                  </pic:nvPicPr>
                  <pic:blipFill>
                    <a:blip r:embed="rId29"/>
                    <a:stretch>
                      <a:fillRect/>
                    </a:stretch>
                  </pic:blipFill>
                  <pic:spPr bwMode="auto">
                    <a:xfrm>
                      <a:off x="0" y="0"/>
                      <a:ext cx="3783787" cy="163849"/>
                    </a:xfrm>
                    <a:prstGeom prst="rect">
                      <a:avLst/>
                    </a:prstGeom>
                    <a:noFill/>
                    <a:ln w="9525">
                      <a:noFill/>
                      <a:headEnd/>
                      <a:tailEnd/>
                    </a:ln>
                  </pic:spPr>
                </pic:pic>
              </a:graphicData>
            </a:graphic>
          </wp:inline>
        </w:drawing>
      </w:r>
    </w:p>
    <w:p w14:paraId="723550A0" w14:textId="6E05F4AA" w:rsidR="00C20E0F" w:rsidRPr="00C9711D" w:rsidRDefault="001314FA" w:rsidP="004915C4">
      <w:pPr>
        <w:pStyle w:val="IWHFlietext"/>
        <w:rPr>
          <w:ins w:id="220" w:author="Heinisch, Katja" w:date="2026-07-27T09:22:00Z" w16du:dateUtc="2026-07-27T07:22:00Z"/>
          <w:lang w:val="en-US"/>
        </w:rPr>
      </w:pPr>
      <w:r w:rsidRPr="00C9711D">
        <w:rPr>
          <w:lang w:val="en-US"/>
        </w:rPr>
        <w:t xml:space="preserve">i.e., the baseline price-weighted value-added target in the model numeraire must equal the factor-cost gross value added actually computed from national accounts (basic-price gross output, minus intermediate use, minus direct ETS permit cost). </w:t>
      </w:r>
      <w:ins w:id="221" w:author="Heinisch, Katja" w:date="2026-07-27T09:22:00Z" w16du:dateUtc="2026-07-27T07:22:00Z">
        <w:r w:rsidR="00C20E0F" w:rsidRPr="00C9711D">
          <w:rPr>
            <w:lang w:val="en-US"/>
          </w:rPr>
          <w:t>This identity guarantees that the benchmark economy remains internally consistent even when a positive baseline carbon price is introduced, thereby avoiding inconsistencies between the calibration routines and the model equations.</w:t>
        </w:r>
      </w:ins>
    </w:p>
    <w:p w14:paraId="77A09DFD" w14:textId="77777777" w:rsidR="001314FA" w:rsidRPr="00C9711D" w:rsidRDefault="001314FA" w:rsidP="001314FA">
      <w:pPr>
        <w:pStyle w:val="IWHFlietext"/>
        <w:rPr>
          <w:lang w:val="en-US"/>
        </w:rPr>
      </w:pPr>
      <w:r w:rsidRPr="00C9711D">
        <w:rPr>
          <w:lang w:val="en-US"/>
        </w:rPr>
        <w:t>An earlier share-based normalization (</w:t>
      </w:r>
      <w:r w:rsidRPr="00C9711D">
        <w:rPr>
          <w:rStyle w:val="VerbatimChar"/>
          <w:rFonts w:eastAsiaTheme="minorHAnsi"/>
          <w:lang w:val="en-US"/>
        </w:rPr>
        <w:t>φ Y_s · Q0_p</w:t>
      </w:r>
      <w:r w:rsidRPr="00C9711D">
        <w:rPr>
          <w:lang w:val="en-US"/>
        </w:rPr>
        <w:t xml:space="preserve">) was only valid when </w:t>
      </w:r>
      <w:r w:rsidRPr="00C9711D">
        <w:rPr>
          <w:rStyle w:val="VerbatimChar"/>
          <w:rFonts w:eastAsiaTheme="minorHAnsi"/>
          <w:lang w:val="en-US"/>
        </w:rPr>
        <w:t>PE = 0</w:t>
      </w:r>
      <w:r w:rsidRPr="00C9711D">
        <w:rPr>
          <w:lang w:val="en-US"/>
        </w:rPr>
        <w:t xml:space="preserve"> and produced non-zero Dynare static residuals in the TFP equations at any positive carbon price. The current implementation enforces </w:t>
      </w:r>
      <w:r w:rsidRPr="00C9711D">
        <w:rPr>
          <w:rStyle w:val="VerbatimChar"/>
          <w:rFonts w:eastAsiaTheme="minorHAnsi"/>
          <w:lang w:val="en-US"/>
        </w:rPr>
        <w:t>P0_s · Y0_s = FCgva_s</w:t>
      </w:r>
      <w:r w:rsidRPr="00C9711D">
        <w:rPr>
          <w:lang w:val="en-US"/>
        </w:rPr>
        <w:t xml:space="preserve"> consistently across the MATLAB calibration routines and the </w:t>
      </w:r>
      <w:r w:rsidRPr="00C9711D">
        <w:rPr>
          <w:rStyle w:val="VerbatimChar"/>
          <w:rFonts w:eastAsiaTheme="minorHAnsi"/>
          <w:lang w:val="en-US"/>
        </w:rPr>
        <w:t>.mod</w:t>
      </w:r>
      <w:r w:rsidRPr="00C9711D">
        <w:rPr>
          <w:lang w:val="en-US"/>
        </w:rPr>
        <w:t xml:space="preserve"> productivity equations — see </w:t>
      </w:r>
      <w:ins w:id="222" w:author="Heinisch, Katja" w:date="2026-07-27T09:22:00Z" w16du:dateUtc="2026-07-27T07:22:00Z">
        <w:r w:rsidR="00A5230E" w:rsidRPr="00C9711D">
          <w:rPr>
            <w:lang w:val="en-US"/>
          </w:rPr>
          <w:fldChar w:fldCharType="begin"/>
        </w:r>
        <w:r w:rsidR="003C44CA" w:rsidRPr="00C9711D">
          <w:rPr>
            <w:lang w:val="en-US"/>
          </w:rPr>
          <w:instrText xml:space="preserve">HYPERLINK "C:\\Users\\nbKDL\\calibration_model_detailed.md" \h </w:instrText>
        </w:r>
        <w:r w:rsidR="00A5230E" w:rsidRPr="00C9711D">
          <w:rPr>
            <w:lang w:val="en-US"/>
          </w:rPr>
        </w:r>
        <w:r w:rsidR="00A5230E" w:rsidRPr="00C9711D">
          <w:rPr>
            <w:lang w:val="en-US"/>
          </w:rPr>
          <w:fldChar w:fldCharType="separate"/>
        </w:r>
        <w:r w:rsidR="00A5230E" w:rsidRPr="00C9711D">
          <w:rPr>
            <w:rStyle w:val="Hyperlink"/>
            <w:lang w:val="en-US"/>
          </w:rPr>
          <w:t>calibration_model_detailed.md</w:t>
        </w:r>
        <w:r w:rsidR="00A5230E" w:rsidRPr="00C9711D">
          <w:rPr>
            <w:lang w:val="en-US"/>
          </w:rPr>
          <w:fldChar w:fldCharType="end"/>
        </w:r>
      </w:ins>
      <w:del w:id="223" w:author="Heinisch, Katja" w:date="2026-07-27T09:22:00Z" w16du:dateUtc="2026-07-27T07:22:00Z">
        <w:r w:rsidRPr="00C9711D">
          <w:rPr>
            <w:lang w:val="en-US"/>
          </w:rPr>
          <w:fldChar w:fldCharType="begin"/>
        </w:r>
        <w:r w:rsidRPr="00C9711D">
          <w:rPr>
            <w:lang w:val="en-US"/>
          </w:rPr>
          <w:delInstrText>HYPERLINK "../calibration_model_detailed.md" \h</w:delInstrText>
        </w:r>
        <w:r w:rsidRPr="00C9711D">
          <w:rPr>
            <w:lang w:val="en-US"/>
          </w:rPr>
        </w:r>
        <w:r w:rsidRPr="00C9711D">
          <w:rPr>
            <w:lang w:val="en-US"/>
          </w:rPr>
          <w:fldChar w:fldCharType="separate"/>
        </w:r>
        <w:r w:rsidRPr="00C9711D">
          <w:rPr>
            <w:rStyle w:val="Hyperlink"/>
            <w:lang w:val="en-US"/>
          </w:rPr>
          <w:delText>calibration_model_detailed.md</w:delText>
        </w:r>
        <w:r w:rsidRPr="00C9711D">
          <w:rPr>
            <w:lang w:val="en-US"/>
          </w:rPr>
          <w:fldChar w:fldCharType="end"/>
        </w:r>
      </w:del>
      <w:r w:rsidRPr="00C9711D">
        <w:rPr>
          <w:lang w:val="en-US"/>
        </w:rPr>
        <w:t xml:space="preserve"> for the full derivation, code locations, and baseline-check identities.</w:t>
      </w:r>
    </w:p>
    <w:p w14:paraId="67D9F535" w14:textId="09F1EC2E" w:rsidR="001314FA" w:rsidRPr="00C9711D" w:rsidRDefault="001314FA" w:rsidP="002A4BF9">
      <w:pPr>
        <w:pStyle w:val="berschrift2"/>
        <w:rPr>
          <w:lang w:val="en-US"/>
        </w:rPr>
      </w:pPr>
      <w:bookmarkStart w:id="224" w:name="_Toc235867063"/>
      <w:bookmarkStart w:id="225" w:name="code-defaults-vs.-active-calibration"/>
      <w:bookmarkStart w:id="226" w:name="_Toc236050657"/>
      <w:bookmarkEnd w:id="217"/>
      <w:r w:rsidRPr="00C9711D">
        <w:rPr>
          <w:lang w:val="en-US"/>
        </w:rPr>
        <w:t>Code defaults vs. active calibration</w:t>
      </w:r>
      <w:bookmarkEnd w:id="224"/>
      <w:bookmarkEnd w:id="226"/>
    </w:p>
    <w:p w14:paraId="2FA0EDAA" w14:textId="77777777" w:rsidR="001314FA" w:rsidRPr="00C9711D" w:rsidRDefault="00583BF7" w:rsidP="004915C4">
      <w:pPr>
        <w:pStyle w:val="IWHFlietext"/>
        <w:rPr>
          <w:lang w:val="en-US"/>
        </w:rPr>
      </w:pPr>
      <w:ins w:id="227" w:author="Heinisch, Katja" w:date="2026-07-27T09:22:00Z" w16du:dateUtc="2026-07-27T07:22:00Z">
        <w:r w:rsidRPr="00C9711D">
          <w:rPr>
            <w:lang w:val="en-US"/>
          </w:rPr>
          <w:t>While the model source code</w:t>
        </w:r>
        <w:r w:rsidRPr="00C9711D">
          <w:rPr>
            <w:rFonts w:ascii="Consolas" w:hAnsi="Consolas"/>
            <w:lang w:val="en-US"/>
          </w:rPr>
          <w:t xml:space="preserve"> (</w:t>
        </w:r>
      </w:ins>
      <w:r w:rsidR="001314FA" w:rsidRPr="00C9711D">
        <w:rPr>
          <w:rStyle w:val="VerbatimChar"/>
          <w:rFonts w:eastAsiaTheme="minorHAnsi"/>
          <w:lang w:val="en-US"/>
        </w:rPr>
        <w:t>ModFiles/DGE_Model_Parameters.mod</w:t>
      </w:r>
      <w:ins w:id="228" w:author="Heinisch, Katja" w:date="2026-07-27T09:22:00Z" w16du:dateUtc="2026-07-27T07:22:00Z">
        <w:r w:rsidRPr="00C9711D">
          <w:rPr>
            <w:lang w:val="en-US"/>
          </w:rPr>
          <w:t>) contains</w:t>
        </w:r>
      </w:ins>
      <w:del w:id="229" w:author="Heinisch, Katja" w:date="2026-07-27T09:22:00Z" w16du:dateUtc="2026-07-27T07:22:00Z">
        <w:r w:rsidR="001314FA" w:rsidRPr="00C9711D">
          <w:rPr>
            <w:lang w:val="en-US"/>
          </w:rPr>
          <w:delText xml:space="preserve"> ships</w:delText>
        </w:r>
      </w:del>
      <w:r w:rsidR="001314FA" w:rsidRPr="00C9711D">
        <w:rPr>
          <w:lang w:val="en-US"/>
        </w:rPr>
        <w:t xml:space="preserve"> default </w:t>
      </w:r>
      <w:ins w:id="230" w:author="Heinisch, Katja" w:date="2026-07-27T09:22:00Z" w16du:dateUtc="2026-07-27T07:22:00Z">
        <w:r w:rsidRPr="00C9711D">
          <w:rPr>
            <w:lang w:val="en-US"/>
          </w:rPr>
          <w:t>values for all structural parameters, the parameterization used in any simulation in</w:t>
        </w:r>
      </w:ins>
      <w:del w:id="231" w:author="Heinisch, Katja" w:date="2026-07-27T09:22:00Z" w16du:dateUtc="2026-07-27T07:22:00Z">
        <w:r w:rsidR="001314FA" w:rsidRPr="00C9711D">
          <w:rPr>
            <w:lang w:val="en-US"/>
          </w:rPr>
          <w:delText>parameter values, but</w:delText>
        </w:r>
      </w:del>
      <w:r w:rsidR="001314FA" w:rsidRPr="00C9711D">
        <w:rPr>
          <w:lang w:val="en-US"/>
        </w:rPr>
        <w:t xml:space="preserve"> the active 5-sector/1-region workbook materially overrides several of them</w:t>
      </w:r>
      <w:ins w:id="232" w:author="Heinisch, Katja" w:date="2026-07-27T09:22:00Z" w16du:dateUtc="2026-07-27T07:22:00Z">
        <w:r w:rsidRPr="00C9711D">
          <w:rPr>
            <w:lang w:val="en-US"/>
          </w:rPr>
          <w:t>. This distinction is particularly important for parameters governing</w:t>
        </w:r>
      </w:ins>
      <w:del w:id="233" w:author="Heinisch, Katja" w:date="2026-07-27T09:22:00Z" w16du:dateUtc="2026-07-27T07:22:00Z">
        <w:r w:rsidR="001314FA" w:rsidRPr="00C9711D">
          <w:rPr>
            <w:lang w:val="en-US"/>
          </w:rPr>
          <w:delText xml:space="preserve"> — most importantly</w:delText>
        </w:r>
      </w:del>
      <w:r w:rsidR="001314FA" w:rsidRPr="00C9711D">
        <w:rPr>
          <w:lang w:val="en-US"/>
        </w:rPr>
        <w:t xml:space="preserve"> the external</w:t>
      </w:r>
      <w:ins w:id="234" w:author="Heinisch, Katja" w:date="2026-07-27T09:22:00Z" w16du:dateUtc="2026-07-27T07:22:00Z">
        <w:r w:rsidRPr="00C9711D">
          <w:rPr>
            <w:lang w:val="en-US"/>
          </w:rPr>
          <w:t xml:space="preserve"> financing block. For example, the default values of the external </w:t>
        </w:r>
      </w:ins>
      <w:del w:id="235" w:author="Heinisch, Katja" w:date="2026-07-27T09:22:00Z" w16du:dateUtc="2026-07-27T07:22:00Z">
        <w:r w:rsidR="001314FA" w:rsidRPr="00C9711D">
          <w:rPr>
            <w:lang w:val="en-US"/>
          </w:rPr>
          <w:delText>-</w:delText>
        </w:r>
      </w:del>
      <w:r w:rsidR="001314FA" w:rsidRPr="00C9711D">
        <w:rPr>
          <w:lang w:val="en-US"/>
        </w:rPr>
        <w:t>finance</w:t>
      </w:r>
      <w:ins w:id="236" w:author="Heinisch, Katja" w:date="2026-07-27T09:22:00Z" w16du:dateUtc="2026-07-27T07:22:00Z">
        <w:r w:rsidRPr="00C9711D">
          <w:rPr>
            <w:lang w:val="en-US"/>
          </w:rPr>
          <w:t xml:space="preserve"> </w:t>
        </w:r>
      </w:ins>
      <w:del w:id="237" w:author="Heinisch, Katja" w:date="2026-07-27T09:22:00Z" w16du:dateUtc="2026-07-27T07:22:00Z">
        <w:r w:rsidR="001314FA" w:rsidRPr="00C9711D">
          <w:rPr>
            <w:lang w:val="en-US"/>
          </w:rPr>
          <w:delText>-</w:delText>
        </w:r>
      </w:del>
      <w:r w:rsidR="001314FA" w:rsidRPr="00C9711D">
        <w:rPr>
          <w:lang w:val="en-US"/>
        </w:rPr>
        <w:t>premium parameter</w:t>
      </w:r>
      <w:del w:id="238" w:author="Heinisch, Katja" w:date="2026-07-27T09:22:00Z" w16du:dateUtc="2026-07-27T07:22:00Z">
        <w:r w:rsidR="001314FA" w:rsidRPr="00C9711D">
          <w:rPr>
            <w:lang w:val="en-US"/>
          </w:rPr>
          <w:delText>s</w:delText>
        </w:r>
      </w:del>
      <w:r w:rsidR="001314FA" w:rsidRPr="00C9711D">
        <w:rPr>
          <w:lang w:val="en-US"/>
        </w:rPr>
        <w:t xml:space="preserve"> </w:t>
      </w:r>
      <w:r w:rsidR="001314FA" w:rsidRPr="00C9711D">
        <w:rPr>
          <w:rStyle w:val="VerbatimChar"/>
          <w:rFonts w:eastAsiaTheme="minorHAnsi"/>
          <w:lang w:val="en-US"/>
        </w:rPr>
        <w:t>phiB_p</w:t>
      </w:r>
      <w:r w:rsidR="001314FA" w:rsidRPr="00C9711D">
        <w:rPr>
          <w:lang w:val="en-US"/>
        </w:rPr>
        <w:t xml:space="preserve"> (code default 10.0 vs. active workbook 0.1) and</w:t>
      </w:r>
      <w:ins w:id="239" w:author="Heinisch, Katja" w:date="2026-07-27T09:22:00Z" w16du:dateUtc="2026-07-27T07:22:00Z">
        <w:r w:rsidRPr="00C9711D">
          <w:rPr>
            <w:lang w:val="en-US"/>
          </w:rPr>
          <w:t xml:space="preserve"> the associated adjustment-cost parameter</w:t>
        </w:r>
      </w:ins>
      <w:r w:rsidR="001314FA" w:rsidRPr="00C9711D">
        <w:rPr>
          <w:lang w:val="en-US"/>
        </w:rPr>
        <w:t xml:space="preserve"> </w:t>
      </w:r>
      <w:r w:rsidR="001314FA" w:rsidRPr="00C9711D">
        <w:rPr>
          <w:rStyle w:val="VerbatimChar"/>
          <w:rFonts w:eastAsiaTheme="minorHAnsi"/>
          <w:lang w:val="en-US"/>
        </w:rPr>
        <w:t>phiadjB_p</w:t>
      </w:r>
      <w:r w:rsidR="001314FA" w:rsidRPr="00C9711D">
        <w:rPr>
          <w:lang w:val="en-US"/>
        </w:rPr>
        <w:t xml:space="preserve"> (1.0 vs. 0.1), which differ by two orders of magnitude. </w:t>
      </w:r>
      <w:r w:rsidR="001314FA" w:rsidRPr="00C9711D">
        <w:rPr>
          <w:b/>
          <w:bCs/>
          <w:lang w:val="en-US"/>
        </w:rPr>
        <w:t xml:space="preserve">The workbook values, not the </w:t>
      </w:r>
      <w:r w:rsidR="001314FA" w:rsidRPr="00C9711D">
        <w:rPr>
          <w:rStyle w:val="VerbatimChar"/>
          <w:rFonts w:eastAsiaTheme="minorHAnsi"/>
          <w:b/>
          <w:bCs/>
          <w:lang w:val="en-US"/>
        </w:rPr>
        <w:t>.mod</w:t>
      </w:r>
      <w:r w:rsidR="001314FA" w:rsidRPr="00C9711D">
        <w:rPr>
          <w:b/>
          <w:bCs/>
          <w:lang w:val="en-US"/>
        </w:rPr>
        <w:t xml:space="preserve"> file defaults, govern the currently compiled model.</w:t>
      </w:r>
      <w:r w:rsidR="001314FA" w:rsidRPr="00C9711D">
        <w:rPr>
          <w:lang w:val="en-US"/>
        </w:rPr>
        <w:t xml:space="preserve"> </w:t>
      </w:r>
      <w:ins w:id="240" w:author="Heinisch, Katja" w:date="2026-07-27T09:22:00Z" w16du:dateUtc="2026-07-27T07:22:00Z">
        <w:r w:rsidRPr="00C9711D">
          <w:rPr>
            <w:lang w:val="en-US"/>
          </w:rPr>
          <w:t xml:space="preserve">. </w:t>
        </w:r>
      </w:ins>
      <w:del w:id="241" w:author="Heinisch, Katja" w:date="2026-07-27T09:22:00Z" w16du:dateUtc="2026-07-27T07:22:00Z">
        <w:r w:rsidR="001314FA" w:rsidRPr="00C9711D">
          <w:rPr>
            <w:lang w:val="en-US"/>
          </w:rPr>
          <w:delText xml:space="preserve">Analysts citing a structural parameter should always confirm which workbook is loaded for the run in question; the full override table is in </w:delText>
        </w:r>
        <w:r w:rsidR="001314FA" w:rsidRPr="00C9711D">
          <w:rPr>
            <w:lang w:val="en-US"/>
          </w:rPr>
          <w:fldChar w:fldCharType="begin"/>
        </w:r>
        <w:r w:rsidR="001314FA" w:rsidRPr="00C9711D">
          <w:rPr>
            <w:lang w:val="en-US"/>
          </w:rPr>
          <w:delInstrText>HYPERLINK "../calibration_model_detailed.md" \h</w:delInstrText>
        </w:r>
        <w:r w:rsidR="001314FA" w:rsidRPr="00C9711D">
          <w:rPr>
            <w:lang w:val="en-US"/>
          </w:rPr>
        </w:r>
        <w:r w:rsidR="001314FA" w:rsidRPr="00C9711D">
          <w:rPr>
            <w:lang w:val="en-US"/>
          </w:rPr>
          <w:fldChar w:fldCharType="separate"/>
        </w:r>
        <w:r w:rsidR="001314FA" w:rsidRPr="00C9711D">
          <w:rPr>
            <w:rStyle w:val="Hyperlink"/>
            <w:lang w:val="en-US"/>
          </w:rPr>
          <w:delText>calibration_model_detailed.md §12</w:delText>
        </w:r>
        <w:r w:rsidR="001314FA" w:rsidRPr="00C9711D">
          <w:rPr>
            <w:lang w:val="en-US"/>
          </w:rPr>
          <w:fldChar w:fldCharType="end"/>
        </w:r>
        <w:r w:rsidR="001314FA" w:rsidRPr="00C9711D">
          <w:rPr>
            <w:lang w:val="en-US"/>
          </w:rPr>
          <w:delText>.</w:delText>
        </w:r>
      </w:del>
    </w:p>
    <w:p w14:paraId="2E1B9BCC" w14:textId="4174C35C" w:rsidR="00C70881" w:rsidRPr="00C9711D" w:rsidRDefault="00583BF7" w:rsidP="004915C4">
      <w:pPr>
        <w:pStyle w:val="IWHFlietext"/>
        <w:rPr>
          <w:ins w:id="242" w:author="Heinisch, Katja" w:date="2026-07-27T09:22:00Z" w16du:dateUtc="2026-07-27T07:22:00Z"/>
          <w:lang w:val="en-US"/>
        </w:rPr>
      </w:pPr>
      <w:ins w:id="243" w:author="Heinisch, Katja" w:date="2026-07-27T09:22:00Z" w16du:dateUtc="2026-07-27T07:22:00Z">
        <w:r w:rsidRPr="00C9711D">
          <w:rPr>
            <w:lang w:val="en-US"/>
          </w:rPr>
          <w:t xml:space="preserve">Accordingly, all simulation results presented in this report are based on the parameter values defined in the active calibration rather than the default values contained in the model source code. When reproducing or extending the model, users should therefore verify which calibration workbook was used for a particular simulation before interpreting or reporting individual parameter values. The full override table is in </w:t>
        </w:r>
        <w:r w:rsidRPr="00C9711D">
          <w:rPr>
            <w:lang w:val="en-US"/>
          </w:rPr>
          <w:fldChar w:fldCharType="begin"/>
        </w:r>
        <w:r w:rsidRPr="00C9711D">
          <w:rPr>
            <w:lang w:val="en-US"/>
          </w:rPr>
          <w:instrText xml:space="preserve">HYPERLINK "C:\\Users\\nbKDL\\calibration_model_detailed.md" \h </w:instrText>
        </w:r>
        <w:r w:rsidRPr="00C9711D">
          <w:rPr>
            <w:lang w:val="en-US"/>
          </w:rPr>
        </w:r>
        <w:r w:rsidRPr="00C9711D">
          <w:rPr>
            <w:lang w:val="en-US"/>
          </w:rPr>
          <w:fldChar w:fldCharType="separate"/>
        </w:r>
        <w:r w:rsidRPr="00C9711D">
          <w:rPr>
            <w:rStyle w:val="Hyperlink"/>
            <w:lang w:val="en-US"/>
          </w:rPr>
          <w:t>calibration_model_detailed.md §12</w:t>
        </w:r>
        <w:r w:rsidRPr="00C9711D">
          <w:rPr>
            <w:lang w:val="en-US"/>
          </w:rPr>
          <w:fldChar w:fldCharType="end"/>
        </w:r>
      </w:ins>
    </w:p>
    <w:p w14:paraId="7434A404" w14:textId="6C697F9C" w:rsidR="00C70881" w:rsidRPr="00C9711D" w:rsidRDefault="001314FA" w:rsidP="004915C4">
      <w:pPr>
        <w:pStyle w:val="berschrift2"/>
        <w:rPr>
          <w:ins w:id="244" w:author="Heinisch, Katja" w:date="2026-07-27T09:22:00Z" w16du:dateUtc="2026-07-27T07:22:00Z"/>
          <w:lang w:val="en-US"/>
        </w:rPr>
      </w:pPr>
      <w:bookmarkStart w:id="245" w:name="_Toc235867064"/>
      <w:bookmarkStart w:id="246" w:name="X4966a39ef1536792499f9eef18a02940053bd95"/>
      <w:bookmarkStart w:id="247" w:name="_Toc236050658"/>
      <w:bookmarkEnd w:id="225"/>
      <w:r w:rsidRPr="00C9711D">
        <w:rPr>
          <w:lang w:val="en-US"/>
        </w:rPr>
        <w:t xml:space="preserve">Baseline </w:t>
      </w:r>
      <w:ins w:id="248" w:author="Heinisch, Katja" w:date="2026-07-27T09:22:00Z" w16du:dateUtc="2026-07-27T07:22:00Z">
        <w:r w:rsidR="00583BF7" w:rsidRPr="00C9711D">
          <w:rPr>
            <w:lang w:val="en-US"/>
          </w:rPr>
          <w:t>Validation and Diagnostic Assessment</w:t>
        </w:r>
        <w:bookmarkEnd w:id="247"/>
      </w:ins>
    </w:p>
    <w:p w14:paraId="4BCA4C74" w14:textId="77777777" w:rsidR="001314FA" w:rsidRPr="00C9711D" w:rsidRDefault="00583BF7" w:rsidP="004915C4">
      <w:pPr>
        <w:pStyle w:val="IWHFlietext"/>
        <w:rPr>
          <w:lang w:val="en-US"/>
        </w:rPr>
      </w:pPr>
      <w:ins w:id="249" w:author="Heinisch, Katja" w:date="2026-07-27T09:22:00Z" w16du:dateUtc="2026-07-27T07:22:00Z">
        <w:r w:rsidRPr="00C9711D">
          <w:rPr>
            <w:lang w:val="en-US"/>
          </w:rPr>
          <w:t xml:space="preserve">To ensure that the calibrated model provides a reliable basis for scenario analysis, the baseline solution is evaluated using a comprehensive set of diagnostic indicators. These </w:t>
        </w:r>
      </w:ins>
      <w:r w:rsidR="001314FA" w:rsidRPr="00C9711D">
        <w:rPr>
          <w:lang w:val="en-US"/>
        </w:rPr>
        <w:t xml:space="preserve">diagnostics </w:t>
      </w:r>
      <w:ins w:id="250" w:author="Heinisch, Katja" w:date="2026-07-27T09:22:00Z" w16du:dateUtc="2026-07-27T07:22:00Z">
        <w:r w:rsidRPr="00C9711D">
          <w:rPr>
            <w:lang w:val="en-US"/>
          </w:rPr>
          <w:t>assess whether the calibrated economy reproduces both the intended macroeconomic benchmark and the planned evolution of Vietnam's energy sector under the baseline assumptions. Rather than serving as policy results, the figures presented in this section constitute an integral part of the model validation process.</w:t>
        </w:r>
      </w:ins>
      <w:del w:id="251" w:author="Heinisch, Katja" w:date="2026-07-27T09:22:00Z" w16du:dateUtc="2026-07-27T07:22:00Z">
        <w:r w:rsidR="001314FA" w:rsidRPr="00C9711D">
          <w:rPr>
            <w:lang w:val="en-US"/>
          </w:rPr>
          <w:delText>plots used for calibration checks</w:delText>
        </w:r>
      </w:del>
      <w:bookmarkEnd w:id="245"/>
    </w:p>
    <w:p w14:paraId="53924A8F" w14:textId="77777777" w:rsidR="00583BF7" w:rsidRPr="00C9711D" w:rsidRDefault="00583BF7" w:rsidP="004915C4">
      <w:pPr>
        <w:pStyle w:val="IWHFlietext"/>
        <w:rPr>
          <w:ins w:id="252" w:author="Heinisch, Katja" w:date="2026-07-27T09:22:00Z" w16du:dateUtc="2026-07-27T07:22:00Z"/>
          <w:lang w:val="en-US"/>
        </w:rPr>
      </w:pPr>
      <w:ins w:id="253" w:author="Heinisch, Katja" w:date="2026-07-27T09:22:00Z" w16du:dateUtc="2026-07-27T07:22:00Z">
        <w:r w:rsidRPr="00C9711D">
          <w:rPr>
            <w:lang w:val="en-US"/>
          </w:rPr>
          <w:t xml:space="preserve">The validation focuses on three complementary aspects. First, long-term development paths for key energy-sector variables—including renewable capital, renewable electricity generation, energy efficiency, and the renewable share of electricity production—are examined to verify that the simulated baseline follows the intended transition trajectory over the period 2026–2050. Second, annual comparisons between simulated outcomes and PDP8 targets assess whether the model reproduces the </w:t>
        </w:r>
        <w:r w:rsidRPr="00C9711D">
          <w:rPr>
            <w:lang w:val="en-US"/>
          </w:rPr>
          <w:lastRenderedPageBreak/>
          <w:t>planned development of renewable and fossil generation capacity as well as annual investment requirements. Third, end-of-period comparisons evaluate whether cumulative investment volumes and installed capacities remain consistent with the planning assumptions that underpin the baseline calibration.</w:t>
        </w:r>
      </w:ins>
    </w:p>
    <w:p w14:paraId="2E4329A4" w14:textId="77777777" w:rsidR="00583BF7" w:rsidRPr="00C9711D" w:rsidRDefault="00583BF7" w:rsidP="004915C4">
      <w:pPr>
        <w:pStyle w:val="IWHFlietext"/>
        <w:rPr>
          <w:ins w:id="254" w:author="Heinisch, Katja" w:date="2026-07-27T09:22:00Z" w16du:dateUtc="2026-07-27T07:22:00Z"/>
          <w:lang w:val="en-US"/>
        </w:rPr>
      </w:pPr>
      <w:ins w:id="255" w:author="Heinisch, Katja" w:date="2026-07-27T09:22:00Z" w16du:dateUtc="2026-07-27T07:22:00Z">
        <w:r w:rsidRPr="00C9711D">
          <w:rPr>
            <w:lang w:val="en-US"/>
          </w:rPr>
          <w:t>The resulting figures therefore provide a transparent quality-assurance framework for the calibration. Consistent agreement between simulated trajectories and the underlying planning assumptions demonstrates that the model successfully reproduces both the empirical structure of the benchmark economy and the intended energy transition pathway before any policy scenarios are introduced.</w:t>
        </w:r>
      </w:ins>
    </w:p>
    <w:p w14:paraId="2AE3D2BC" w14:textId="77777777" w:rsidR="001314FA" w:rsidRPr="00C9711D" w:rsidRDefault="001314FA" w:rsidP="001314FA">
      <w:pPr>
        <w:pStyle w:val="IWHFlietext"/>
        <w:rPr>
          <w:lang w:val="en-US"/>
        </w:rPr>
      </w:pPr>
      <w:r w:rsidRPr="00C9711D">
        <w:rPr>
          <w:lang w:val="en-US"/>
        </w:rPr>
        <w:t xml:space="preserve">The baseline reporting script </w:t>
      </w:r>
      <w:r w:rsidRPr="00C9711D">
        <w:rPr>
          <w:rStyle w:val="VerbatimChar"/>
          <w:rFonts w:eastAsiaTheme="minorHAnsi"/>
          <w:lang w:val="en-US"/>
        </w:rPr>
        <w:t>scripts/reporting/DisplayBaselineEnergy.m</w:t>
      </w:r>
      <w:r w:rsidRPr="00C9711D">
        <w:rPr>
          <w:lang w:val="en-US"/>
        </w:rPr>
        <w:t xml:space="preserve"> writes its figures to the repository-level </w:t>
      </w:r>
      <w:r w:rsidRPr="00C9711D">
        <w:rPr>
          <w:rStyle w:val="VerbatimChar"/>
          <w:rFonts w:eastAsiaTheme="minorHAnsi"/>
          <w:lang w:val="en-US"/>
        </w:rPr>
        <w:t>Figures/</w:t>
      </w:r>
      <w:r w:rsidRPr="00C9711D">
        <w:rPr>
          <w:lang w:val="en-US"/>
        </w:rPr>
        <w:t xml:space="preserve"> directory (not </w:t>
      </w:r>
      <w:r w:rsidRPr="00C9711D">
        <w:rPr>
          <w:rStyle w:val="VerbatimChar"/>
          <w:rFonts w:eastAsiaTheme="minorHAnsi"/>
          <w:lang w:val="en-US"/>
        </w:rPr>
        <w:t>docs/figures/</w:t>
      </w:r>
      <w:r w:rsidRPr="00C9711D">
        <w:rPr>
          <w:lang w:val="en-US"/>
        </w:rPr>
        <w:t xml:space="preserve">). The script uses </w:t>
      </w:r>
      <w:r w:rsidRPr="00C9711D">
        <w:rPr>
          <w:rStyle w:val="VerbatimChar"/>
          <w:rFonts w:eastAsiaTheme="minorHAnsi"/>
          <w:lang w:val="en-US"/>
        </w:rPr>
        <w:t>outDir = fullfile(repoRoot, 'Figures')</w:t>
      </w:r>
      <w:r w:rsidRPr="00C9711D">
        <w:rPr>
          <w:lang w:val="en-US"/>
        </w:rPr>
        <w:t xml:space="preserve"> and exports both raster and vector versions (</w:t>
      </w:r>
      <w:r w:rsidRPr="00C9711D">
        <w:rPr>
          <w:rStyle w:val="VerbatimChar"/>
          <w:rFonts w:eastAsiaTheme="minorHAnsi"/>
          <w:lang w:val="en-US"/>
        </w:rPr>
        <w:t>.png</w:t>
      </w:r>
      <w:r w:rsidRPr="00C9711D">
        <w:rPr>
          <w:lang w:val="en-US"/>
        </w:rPr>
        <w:t xml:space="preserve"> at 300 dpi and </w:t>
      </w:r>
      <w:r w:rsidRPr="00C9711D">
        <w:rPr>
          <w:rStyle w:val="VerbatimChar"/>
          <w:rFonts w:eastAsiaTheme="minorHAnsi"/>
          <w:lang w:val="en-US"/>
        </w:rPr>
        <w:t>.pdf</w:t>
      </w:r>
      <w:r w:rsidRPr="00C9711D">
        <w:rPr>
          <w:lang w:val="en-US"/>
        </w:rPr>
        <w:t xml:space="preserve"> vector).</w:t>
      </w:r>
    </w:p>
    <w:p w14:paraId="011852EA" w14:textId="77777777" w:rsidR="001314FA" w:rsidRPr="00C9711D" w:rsidRDefault="001314FA" w:rsidP="001314FA">
      <w:pPr>
        <w:pStyle w:val="IWHFlietext"/>
        <w:rPr>
          <w:lang w:val="en-US"/>
        </w:rPr>
      </w:pPr>
      <w:r w:rsidRPr="00C9711D">
        <w:rPr>
          <w:lang w:val="en-US"/>
        </w:rPr>
        <w:t>These plots provide an operational bridge between the workbook targets and the calibrated baseline path:</w:t>
      </w:r>
    </w:p>
    <w:p w14:paraId="1D317B9B" w14:textId="77777777" w:rsidR="001314FA" w:rsidRPr="00C9711D" w:rsidRDefault="001314FA" w:rsidP="00A5230E">
      <w:pPr>
        <w:pStyle w:val="Compact"/>
        <w:numPr>
          <w:ilvl w:val="0"/>
          <w:numId w:val="5"/>
        </w:numPr>
        <w:rPr>
          <w:rFonts w:asciiTheme="majorHAnsi" w:hAnsiTheme="majorHAnsi"/>
          <w:lang w:val="en-US"/>
        </w:rPr>
      </w:pPr>
      <w:r w:rsidRPr="00C9711D">
        <w:rPr>
          <w:rFonts w:asciiTheme="majorHAnsi" w:hAnsiTheme="majorHAnsi"/>
          <w:b/>
          <w:bCs/>
          <w:lang w:val="en-US"/>
        </w:rPr>
        <w:t>Level/index path checks</w:t>
      </w:r>
      <w:r w:rsidRPr="00C9711D">
        <w:rPr>
          <w:rFonts w:asciiTheme="majorHAnsi" w:hAnsiTheme="majorHAnsi"/>
          <w:lang w:val="en-US"/>
        </w:rPr>
        <w:t xml:space="preserve"> (</w:t>
      </w:r>
      <w:r w:rsidRPr="00C9711D">
        <w:rPr>
          <w:rStyle w:val="VerbatimChar"/>
          <w:rFonts w:asciiTheme="majorHAnsi" w:eastAsiaTheme="minorHAnsi" w:hAnsiTheme="majorHAnsi"/>
          <w:lang w:val="en-US"/>
        </w:rPr>
        <w:t>baseline_ren_capital</w:t>
      </w:r>
      <w:r w:rsidRPr="00C9711D">
        <w:rPr>
          <w:rFonts w:asciiTheme="majorHAnsi" w:hAnsiTheme="majorHAnsi"/>
          <w:lang w:val="en-US"/>
        </w:rPr>
        <w:t xml:space="preserve">, </w:t>
      </w:r>
      <w:r w:rsidRPr="00C9711D">
        <w:rPr>
          <w:rStyle w:val="VerbatimChar"/>
          <w:rFonts w:asciiTheme="majorHAnsi" w:eastAsiaTheme="minorHAnsi" w:hAnsiTheme="majorHAnsi"/>
          <w:lang w:val="en-US"/>
        </w:rPr>
        <w:t>baseline_ren_production</w:t>
      </w:r>
      <w:r w:rsidRPr="00C9711D">
        <w:rPr>
          <w:rFonts w:asciiTheme="majorHAnsi" w:hAnsiTheme="majorHAnsi"/>
          <w:lang w:val="en-US"/>
        </w:rPr>
        <w:t xml:space="preserve">, </w:t>
      </w:r>
      <w:r w:rsidRPr="00C9711D">
        <w:rPr>
          <w:rStyle w:val="VerbatimChar"/>
          <w:rFonts w:asciiTheme="majorHAnsi" w:eastAsiaTheme="minorHAnsi" w:hAnsiTheme="majorHAnsi"/>
          <w:lang w:val="en-US"/>
        </w:rPr>
        <w:t>baseline_energy_efficiency</w:t>
      </w:r>
      <w:r w:rsidRPr="00C9711D">
        <w:rPr>
          <w:rFonts w:asciiTheme="majorHAnsi" w:hAnsiTheme="majorHAnsi"/>
          <w:lang w:val="en-US"/>
        </w:rPr>
        <w:t xml:space="preserve">, </w:t>
      </w:r>
      <w:r w:rsidRPr="00C9711D">
        <w:rPr>
          <w:rStyle w:val="VerbatimChar"/>
          <w:rFonts w:asciiTheme="majorHAnsi" w:eastAsiaTheme="minorHAnsi" w:hAnsiTheme="majorHAnsi"/>
          <w:lang w:val="en-US"/>
        </w:rPr>
        <w:t>baseline_res_share</w:t>
      </w:r>
      <w:r w:rsidRPr="00C9711D">
        <w:rPr>
          <w:rFonts w:asciiTheme="majorHAnsi" w:hAnsiTheme="majorHAnsi"/>
          <w:lang w:val="en-US"/>
        </w:rPr>
        <w:t>) show whether the solved baseline trajectory behaves plausibly over 2025-2050.</w:t>
      </w:r>
    </w:p>
    <w:p w14:paraId="0E5F9D50" w14:textId="77777777" w:rsidR="001314FA" w:rsidRPr="00C9711D" w:rsidRDefault="001314FA" w:rsidP="00A5230E">
      <w:pPr>
        <w:pStyle w:val="Compact"/>
        <w:numPr>
          <w:ilvl w:val="0"/>
          <w:numId w:val="5"/>
        </w:numPr>
        <w:rPr>
          <w:rFonts w:asciiTheme="majorHAnsi" w:hAnsiTheme="majorHAnsi"/>
          <w:lang w:val="en-US"/>
        </w:rPr>
      </w:pPr>
      <w:r w:rsidRPr="00C9711D">
        <w:rPr>
          <w:rFonts w:asciiTheme="majorHAnsi" w:hAnsiTheme="majorHAnsi"/>
          <w:b/>
          <w:bCs/>
          <w:lang w:val="en-US"/>
        </w:rPr>
        <w:t>Annual target alignment checks</w:t>
      </w:r>
      <w:r w:rsidRPr="00C9711D">
        <w:rPr>
          <w:rFonts w:asciiTheme="majorHAnsi" w:hAnsiTheme="majorHAnsi"/>
          <w:lang w:val="en-US"/>
        </w:rPr>
        <w:t xml:space="preserve"> (</w:t>
      </w:r>
      <w:r w:rsidRPr="00C9711D">
        <w:rPr>
          <w:rStyle w:val="VerbatimChar"/>
          <w:rFonts w:asciiTheme="majorHAnsi" w:eastAsiaTheme="minorHAnsi" w:hAnsiTheme="majorHAnsi"/>
          <w:lang w:val="en-US"/>
        </w:rPr>
        <w:t>ren_cap_annual</w:t>
      </w:r>
      <w:r w:rsidRPr="00C9711D">
        <w:rPr>
          <w:rFonts w:asciiTheme="majorHAnsi" w:hAnsiTheme="majorHAnsi"/>
          <w:lang w:val="en-US"/>
        </w:rPr>
        <w:t xml:space="preserve">, </w:t>
      </w:r>
      <w:r w:rsidRPr="00C9711D">
        <w:rPr>
          <w:rStyle w:val="VerbatimChar"/>
          <w:rFonts w:asciiTheme="majorHAnsi" w:eastAsiaTheme="minorHAnsi" w:hAnsiTheme="majorHAnsi"/>
          <w:lang w:val="en-US"/>
        </w:rPr>
        <w:t>fos_cap_annual</w:t>
      </w:r>
      <w:r w:rsidRPr="00C9711D">
        <w:rPr>
          <w:rFonts w:asciiTheme="majorHAnsi" w:hAnsiTheme="majorHAnsi"/>
          <w:lang w:val="en-US"/>
        </w:rPr>
        <w:t xml:space="preserve">, </w:t>
      </w:r>
      <w:r w:rsidRPr="00C9711D">
        <w:rPr>
          <w:rStyle w:val="VerbatimChar"/>
          <w:rFonts w:asciiTheme="majorHAnsi" w:eastAsiaTheme="minorHAnsi" w:hAnsiTheme="majorHAnsi"/>
          <w:lang w:val="en-US"/>
        </w:rPr>
        <w:t>ren_inv_annual</w:t>
      </w:r>
      <w:r w:rsidRPr="00C9711D">
        <w:rPr>
          <w:rFonts w:asciiTheme="majorHAnsi" w:hAnsiTheme="majorHAnsi"/>
          <w:lang w:val="en-US"/>
        </w:rPr>
        <w:t xml:space="preserve">, </w:t>
      </w:r>
      <w:r w:rsidRPr="00C9711D">
        <w:rPr>
          <w:rStyle w:val="VerbatimChar"/>
          <w:rFonts w:asciiTheme="majorHAnsi" w:eastAsiaTheme="minorHAnsi" w:hAnsiTheme="majorHAnsi"/>
          <w:lang w:val="en-US"/>
        </w:rPr>
        <w:t>fos_inv_annual</w:t>
      </w:r>
      <w:r w:rsidRPr="00C9711D">
        <w:rPr>
          <w:rFonts w:asciiTheme="majorHAnsi" w:hAnsiTheme="majorHAnsi"/>
          <w:lang w:val="en-US"/>
        </w:rPr>
        <w:t xml:space="preserve">, plus dashboard </w:t>
      </w:r>
      <w:r w:rsidRPr="00C9711D">
        <w:rPr>
          <w:rStyle w:val="VerbatimChar"/>
          <w:rFonts w:asciiTheme="majorHAnsi" w:eastAsiaTheme="minorHAnsi" w:hAnsiTheme="majorHAnsi"/>
          <w:lang w:val="en-US"/>
        </w:rPr>
        <w:t>baseline_pdp8_annual_comparison</w:t>
      </w:r>
      <w:r w:rsidRPr="00C9711D">
        <w:rPr>
          <w:rFonts w:asciiTheme="majorHAnsi" w:hAnsiTheme="majorHAnsi"/>
          <w:lang w:val="en-US"/>
        </w:rPr>
        <w:t>) compare simulation series to PDP8/Baseline target paths year by year.</w:t>
      </w:r>
    </w:p>
    <w:p w14:paraId="0522C74B" w14:textId="77777777" w:rsidR="001314FA" w:rsidRPr="00C9711D" w:rsidRDefault="001314FA" w:rsidP="00A5230E">
      <w:pPr>
        <w:pStyle w:val="Compact"/>
        <w:numPr>
          <w:ilvl w:val="0"/>
          <w:numId w:val="5"/>
        </w:numPr>
        <w:rPr>
          <w:rFonts w:asciiTheme="majorHAnsi" w:hAnsiTheme="majorHAnsi"/>
          <w:lang w:val="en-US"/>
        </w:rPr>
      </w:pPr>
      <w:r w:rsidRPr="00C9711D">
        <w:rPr>
          <w:rFonts w:asciiTheme="majorHAnsi" w:hAnsiTheme="majorHAnsi"/>
          <w:b/>
          <w:bCs/>
          <w:lang w:val="en-US"/>
        </w:rPr>
        <w:t>Period/end-year consistency checks</w:t>
      </w:r>
      <w:r w:rsidRPr="00C9711D">
        <w:rPr>
          <w:rFonts w:asciiTheme="majorHAnsi" w:hAnsiTheme="majorHAnsi"/>
          <w:lang w:val="en-US"/>
        </w:rPr>
        <w:t xml:space="preserve"> (</w:t>
      </w:r>
      <w:r w:rsidRPr="00C9711D">
        <w:rPr>
          <w:rStyle w:val="VerbatimChar"/>
          <w:rFonts w:asciiTheme="majorHAnsi" w:eastAsiaTheme="minorHAnsi" w:hAnsiTheme="majorHAnsi"/>
          <w:lang w:val="en-US"/>
        </w:rPr>
        <w:t>ren_inv_bar</w:t>
      </w:r>
      <w:r w:rsidRPr="00C9711D">
        <w:rPr>
          <w:rFonts w:asciiTheme="majorHAnsi" w:hAnsiTheme="majorHAnsi"/>
          <w:lang w:val="en-US"/>
        </w:rPr>
        <w:t xml:space="preserve">, </w:t>
      </w:r>
      <w:r w:rsidRPr="00C9711D">
        <w:rPr>
          <w:rStyle w:val="VerbatimChar"/>
          <w:rFonts w:asciiTheme="majorHAnsi" w:eastAsiaTheme="minorHAnsi" w:hAnsiTheme="majorHAnsi"/>
          <w:lang w:val="en-US"/>
        </w:rPr>
        <w:t>fos_inv_bar</w:t>
      </w:r>
      <w:r w:rsidRPr="00C9711D">
        <w:rPr>
          <w:rFonts w:asciiTheme="majorHAnsi" w:hAnsiTheme="majorHAnsi"/>
          <w:lang w:val="en-US"/>
        </w:rPr>
        <w:t xml:space="preserve">, </w:t>
      </w:r>
      <w:r w:rsidRPr="00C9711D">
        <w:rPr>
          <w:rStyle w:val="VerbatimChar"/>
          <w:rFonts w:asciiTheme="majorHAnsi" w:eastAsiaTheme="minorHAnsi" w:hAnsiTheme="majorHAnsi"/>
          <w:lang w:val="en-US"/>
        </w:rPr>
        <w:t>ren_cap_bar</w:t>
      </w:r>
      <w:r w:rsidRPr="00C9711D">
        <w:rPr>
          <w:rFonts w:asciiTheme="majorHAnsi" w:hAnsiTheme="majorHAnsi"/>
          <w:lang w:val="en-US"/>
        </w:rPr>
        <w:t xml:space="preserve">, </w:t>
      </w:r>
      <w:r w:rsidRPr="00C9711D">
        <w:rPr>
          <w:rStyle w:val="VerbatimChar"/>
          <w:rFonts w:asciiTheme="majorHAnsi" w:eastAsiaTheme="minorHAnsi" w:hAnsiTheme="majorHAnsi"/>
          <w:lang w:val="en-US"/>
        </w:rPr>
        <w:t>fos_cap_bar</w:t>
      </w:r>
      <w:r w:rsidRPr="00C9711D">
        <w:rPr>
          <w:rFonts w:asciiTheme="majorHAnsi" w:hAnsiTheme="majorHAnsi"/>
          <w:lang w:val="en-US"/>
        </w:rPr>
        <w:t xml:space="preserve">, plus dashboard </w:t>
      </w:r>
      <w:r w:rsidRPr="00C9711D">
        <w:rPr>
          <w:rStyle w:val="VerbatimChar"/>
          <w:rFonts w:asciiTheme="majorHAnsi" w:eastAsiaTheme="minorHAnsi" w:hAnsiTheme="majorHAnsi"/>
          <w:lang w:val="en-US"/>
        </w:rPr>
        <w:t>baseline_pdp8_period_comparison</w:t>
      </w:r>
      <w:r w:rsidRPr="00C9711D">
        <w:rPr>
          <w:rFonts w:asciiTheme="majorHAnsi" w:hAnsiTheme="majorHAnsi"/>
          <w:lang w:val="en-US"/>
        </w:rPr>
        <w:t>) verify that 5-year investment shares and end-year capacity levels match the planning aggregates used in calibration discussions.</w:t>
      </w:r>
    </w:p>
    <w:p w14:paraId="22442D13" w14:textId="77777777" w:rsidR="001314FA" w:rsidRPr="00C9711D" w:rsidRDefault="001314FA" w:rsidP="001314FA">
      <w:pPr>
        <w:pStyle w:val="IWHFlietext"/>
        <w:rPr>
          <w:lang w:val="en-US"/>
        </w:rPr>
      </w:pPr>
      <w:r w:rsidRPr="00C9711D">
        <w:rPr>
          <w:lang w:val="en-US"/>
        </w:rPr>
        <w:t xml:space="preserve">In practice, Section 4’s data provenance and calibration claims should be read alongside these files in </w:t>
      </w:r>
      <w:r w:rsidRPr="00C9711D">
        <w:rPr>
          <w:rStyle w:val="VerbatimChar"/>
          <w:rFonts w:eastAsiaTheme="minorHAnsi"/>
          <w:lang w:val="en-US"/>
        </w:rPr>
        <w:t>Figures/</w:t>
      </w:r>
      <w:r w:rsidRPr="00C9711D">
        <w:rPr>
          <w:lang w:val="en-US"/>
        </w:rPr>
        <w:t>, because they are the fastest visual QA artifacts for checking whether the solved baseline reproduces the workbook’s energy transition intent.</w:t>
      </w:r>
    </w:p>
    <w:p w14:paraId="2C82032A" w14:textId="77777777" w:rsidR="001314FA" w:rsidRPr="00C9711D" w:rsidRDefault="001314FA" w:rsidP="001314FA">
      <w:pPr>
        <w:pStyle w:val="IWHFlietext"/>
        <w:rPr>
          <w:lang w:val="en-US"/>
        </w:rPr>
      </w:pPr>
      <w:r w:rsidRPr="00C9711D">
        <w:rPr>
          <w:lang w:val="en-US"/>
        </w:rPr>
        <w:t xml:space="preserve">Bar-plot previews used in this section (rendered from </w:t>
      </w:r>
      <w:r w:rsidRPr="00C9711D">
        <w:rPr>
          <w:rStyle w:val="VerbatimChar"/>
          <w:rFonts w:eastAsiaTheme="minorHAnsi"/>
          <w:lang w:val="en-US"/>
        </w:rPr>
        <w:t>Figures/</w:t>
      </w:r>
      <w:r w:rsidRPr="00C9711D">
        <w:rPr>
          <w:lang w:val="en-US"/>
        </w:rPr>
        <w:t>):</w:t>
      </w:r>
    </w:p>
    <w:p w14:paraId="52607623" w14:textId="77777777" w:rsidR="002C3A6E" w:rsidRPr="00C9711D" w:rsidRDefault="001314FA" w:rsidP="002C3A6E">
      <w:pPr>
        <w:pStyle w:val="CaptionedFigure"/>
        <w:rPr>
          <w:lang w:val="en-US"/>
        </w:rPr>
      </w:pPr>
      <w:r w:rsidRPr="00C9711D">
        <w:rPr>
          <w:noProof/>
          <w:lang w:val="en-US"/>
        </w:rPr>
        <w:lastRenderedPageBreak/>
        <w:drawing>
          <wp:inline distT="0" distB="0" distL="0" distR="0" wp14:anchorId="62D3B1C7" wp14:editId="6E57FE00">
            <wp:extent cx="5334000" cy="3738855"/>
            <wp:effectExtent l="0" t="0" r="0" b="0"/>
            <wp:docPr id="69" name="Picture" descr="Renewable capacity end-year comparison"/>
            <wp:cNvGraphicFramePr/>
            <a:graphic xmlns:a="http://schemas.openxmlformats.org/drawingml/2006/main">
              <a:graphicData uri="http://schemas.openxmlformats.org/drawingml/2006/picture">
                <pic:pic xmlns:pic="http://schemas.openxmlformats.org/drawingml/2006/picture">
                  <pic:nvPicPr>
                    <pic:cNvPr id="70" name="Picture" descr="../../Figures/ren_cap_bar.png"/>
                    <pic:cNvPicPr>
                      <a:picLocks noChangeAspect="1" noChangeArrowheads="1"/>
                    </pic:cNvPicPr>
                  </pic:nvPicPr>
                  <pic:blipFill>
                    <a:blip r:embed="rId30"/>
                    <a:stretch>
                      <a:fillRect/>
                    </a:stretch>
                  </pic:blipFill>
                  <pic:spPr bwMode="auto">
                    <a:xfrm>
                      <a:off x="0" y="0"/>
                      <a:ext cx="5334000" cy="3738855"/>
                    </a:xfrm>
                    <a:prstGeom prst="rect">
                      <a:avLst/>
                    </a:prstGeom>
                    <a:noFill/>
                    <a:ln w="9525">
                      <a:noFill/>
                      <a:headEnd/>
                      <a:tailEnd/>
                    </a:ln>
                  </pic:spPr>
                </pic:pic>
              </a:graphicData>
            </a:graphic>
          </wp:inline>
        </w:drawing>
      </w:r>
    </w:p>
    <w:p w14:paraId="29DC0719" w14:textId="03B5FEB2" w:rsidR="001314FA" w:rsidRPr="00C9711D" w:rsidRDefault="002C3A6E" w:rsidP="002C3A6E">
      <w:pPr>
        <w:pStyle w:val="Beschriftung"/>
        <w:rPr>
          <w:lang w:val="en-US"/>
        </w:rPr>
      </w:pPr>
      <w:bookmarkStart w:id="256" w:name="_Toc236050717"/>
      <w:r w:rsidRPr="00C9711D">
        <w:rPr>
          <w:lang w:val="en-US"/>
        </w:rPr>
        <w:t xml:space="preserve">Figure </w:t>
      </w:r>
      <w:r w:rsidRPr="00C9711D">
        <w:rPr>
          <w:lang w:val="en-US"/>
        </w:rPr>
        <w:fldChar w:fldCharType="begin"/>
      </w:r>
      <w:r w:rsidRPr="00C9711D">
        <w:rPr>
          <w:lang w:val="en-US"/>
        </w:rPr>
        <w:instrText xml:space="preserve"> SEQ Figure \* ARABIC </w:instrText>
      </w:r>
      <w:r w:rsidRPr="00C9711D">
        <w:rPr>
          <w:lang w:val="en-US"/>
        </w:rPr>
        <w:fldChar w:fldCharType="separate"/>
      </w:r>
      <w:r w:rsidR="00577A64">
        <w:rPr>
          <w:noProof/>
          <w:lang w:val="en-US"/>
        </w:rPr>
        <w:t>2</w:t>
      </w:r>
      <w:r w:rsidRPr="00C9711D">
        <w:rPr>
          <w:lang w:val="en-US"/>
        </w:rPr>
        <w:fldChar w:fldCharType="end"/>
      </w:r>
      <w:r w:rsidRPr="00C9711D">
        <w:rPr>
          <w:lang w:val="en-US"/>
        </w:rPr>
        <w:t xml:space="preserve">: </w:t>
      </w:r>
      <w:r w:rsidR="001314FA" w:rsidRPr="00C9711D">
        <w:rPr>
          <w:lang w:val="en-US"/>
        </w:rPr>
        <w:t>Baseline simulation vs PDP8 target for renewable installed capacity (end-year levels).</w:t>
      </w:r>
      <w:bookmarkEnd w:id="256"/>
    </w:p>
    <w:p w14:paraId="79090319"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Note: Bars compare the model-implied </w:t>
      </w:r>
      <w:ins w:id="257" w:author="Heinisch, Katja" w:date="2026-07-27T09:22:00Z" w16du:dateUtc="2026-07-27T07:22:00Z">
        <w:r w:rsidR="00583BF7" w:rsidRPr="00C9711D">
          <w:rPr>
            <w:lang w:val="en-US"/>
          </w:rPr>
          <w:t xml:space="preserve">renewables installed </w:t>
        </w:r>
      </w:ins>
      <w:r w:rsidRPr="00C9711D">
        <w:rPr>
          <w:lang w:val="en-US"/>
        </w:rPr>
        <w:t>capacity index to PDP8 index values at the end of each reporting period (</w:t>
      </w:r>
      <w:del w:id="258" w:author="Heinisch, Katja" w:date="2026-07-27T09:22:00Z" w16du:dateUtc="2026-07-27T07:22:00Z">
        <w:r w:rsidRPr="00C9711D">
          <w:rPr>
            <w:lang w:val="en-US"/>
          </w:rPr>
          <w:delText xml:space="preserve">index base: </w:delText>
        </w:r>
      </w:del>
      <w:r w:rsidRPr="00C9711D">
        <w:rPr>
          <w:lang w:val="en-US"/>
        </w:rPr>
        <w:t>2025 = 100).</w:t>
      </w:r>
    </w:p>
    <w:p w14:paraId="69C8DF0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Author calculations </w:t>
      </w:r>
      <w:ins w:id="259" w:author="Heinisch, Katja" w:date="2026-07-27T09:22:00Z" w16du:dateUtc="2026-07-27T07:22:00Z">
        <w:r w:rsidR="00583BF7" w:rsidRPr="00C9711D">
          <w:rPr>
            <w:lang w:val="en-US"/>
          </w:rPr>
          <w:t>based on</w:t>
        </w:r>
      </w:ins>
      <w:del w:id="260" w:author="Heinisch, Katja" w:date="2026-07-27T09:22:00Z" w16du:dateUtc="2026-07-27T07:22:00Z">
        <w:r w:rsidRPr="00C9711D">
          <w:rPr>
            <w:lang w:val="en-US"/>
          </w:rPr>
          <w:delText>from</w:delText>
        </w:r>
      </w:del>
      <w:r w:rsidRPr="00C9711D">
        <w:rPr>
          <w:lang w:val="en-US"/>
        </w:rPr>
        <w:t xml:space="preserve"> baseline simulation output </w:t>
      </w:r>
      <w:r w:rsidRPr="00C9711D">
        <w:rPr>
          <w:rStyle w:val="VerbatimChar"/>
          <w:rFonts w:eastAsiaTheme="minorHAnsi"/>
          <w:lang w:val="en-US"/>
        </w:rPr>
        <w:t>ExcelFiles/Output/Baseline.csv</w:t>
      </w:r>
      <w:r w:rsidRPr="00C9711D">
        <w:rPr>
          <w:lang w:val="en-US"/>
        </w:rPr>
        <w:t xml:space="preserve"> and PDP8 capacity targets </w:t>
      </w:r>
      <w:r w:rsidRPr="00C9711D">
        <w:rPr>
          <w:rStyle w:val="VerbatimChar"/>
          <w:rFonts w:eastAsiaTheme="minorHAnsi"/>
          <w:lang w:val="en-US"/>
        </w:rPr>
        <w:t>ExcelFiles/PDP8/IndexedTrajectories_FossilRenewable_Capacity.csv</w:t>
      </w:r>
      <w:r w:rsidRPr="00C9711D">
        <w:rPr>
          <w:lang w:val="en-US"/>
        </w:rPr>
        <w:t xml:space="preserve">, plotted by </w:t>
      </w:r>
      <w:r w:rsidRPr="00C9711D">
        <w:rPr>
          <w:rStyle w:val="VerbatimChar"/>
          <w:rFonts w:eastAsiaTheme="minorHAnsi"/>
          <w:lang w:val="en-US"/>
        </w:rPr>
        <w:t>scripts/reporting/DisplayBaselineEnergy.m</w:t>
      </w:r>
      <w:r w:rsidRPr="00C9711D">
        <w:rPr>
          <w:lang w:val="en-US"/>
        </w:rPr>
        <w:t>.</w:t>
      </w:r>
    </w:p>
    <w:p w14:paraId="3E1D74BD" w14:textId="77777777" w:rsidR="002C3A6E" w:rsidRPr="00C9711D" w:rsidRDefault="001314FA" w:rsidP="002C3A6E">
      <w:pPr>
        <w:pStyle w:val="CaptionedFigure"/>
        <w:rPr>
          <w:lang w:val="en-US"/>
        </w:rPr>
      </w:pPr>
      <w:r w:rsidRPr="00C9711D">
        <w:rPr>
          <w:noProof/>
          <w:lang w:val="en-US"/>
        </w:rPr>
        <w:lastRenderedPageBreak/>
        <w:drawing>
          <wp:inline distT="0" distB="0" distL="0" distR="0" wp14:anchorId="40B8369E" wp14:editId="76142589">
            <wp:extent cx="5334000" cy="3789138"/>
            <wp:effectExtent l="0" t="0" r="0" b="0"/>
            <wp:docPr id="72" name="Picture" descr="Fossil capacity end-year comparison"/>
            <wp:cNvGraphicFramePr/>
            <a:graphic xmlns:a="http://schemas.openxmlformats.org/drawingml/2006/main">
              <a:graphicData uri="http://schemas.openxmlformats.org/drawingml/2006/picture">
                <pic:pic xmlns:pic="http://schemas.openxmlformats.org/drawingml/2006/picture">
                  <pic:nvPicPr>
                    <pic:cNvPr id="73" name="Picture" descr="../../Figures/fos_cap_bar.png"/>
                    <pic:cNvPicPr>
                      <a:picLocks noChangeAspect="1" noChangeArrowheads="1"/>
                    </pic:cNvPicPr>
                  </pic:nvPicPr>
                  <pic:blipFill>
                    <a:blip r:embed="rId31"/>
                    <a:stretch>
                      <a:fillRect/>
                    </a:stretch>
                  </pic:blipFill>
                  <pic:spPr bwMode="auto">
                    <a:xfrm>
                      <a:off x="0" y="0"/>
                      <a:ext cx="5334000" cy="3789138"/>
                    </a:xfrm>
                    <a:prstGeom prst="rect">
                      <a:avLst/>
                    </a:prstGeom>
                    <a:noFill/>
                    <a:ln w="9525">
                      <a:noFill/>
                      <a:headEnd/>
                      <a:tailEnd/>
                    </a:ln>
                  </pic:spPr>
                </pic:pic>
              </a:graphicData>
            </a:graphic>
          </wp:inline>
        </w:drawing>
      </w:r>
    </w:p>
    <w:p w14:paraId="5A8E1AC0" w14:textId="30099CF5" w:rsidR="001314FA" w:rsidRPr="00C9711D" w:rsidRDefault="002C3A6E" w:rsidP="002C3A6E">
      <w:pPr>
        <w:pStyle w:val="Beschriftung"/>
        <w:rPr>
          <w:lang w:val="en-US"/>
        </w:rPr>
      </w:pPr>
      <w:bookmarkStart w:id="261" w:name="_Toc236050718"/>
      <w:r w:rsidRPr="00C9711D">
        <w:rPr>
          <w:lang w:val="en-US"/>
        </w:rPr>
        <w:t xml:space="preserve">Figure </w:t>
      </w:r>
      <w:r w:rsidRPr="00C9711D">
        <w:rPr>
          <w:lang w:val="en-US"/>
        </w:rPr>
        <w:fldChar w:fldCharType="begin"/>
      </w:r>
      <w:r w:rsidRPr="00C9711D">
        <w:rPr>
          <w:lang w:val="en-US"/>
        </w:rPr>
        <w:instrText xml:space="preserve"> SEQ Figure \* ARABIC </w:instrText>
      </w:r>
      <w:r w:rsidRPr="00C9711D">
        <w:rPr>
          <w:lang w:val="en-US"/>
        </w:rPr>
        <w:fldChar w:fldCharType="separate"/>
      </w:r>
      <w:r w:rsidR="00577A64">
        <w:rPr>
          <w:noProof/>
          <w:lang w:val="en-US"/>
        </w:rPr>
        <w:t>3</w:t>
      </w:r>
      <w:r w:rsidRPr="00C9711D">
        <w:rPr>
          <w:lang w:val="en-US"/>
        </w:rPr>
        <w:fldChar w:fldCharType="end"/>
      </w:r>
      <w:r w:rsidRPr="00C9711D">
        <w:rPr>
          <w:lang w:val="en-US"/>
        </w:rPr>
        <w:t>:</w:t>
      </w:r>
      <w:r w:rsidR="001314FA" w:rsidRPr="00C9711D">
        <w:rPr>
          <w:lang w:val="en-US"/>
        </w:rPr>
        <w:t xml:space="preserve"> Baseline simulation vs PDP8 target for fossil installed capacity (end-year levels).</w:t>
      </w:r>
      <w:bookmarkEnd w:id="261"/>
    </w:p>
    <w:p w14:paraId="18A50D78"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compare the model-implied capacity index to PDP8 index values at the end of each reporting period (</w:t>
      </w:r>
      <w:del w:id="262" w:author="Heinisch, Katja" w:date="2026-07-27T09:22:00Z" w16du:dateUtc="2026-07-27T07:22:00Z">
        <w:r w:rsidRPr="00C9711D">
          <w:rPr>
            <w:lang w:val="en-US"/>
          </w:rPr>
          <w:delText xml:space="preserve">index base: </w:delText>
        </w:r>
      </w:del>
      <w:r w:rsidRPr="00C9711D">
        <w:rPr>
          <w:lang w:val="en-US"/>
        </w:rPr>
        <w:t>2025 = 100).</w:t>
      </w:r>
    </w:p>
    <w:p w14:paraId="0F0286A5"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Author calculations </w:t>
      </w:r>
      <w:ins w:id="263" w:author="Heinisch, Katja" w:date="2026-07-27T09:22:00Z" w16du:dateUtc="2026-07-27T07:22:00Z">
        <w:r w:rsidR="00583BF7" w:rsidRPr="00C9711D">
          <w:rPr>
            <w:lang w:val="en-US"/>
          </w:rPr>
          <w:t>based on</w:t>
        </w:r>
      </w:ins>
      <w:del w:id="264" w:author="Heinisch, Katja" w:date="2026-07-27T09:22:00Z" w16du:dateUtc="2026-07-27T07:22:00Z">
        <w:r w:rsidRPr="00C9711D">
          <w:rPr>
            <w:lang w:val="en-US"/>
          </w:rPr>
          <w:delText>from</w:delText>
        </w:r>
      </w:del>
      <w:r w:rsidRPr="00C9711D">
        <w:rPr>
          <w:lang w:val="en-US"/>
        </w:rPr>
        <w:t xml:space="preserve"> baseline simulation output </w:t>
      </w:r>
      <w:r w:rsidRPr="00C9711D">
        <w:rPr>
          <w:rStyle w:val="VerbatimChar"/>
          <w:rFonts w:eastAsiaTheme="minorHAnsi"/>
          <w:lang w:val="en-US"/>
        </w:rPr>
        <w:t>ExcelFiles/Output/Baseline.csv</w:t>
      </w:r>
      <w:r w:rsidRPr="00C9711D">
        <w:rPr>
          <w:lang w:val="en-US"/>
        </w:rPr>
        <w:t xml:space="preserve"> and PDP8 capacity targets </w:t>
      </w:r>
      <w:r w:rsidRPr="00C9711D">
        <w:rPr>
          <w:rStyle w:val="VerbatimChar"/>
          <w:rFonts w:eastAsiaTheme="minorHAnsi"/>
          <w:lang w:val="en-US"/>
        </w:rPr>
        <w:t>ExcelFiles/PDP8/IndexedTrajectories_FossilRenewable_Capacity.csv</w:t>
      </w:r>
      <w:r w:rsidRPr="00C9711D">
        <w:rPr>
          <w:lang w:val="en-US"/>
        </w:rPr>
        <w:t xml:space="preserve">, plotted by </w:t>
      </w:r>
      <w:r w:rsidRPr="00C9711D">
        <w:rPr>
          <w:rStyle w:val="VerbatimChar"/>
          <w:rFonts w:eastAsiaTheme="minorHAnsi"/>
          <w:lang w:val="en-US"/>
        </w:rPr>
        <w:t>scripts/reporting/DisplayBaselineEnergy.m</w:t>
      </w:r>
      <w:r w:rsidRPr="00C9711D">
        <w:rPr>
          <w:lang w:val="en-US"/>
        </w:rPr>
        <w:t>.</w:t>
      </w:r>
    </w:p>
    <w:p w14:paraId="7F4C7A9A" w14:textId="77777777" w:rsidR="00C9711D" w:rsidRDefault="001314FA" w:rsidP="00C9711D">
      <w:pPr>
        <w:pStyle w:val="CaptionedFigure"/>
      </w:pPr>
      <w:r w:rsidRPr="00C9711D">
        <w:rPr>
          <w:noProof/>
          <w:lang w:val="en-US"/>
        </w:rPr>
        <w:lastRenderedPageBreak/>
        <w:drawing>
          <wp:inline distT="0" distB="0" distL="0" distR="0" wp14:anchorId="7DF0E650" wp14:editId="1DC07A7C">
            <wp:extent cx="5334000" cy="3941949"/>
            <wp:effectExtent l="0" t="0" r="0" b="0"/>
            <wp:docPr id="75" name="Picture" descr="Renewable investment share by period"/>
            <wp:cNvGraphicFramePr/>
            <a:graphic xmlns:a="http://schemas.openxmlformats.org/drawingml/2006/main">
              <a:graphicData uri="http://schemas.openxmlformats.org/drawingml/2006/picture">
                <pic:pic xmlns:pic="http://schemas.openxmlformats.org/drawingml/2006/picture">
                  <pic:nvPicPr>
                    <pic:cNvPr id="76" name="Picture" descr="../../Figures/ren_inv_bar.png"/>
                    <pic:cNvPicPr>
                      <a:picLocks noChangeAspect="1" noChangeArrowheads="1"/>
                    </pic:cNvPicPr>
                  </pic:nvPicPr>
                  <pic:blipFill>
                    <a:blip r:embed="rId32"/>
                    <a:stretch>
                      <a:fillRect/>
                    </a:stretch>
                  </pic:blipFill>
                  <pic:spPr bwMode="auto">
                    <a:xfrm>
                      <a:off x="0" y="0"/>
                      <a:ext cx="5334000" cy="3941949"/>
                    </a:xfrm>
                    <a:prstGeom prst="rect">
                      <a:avLst/>
                    </a:prstGeom>
                    <a:noFill/>
                    <a:ln w="9525">
                      <a:noFill/>
                      <a:headEnd/>
                      <a:tailEnd/>
                    </a:ln>
                  </pic:spPr>
                </pic:pic>
              </a:graphicData>
            </a:graphic>
          </wp:inline>
        </w:drawing>
      </w:r>
    </w:p>
    <w:p w14:paraId="62FD26C1" w14:textId="0BC90348" w:rsidR="001314FA" w:rsidRPr="00C9711D" w:rsidRDefault="00C9711D" w:rsidP="00C9711D">
      <w:pPr>
        <w:pStyle w:val="Beschriftung"/>
        <w:rPr>
          <w:lang w:val="en-US"/>
        </w:rPr>
      </w:pPr>
      <w:bookmarkStart w:id="265" w:name="_Toc236050719"/>
      <w:r>
        <w:t xml:space="preserve">Figure </w:t>
      </w:r>
      <w:fldSimple w:instr=" SEQ Figure \* ARABIC ">
        <w:r w:rsidR="00577A64">
          <w:rPr>
            <w:noProof/>
          </w:rPr>
          <w:t>4</w:t>
        </w:r>
      </w:fldSimple>
      <w:r>
        <w:t>:</w:t>
      </w:r>
      <w:ins w:id="266" w:author="Heinisch, Katja" w:date="2026-07-27T13:27:00Z" w16du:dateUtc="2026-07-27T11:27:00Z">
        <w:r w:rsidR="008C5991">
          <w:t xml:space="preserve"> </w:t>
        </w:r>
      </w:ins>
      <w:r w:rsidR="001314FA" w:rsidRPr="00C9711D">
        <w:rPr>
          <w:lang w:val="en-US"/>
        </w:rPr>
        <w:t>Baseline simulation vs PDP8 target for renewable investment share.</w:t>
      </w:r>
      <w:bookmarkEnd w:id="265"/>
    </w:p>
    <w:p w14:paraId="24C4A1D1"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Each bar reports renewable investment as a share of GDP aggregated over a 5-year period (</w:t>
      </w:r>
      <w:r w:rsidRPr="00C9711D">
        <w:rPr>
          <w:rStyle w:val="VerbatimChar"/>
          <w:rFonts w:eastAsiaTheme="minorHAnsi"/>
          <w:lang w:val="en-US"/>
        </w:rPr>
        <w:t>% of period GDP</w:t>
      </w:r>
      <w:r w:rsidRPr="00C9711D">
        <w:rPr>
          <w:lang w:val="en-US"/>
        </w:rPr>
        <w:t>), comparing simulation outcomes to the baseline workbook target path.</w:t>
      </w:r>
    </w:p>
    <w:p w14:paraId="26809164"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Author calculations </w:t>
      </w:r>
      <w:ins w:id="267" w:author="Heinisch, Katja" w:date="2026-07-27T09:22:00Z" w16du:dateUtc="2026-07-27T07:22:00Z">
        <w:r w:rsidR="00583BF7" w:rsidRPr="00C9711D">
          <w:rPr>
            <w:lang w:val="en-US"/>
          </w:rPr>
          <w:t>based on</w:t>
        </w:r>
      </w:ins>
      <w:del w:id="268" w:author="Heinisch, Katja" w:date="2026-07-27T09:22:00Z" w16du:dateUtc="2026-07-27T07:22:00Z">
        <w:r w:rsidRPr="00C9711D">
          <w:rPr>
            <w:lang w:val="en-US"/>
          </w:rPr>
          <w:delText>from</w:delText>
        </w:r>
      </w:del>
      <w:r w:rsidRPr="00C9711D">
        <w:rPr>
          <w:lang w:val="en-US"/>
        </w:rPr>
        <w:t xml:space="preserve"> baseline simulation output </w:t>
      </w:r>
      <w:r w:rsidRPr="00C9711D">
        <w:rPr>
          <w:rStyle w:val="VerbatimChar"/>
          <w:rFonts w:eastAsiaTheme="minorHAnsi"/>
          <w:lang w:val="en-US"/>
        </w:rPr>
        <w:t>ExcelFiles/Output/Baseline.csv</w:t>
      </w:r>
      <w:r w:rsidRPr="00C9711D">
        <w:rPr>
          <w:lang w:val="en-US"/>
        </w:rPr>
        <w:t xml:space="preserve"> and baseline target workbook </w:t>
      </w:r>
      <w:r w:rsidRPr="00C9711D">
        <w:rPr>
          <w:rStyle w:val="VerbatimChar"/>
          <w:rFonts w:eastAsiaTheme="minorHAnsi"/>
          <w:lang w:val="en-US"/>
        </w:rPr>
        <w:t>ExcelFiles/ModelBaseline5Sectorsand1Regions.xlsx</w:t>
      </w:r>
      <w:r w:rsidRPr="00C9711D">
        <w:rPr>
          <w:lang w:val="en-US"/>
        </w:rPr>
        <w:t xml:space="preserve"> (sheet </w:t>
      </w:r>
      <w:r w:rsidRPr="00C9711D">
        <w:rPr>
          <w:rStyle w:val="VerbatimChar"/>
          <w:rFonts w:eastAsiaTheme="minorHAnsi"/>
          <w:lang w:val="en-US"/>
        </w:rPr>
        <w:t>Baseline</w:t>
      </w:r>
      <w:r w:rsidRPr="00C9711D">
        <w:rPr>
          <w:lang w:val="en-US"/>
        </w:rPr>
        <w:t xml:space="preserve">), plotted by </w:t>
      </w:r>
      <w:r w:rsidRPr="00C9711D">
        <w:rPr>
          <w:rStyle w:val="VerbatimChar"/>
          <w:rFonts w:eastAsiaTheme="minorHAnsi"/>
          <w:lang w:val="en-US"/>
        </w:rPr>
        <w:t>scripts/reporting/DisplayBaselineEnergy.m</w:t>
      </w:r>
      <w:r w:rsidRPr="00C9711D">
        <w:rPr>
          <w:lang w:val="en-US"/>
        </w:rPr>
        <w:t>.</w:t>
      </w:r>
    </w:p>
    <w:p w14:paraId="52D3014D" w14:textId="77777777" w:rsidR="00C9711D" w:rsidRDefault="001314FA" w:rsidP="00C9711D">
      <w:pPr>
        <w:pStyle w:val="CaptionedFigure"/>
      </w:pPr>
      <w:r w:rsidRPr="00C9711D">
        <w:rPr>
          <w:noProof/>
          <w:lang w:val="en-US"/>
        </w:rPr>
        <w:lastRenderedPageBreak/>
        <w:drawing>
          <wp:inline distT="0" distB="0" distL="0" distR="0" wp14:anchorId="7C279E6A" wp14:editId="16F551A1">
            <wp:extent cx="5334000" cy="3941949"/>
            <wp:effectExtent l="0" t="0" r="0" b="0"/>
            <wp:docPr id="78" name="Picture" descr="Fossil investment share by period"/>
            <wp:cNvGraphicFramePr/>
            <a:graphic xmlns:a="http://schemas.openxmlformats.org/drawingml/2006/main">
              <a:graphicData uri="http://schemas.openxmlformats.org/drawingml/2006/picture">
                <pic:pic xmlns:pic="http://schemas.openxmlformats.org/drawingml/2006/picture">
                  <pic:nvPicPr>
                    <pic:cNvPr id="79" name="Picture" descr="../../Figures/fos_inv_bar.png"/>
                    <pic:cNvPicPr>
                      <a:picLocks noChangeAspect="1" noChangeArrowheads="1"/>
                    </pic:cNvPicPr>
                  </pic:nvPicPr>
                  <pic:blipFill>
                    <a:blip r:embed="rId33"/>
                    <a:stretch>
                      <a:fillRect/>
                    </a:stretch>
                  </pic:blipFill>
                  <pic:spPr bwMode="auto">
                    <a:xfrm>
                      <a:off x="0" y="0"/>
                      <a:ext cx="5334000" cy="3941949"/>
                    </a:xfrm>
                    <a:prstGeom prst="rect">
                      <a:avLst/>
                    </a:prstGeom>
                    <a:noFill/>
                    <a:ln w="9525">
                      <a:noFill/>
                      <a:headEnd/>
                      <a:tailEnd/>
                    </a:ln>
                  </pic:spPr>
                </pic:pic>
              </a:graphicData>
            </a:graphic>
          </wp:inline>
        </w:drawing>
      </w:r>
    </w:p>
    <w:p w14:paraId="5F13E82A" w14:textId="3F6E06BD" w:rsidR="001314FA" w:rsidRPr="00C9711D" w:rsidRDefault="00C9711D" w:rsidP="00C9711D">
      <w:pPr>
        <w:pStyle w:val="Beschriftung"/>
        <w:rPr>
          <w:lang w:val="en-US"/>
        </w:rPr>
      </w:pPr>
      <w:bookmarkStart w:id="269" w:name="_Toc236050720"/>
      <w:r>
        <w:t xml:space="preserve">Figure </w:t>
      </w:r>
      <w:fldSimple w:instr=" SEQ Figure \* ARABIC ">
        <w:r w:rsidR="00577A64">
          <w:rPr>
            <w:noProof/>
          </w:rPr>
          <w:t>5</w:t>
        </w:r>
      </w:fldSimple>
      <w:r>
        <w:t>:</w:t>
      </w:r>
      <w:ins w:id="270" w:author="Heinisch, Katja" w:date="2026-07-27T13:27:00Z" w16du:dateUtc="2026-07-27T11:27:00Z">
        <w:r w:rsidR="008C5991">
          <w:t xml:space="preserve"> </w:t>
        </w:r>
      </w:ins>
      <w:r w:rsidR="001314FA" w:rsidRPr="00C9711D">
        <w:rPr>
          <w:lang w:val="en-US"/>
        </w:rPr>
        <w:t>Baseline simulation vs PDP8 target for fossil investment share.</w:t>
      </w:r>
      <w:bookmarkEnd w:id="269"/>
    </w:p>
    <w:p w14:paraId="19BE7797"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Each bar reports fossil investment as a share of GDP aggregated over a 5-year period (</w:t>
      </w:r>
      <w:r w:rsidRPr="00C9711D">
        <w:rPr>
          <w:rStyle w:val="VerbatimChar"/>
          <w:rFonts w:eastAsiaTheme="minorHAnsi"/>
          <w:lang w:val="en-US"/>
        </w:rPr>
        <w:t>% of period GDP</w:t>
      </w:r>
      <w:r w:rsidRPr="00C9711D">
        <w:rPr>
          <w:lang w:val="en-US"/>
        </w:rPr>
        <w:t>), comparing simulation outcomes to the baseline workbook target path.</w:t>
      </w:r>
    </w:p>
    <w:p w14:paraId="3AFE97A6"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Author calculations </w:t>
      </w:r>
      <w:ins w:id="271" w:author="Heinisch, Katja" w:date="2026-07-27T09:22:00Z" w16du:dateUtc="2026-07-27T07:22:00Z">
        <w:r w:rsidR="00583BF7" w:rsidRPr="00C9711D">
          <w:rPr>
            <w:lang w:val="en-US"/>
          </w:rPr>
          <w:t>based on</w:t>
        </w:r>
      </w:ins>
      <w:del w:id="272" w:author="Heinisch, Katja" w:date="2026-07-27T09:22:00Z" w16du:dateUtc="2026-07-27T07:22:00Z">
        <w:r w:rsidRPr="00C9711D">
          <w:rPr>
            <w:lang w:val="en-US"/>
          </w:rPr>
          <w:delText>from</w:delText>
        </w:r>
      </w:del>
      <w:r w:rsidRPr="00C9711D">
        <w:rPr>
          <w:lang w:val="en-US"/>
        </w:rPr>
        <w:t xml:space="preserve"> baseline simulation output </w:t>
      </w:r>
      <w:r w:rsidRPr="00C9711D">
        <w:rPr>
          <w:rStyle w:val="VerbatimChar"/>
          <w:rFonts w:eastAsiaTheme="minorHAnsi"/>
          <w:lang w:val="en-US"/>
        </w:rPr>
        <w:t>ExcelFiles/Output/Baseline.csv</w:t>
      </w:r>
      <w:r w:rsidRPr="00C9711D">
        <w:rPr>
          <w:lang w:val="en-US"/>
        </w:rPr>
        <w:t xml:space="preserve"> and baseline target workbook </w:t>
      </w:r>
      <w:r w:rsidRPr="00C9711D">
        <w:rPr>
          <w:rStyle w:val="VerbatimChar"/>
          <w:rFonts w:eastAsiaTheme="minorHAnsi"/>
          <w:lang w:val="en-US"/>
        </w:rPr>
        <w:t>ExcelFiles/ModelBaseline5Sectorsand1Regions.xlsx</w:t>
      </w:r>
      <w:r w:rsidRPr="00C9711D">
        <w:rPr>
          <w:lang w:val="en-US"/>
        </w:rPr>
        <w:t xml:space="preserve"> (sheet </w:t>
      </w:r>
      <w:r w:rsidRPr="00C9711D">
        <w:rPr>
          <w:rStyle w:val="VerbatimChar"/>
          <w:rFonts w:eastAsiaTheme="minorHAnsi"/>
          <w:lang w:val="en-US"/>
        </w:rPr>
        <w:t>Baseline</w:t>
      </w:r>
      <w:r w:rsidRPr="00C9711D">
        <w:rPr>
          <w:lang w:val="en-US"/>
        </w:rPr>
        <w:t xml:space="preserve">), plotted by </w:t>
      </w:r>
      <w:r w:rsidRPr="00C9711D">
        <w:rPr>
          <w:rStyle w:val="VerbatimChar"/>
          <w:rFonts w:eastAsiaTheme="minorHAnsi"/>
          <w:lang w:val="en-US"/>
        </w:rPr>
        <w:t>scripts/reporting/DisplayBaselineEnergy.m</w:t>
      </w:r>
      <w:r w:rsidRPr="00C9711D">
        <w:rPr>
          <w:lang w:val="en-US"/>
        </w:rPr>
        <w:t>.</w:t>
      </w:r>
    </w:p>
    <w:p w14:paraId="5A36265C" w14:textId="2C8989EF" w:rsidR="00C70881" w:rsidRPr="00C9711D" w:rsidRDefault="00583BF7" w:rsidP="00C9711D">
      <w:pPr>
        <w:pStyle w:val="IWHFlietext"/>
        <w:rPr>
          <w:ins w:id="273" w:author="Heinisch, Katja" w:date="2026-07-27T09:22:00Z" w16du:dateUtc="2026-07-27T07:22:00Z"/>
          <w:lang w:val="en-US"/>
        </w:rPr>
      </w:pPr>
      <w:ins w:id="274" w:author="Heinisch, Katja" w:date="2026-07-27T09:22:00Z" w16du:dateUtc="2026-07-27T07:22:00Z">
        <w:r w:rsidRPr="00C9711D">
          <w:rPr>
            <w:lang w:val="en-US"/>
          </w:rPr>
          <w:t>Taken together, the diagnostic results indicate that the calibrated baseline reproduces the principal macroeconomic and energy-sector characteristics that define the reference scenario. This provides confidence that subsequent differences between policy scenarios can be attributed to the simulated policy interventions rather than inconsistencies in the underlying calibration</w:t>
        </w:r>
      </w:ins>
    </w:p>
    <w:p w14:paraId="7777C8A5" w14:textId="495956AE" w:rsidR="00C9711D" w:rsidRDefault="00A5230E" w:rsidP="00752B43">
      <w:pPr>
        <w:pStyle w:val="berschrift1"/>
        <w:rPr>
          <w:lang w:val="en-US"/>
        </w:rPr>
      </w:pPr>
      <w:bookmarkStart w:id="275" w:name="_Toc236050659"/>
      <w:ins w:id="276" w:author="Heinisch, Katja" w:date="2026-07-27T09:22:00Z" w16du:dateUtc="2026-07-27T07:22:00Z">
        <w:r w:rsidRPr="00C9711D">
          <w:rPr>
            <w:lang w:val="en-US"/>
          </w:rPr>
          <w:t>Solution Method</w:t>
        </w:r>
      </w:ins>
      <w:bookmarkEnd w:id="275"/>
    </w:p>
    <w:p w14:paraId="4ABB1297" w14:textId="3838D608" w:rsidR="0000717F" w:rsidRPr="00C9711D" w:rsidRDefault="0000717F" w:rsidP="00C9711D">
      <w:pPr>
        <w:pStyle w:val="IWHFlietext"/>
        <w:rPr>
          <w:ins w:id="277" w:author="Heinisch, Katja" w:date="2026-07-27T09:22:00Z" w16du:dateUtc="2026-07-27T07:22:00Z"/>
          <w:lang w:val="en-US"/>
        </w:rPr>
      </w:pPr>
      <w:ins w:id="278" w:author="Heinisch, Katja" w:date="2026-07-27T09:22:00Z" w16du:dateUtc="2026-07-27T07:22:00Z">
        <w:r w:rsidRPr="00C9711D">
          <w:rPr>
            <w:lang w:val="en-US"/>
          </w:rPr>
          <w:t xml:space="preserve">DGE-METRIC is implemented in </w:t>
        </w:r>
        <w:r w:rsidRPr="00C9711D">
          <w:rPr>
            <w:b/>
            <w:bCs/>
            <w:lang w:val="en-US"/>
          </w:rPr>
          <w:t>Dynare</w:t>
        </w:r>
        <w:r w:rsidRPr="00C9711D">
          <w:rPr>
            <w:lang w:val="en-US"/>
          </w:rPr>
          <w:t xml:space="preserve"> and </w:t>
        </w:r>
        <w:r w:rsidRPr="00C9711D">
          <w:rPr>
            <w:b/>
            <w:bCs/>
            <w:lang w:val="en-US"/>
          </w:rPr>
          <w:t>MATLAB</w:t>
        </w:r>
        <w:r w:rsidRPr="00C9711D">
          <w:rPr>
            <w:lang w:val="en-US"/>
          </w:rPr>
          <w:t xml:space="preserve"> and solved as a deterministic, forward-looking dynamic general equilibrium model under perfect foresight. The solution framework combines Dynare's nonlinear equilibrium solver with a custom calibration pipeline developed specifically for DGE-METRIC. This pipeline constructs an internally consistent benchmark economy, calibrates residual model parameters, initializes the transition path, and subsequently evaluates alternative policy scenarios within a common computational framework. </w:t>
        </w:r>
      </w:ins>
    </w:p>
    <w:p w14:paraId="30856560" w14:textId="254EFB0D" w:rsidR="0000717F" w:rsidRPr="00C9711D" w:rsidRDefault="0000717F" w:rsidP="00C9711D">
      <w:pPr>
        <w:pStyle w:val="IWHFlietext"/>
        <w:rPr>
          <w:ins w:id="279" w:author="Heinisch, Katja" w:date="2026-07-27T09:22:00Z" w16du:dateUtc="2026-07-27T07:22:00Z"/>
          <w:lang w:val="en-US"/>
        </w:rPr>
      </w:pPr>
      <w:ins w:id="280" w:author="Heinisch, Katja" w:date="2026-07-27T09:22:00Z" w16du:dateUtc="2026-07-27T07:22:00Z">
        <w:r w:rsidRPr="00C9711D">
          <w:rPr>
            <w:lang w:val="en-US"/>
          </w:rPr>
          <w:t xml:space="preserve">The economic model is defined in modular Dynare source files, empirical calibration is managed through structured Excel workbooks and MATLAB routines, and scenario simulations are executed through dedicated simulation scripts. This modular architecture improves transparency, facilitates model </w:t>
        </w:r>
        <w:r w:rsidRPr="00C9711D">
          <w:rPr>
            <w:lang w:val="en-US"/>
          </w:rPr>
          <w:lastRenderedPageBreak/>
          <w:t>maintenance, and allows individual components of the framework to be modified or extended without affecting the overall solution procedure.</w:t>
        </w:r>
      </w:ins>
    </w:p>
    <w:p w14:paraId="12F4CD15" w14:textId="7EC6D89B" w:rsidR="00C70881" w:rsidRPr="00C9711D" w:rsidRDefault="00A5230E" w:rsidP="002A4BF9">
      <w:pPr>
        <w:pStyle w:val="berschrift2"/>
        <w:rPr>
          <w:ins w:id="281" w:author="Heinisch, Katja" w:date="2026-07-27T09:22:00Z" w16du:dateUtc="2026-07-27T07:22:00Z"/>
          <w:lang w:val="en-US"/>
        </w:rPr>
      </w:pPr>
      <w:bookmarkStart w:id="282" w:name="_Toc236050660"/>
      <w:ins w:id="283" w:author="Heinisch, Katja" w:date="2026-07-27T09:22:00Z" w16du:dateUtc="2026-07-27T07:22:00Z">
        <w:r w:rsidRPr="00C9711D">
          <w:rPr>
            <w:lang w:val="en-US"/>
          </w:rPr>
          <w:t>Dynare perfect-foresight solving</w:t>
        </w:r>
        <w:bookmarkEnd w:id="282"/>
      </w:ins>
    </w:p>
    <w:p w14:paraId="22AFE80E" w14:textId="66B6C28D" w:rsidR="001314FA" w:rsidRPr="00C9711D" w:rsidRDefault="00A5230E" w:rsidP="001314FA">
      <w:pPr>
        <w:pStyle w:val="IWHFlietext"/>
        <w:rPr>
          <w:lang w:val="en-US"/>
        </w:rPr>
      </w:pPr>
      <w:ins w:id="284" w:author="Heinisch, Katja" w:date="2026-07-27T09:22:00Z" w16du:dateUtc="2026-07-27T07:22:00Z">
        <w:r w:rsidRPr="00C9711D">
          <w:rPr>
            <w:lang w:val="en-US"/>
          </w:rPr>
          <w:t xml:space="preserve">DGE-METRIC is </w:t>
        </w:r>
        <w:r w:rsidR="0000717F" w:rsidRPr="00C9711D">
          <w:rPr>
            <w:lang w:val="en-US"/>
          </w:rPr>
          <w:t xml:space="preserve">implemented in </w:t>
        </w:r>
        <w:r w:rsidR="0000717F" w:rsidRPr="00C9711D">
          <w:rPr>
            <w:b/>
            <w:bCs/>
            <w:lang w:val="en-US"/>
          </w:rPr>
          <w:t>Dynare</w:t>
        </w:r>
        <w:r w:rsidR="0000717F" w:rsidRPr="00C9711D">
          <w:rPr>
            <w:lang w:val="en-US"/>
          </w:rPr>
          <w:t xml:space="preserve"> and solved using its deterministic perfect-foresight simulation framework. Economic </w:t>
        </w:r>
        <w:r w:rsidRPr="00C9711D">
          <w:rPr>
            <w:lang w:val="en-US"/>
          </w:rPr>
          <w:t xml:space="preserve">agents </w:t>
        </w:r>
        <w:r w:rsidR="0000717F" w:rsidRPr="00C9711D">
          <w:rPr>
            <w:lang w:val="en-US"/>
          </w:rPr>
          <w:t>are assumed to</w:t>
        </w:r>
      </w:ins>
      <w:bookmarkStart w:id="285" w:name="dynare-perfect-foresight-solving"/>
      <w:bookmarkStart w:id="286" w:name="solution-method"/>
      <w:bookmarkEnd w:id="139"/>
      <w:bookmarkEnd w:id="246"/>
      <w:del w:id="287" w:author="Heinisch, Katja" w:date="2026-07-27T09:22:00Z" w16du:dateUtc="2026-07-27T07:22:00Z">
        <w:r w:rsidR="001314FA" w:rsidRPr="00C9711D">
          <w:rPr>
            <w:lang w:val="en-US"/>
          </w:rPr>
          <w:delText>DGE-METRIC is solved with Dynare’s deterministic (perfect-foresight) simulation routines: agents have</w:delText>
        </w:r>
      </w:del>
      <w:r w:rsidR="001314FA" w:rsidRPr="00C9711D">
        <w:rPr>
          <w:lang w:val="en-US"/>
        </w:rPr>
        <w:t xml:space="preserve"> full knowledge of the future path of exogenous shocks and policy variables, and the model solves for the transition path that satisfies all first-order conditions and market-clearing conditions simultaneously across the full 2026–2050 horizon.</w:t>
      </w:r>
      <w:del w:id="288" w:author="Heinisch, Katja" w:date="2026-07-27T09:22:00Z" w16du:dateUtc="2026-07-27T07:22:00Z">
        <w:r w:rsidR="001314FA" w:rsidRPr="00C9711D">
          <w:rPr>
            <w:lang w:val="en-US"/>
          </w:rPr>
          <w:delText xml:space="preserve"> This is the right solution concept for anticipated, pre-announced policy paths (e.g. a legislated ETS cap schedule or a pre-announced PDP8 investment plan), as opposed to a stochastic/linearized solution concept built for analyzing responses to unanticipated shocks.</w:delText>
        </w:r>
      </w:del>
    </w:p>
    <w:p w14:paraId="546C49DD" w14:textId="5CA78045" w:rsidR="00C70881" w:rsidRPr="00C9711D" w:rsidRDefault="0000717F" w:rsidP="00C9711D">
      <w:pPr>
        <w:pStyle w:val="IWHFlietext"/>
        <w:rPr>
          <w:ins w:id="289" w:author="Heinisch, Katja" w:date="2026-07-27T09:22:00Z" w16du:dateUtc="2026-07-27T07:22:00Z"/>
        </w:rPr>
      </w:pPr>
      <w:ins w:id="290" w:author="Heinisch, Katja" w:date="2026-07-27T09:22:00Z" w16du:dateUtc="2026-07-27T07:22:00Z">
        <w:r w:rsidRPr="00C9711D">
          <w:rPr>
            <w:lang w:val="en-US"/>
          </w:rPr>
          <w:t xml:space="preserve">The deterministic perfect-foresight framework is well suited to the policy questions addressed in this report. The principal policy interventions—including the implementation of the revised Power Development Plan VIII (PDP8), the introduction of an emissions trading system (ETS), improvements in energy efficiency, and alternative green-finance strategies—represent announced policy pathways rather than unforeseen shocks. Forward-looking households and firms therefore adjust investment, production, consumption, and financing decisions in anticipation of these policy changes, allowing the model to capture the dynamic adjustment process associated with Vietnam's long-term energy </w:t>
        </w:r>
        <w:r w:rsidRPr="00C9711D">
          <w:t xml:space="preserve">transition. </w:t>
        </w:r>
      </w:ins>
    </w:p>
    <w:p w14:paraId="516620C6" w14:textId="77777777" w:rsidR="001314FA" w:rsidRPr="00C9711D" w:rsidRDefault="0000717F" w:rsidP="00C9711D">
      <w:pPr>
        <w:pStyle w:val="IWHFlietext"/>
        <w:rPr>
          <w:lang w:val="en-US"/>
        </w:rPr>
      </w:pPr>
      <w:ins w:id="291" w:author="Heinisch, Katja" w:date="2026-07-27T09:22:00Z" w16du:dateUtc="2026-07-27T07:22:00Z">
        <w:r w:rsidRPr="00C9711D">
          <w:t>The implementation follows a modular architecture that separates model specification from calibration and simulation.</w:t>
        </w:r>
        <w:r w:rsidRPr="00C9711D">
          <w:rPr>
            <w:rFonts w:ascii="Consolas" w:hAnsi="Consolas"/>
            <w:lang w:val="en-US"/>
          </w:rPr>
          <w:t xml:space="preserve"> </w:t>
        </w:r>
      </w:ins>
      <w:r w:rsidR="001314FA" w:rsidRPr="00C9711D">
        <w:rPr>
          <w:rStyle w:val="VerbatimChar"/>
          <w:rFonts w:eastAsiaTheme="minorHAnsi"/>
          <w:lang w:val="en-US"/>
        </w:rPr>
        <w:t>DGE_Model.mod</w:t>
      </w:r>
      <w:r w:rsidR="001314FA" w:rsidRPr="00C9711D">
        <w:rPr>
          <w:lang w:val="en-US"/>
        </w:rPr>
        <w:t xml:space="preserve"> is the canonical entry point</w:t>
      </w:r>
      <w:ins w:id="292" w:author="Heinisch, Katja" w:date="2026-07-27T09:22:00Z" w16du:dateUtc="2026-07-27T07:22:00Z">
        <w:r w:rsidRPr="00C9711D">
          <w:rPr>
            <w:lang w:val="en-US"/>
          </w:rPr>
          <w:t>, which defines</w:t>
        </w:r>
      </w:ins>
      <w:del w:id="293" w:author="Heinisch, Katja" w:date="2026-07-27T09:22:00Z" w16du:dateUtc="2026-07-27T07:22:00Z">
        <w:r w:rsidR="001314FA" w:rsidRPr="00C9711D">
          <w:rPr>
            <w:lang w:val="en-US"/>
          </w:rPr>
          <w:delText>;</w:delText>
        </w:r>
      </w:del>
      <w:r w:rsidR="001314FA" w:rsidRPr="00C9711D">
        <w:rPr>
          <w:lang w:val="en-US"/>
        </w:rPr>
        <w:t xml:space="preserve"> shared equation blocks live under </w:t>
      </w:r>
      <w:r w:rsidR="001314FA" w:rsidRPr="00C9711D">
        <w:rPr>
          <w:rStyle w:val="VerbatimChar"/>
          <w:rFonts w:eastAsiaTheme="minorHAnsi"/>
          <w:lang w:val="en-US"/>
        </w:rPr>
        <w:t>ModFiles/Equations/</w:t>
      </w:r>
      <w:r w:rsidR="001314FA" w:rsidRPr="00C9711D">
        <w:rPr>
          <w:lang w:val="en-US"/>
        </w:rPr>
        <w:t xml:space="preserve"> (and are mirrored in human-readable form under </w:t>
      </w:r>
      <w:r w:rsidR="001314FA" w:rsidRPr="00C9711D">
        <w:rPr>
          <w:rStyle w:val="VerbatimChar"/>
          <w:rFonts w:eastAsiaTheme="minorHAnsi"/>
          <w:lang w:val="en-US"/>
        </w:rPr>
        <w:t>ModFiles/Equations/Equations_display/</w:t>
      </w:r>
      <w:r w:rsidR="001314FA" w:rsidRPr="00C9711D">
        <w:rPr>
          <w:lang w:val="en-US"/>
        </w:rPr>
        <w:t>). Dynare’s macro-preprocessor (</w:t>
      </w:r>
      <w:r w:rsidR="001314FA" w:rsidRPr="00C9711D">
        <w:rPr>
          <w:rStyle w:val="VerbatimChar"/>
          <w:rFonts w:eastAsiaTheme="minorHAnsi"/>
          <w:lang w:val="en-US"/>
        </w:rPr>
        <w:t>@#</w:t>
      </w:r>
      <w:r w:rsidR="001314FA" w:rsidRPr="00C9711D">
        <w:rPr>
          <w:lang w:val="en-US"/>
        </w:rPr>
        <w:t>-directives) expands sector/region loops and branches on structural switches (</w:t>
      </w:r>
      <w:r w:rsidR="001314FA" w:rsidRPr="00C9711D">
        <w:rPr>
          <w:rStyle w:val="VerbatimChar"/>
          <w:rFonts w:eastAsiaTheme="minorHAnsi"/>
          <w:lang w:val="en-US"/>
        </w:rPr>
        <w:t>lCapPrice</w:t>
      </w:r>
      <w:r w:rsidR="001314FA" w:rsidRPr="00C9711D">
        <w:rPr>
          <w:lang w:val="en-US"/>
        </w:rPr>
        <w:t xml:space="preserve">, </w:t>
      </w:r>
      <w:r w:rsidR="001314FA" w:rsidRPr="00C9711D">
        <w:rPr>
          <w:rStyle w:val="VerbatimChar"/>
          <w:rFonts w:eastAsiaTheme="minorHAnsi"/>
          <w:lang w:val="en-US"/>
        </w:rPr>
        <w:t>lAdjPos</w:t>
      </w:r>
      <w:r w:rsidR="001314FA" w:rsidRPr="00C9711D">
        <w:rPr>
          <w:lang w:val="en-US"/>
        </w:rPr>
        <w:t xml:space="preserve">, </w:t>
      </w:r>
      <w:r w:rsidR="001314FA" w:rsidRPr="00C9711D">
        <w:rPr>
          <w:rStyle w:val="VerbatimChar"/>
          <w:rFonts w:eastAsiaTheme="minorHAnsi"/>
          <w:lang w:val="en-US"/>
        </w:rPr>
        <w:t>YEndogenous</w:t>
      </w:r>
      <w:r w:rsidR="001314FA" w:rsidRPr="00C9711D">
        <w:rPr>
          <w:lang w:val="en-US"/>
        </w:rPr>
        <w:t xml:space="preserve">, </w:t>
      </w:r>
      <w:r w:rsidR="001314FA" w:rsidRPr="00C9711D">
        <w:rPr>
          <w:rStyle w:val="VerbatimChar"/>
          <w:rFonts w:eastAsiaTheme="minorHAnsi"/>
          <w:lang w:val="en-US"/>
        </w:rPr>
        <w:t>CapandTrade</w:t>
      </w:r>
      <w:r w:rsidR="001314FA" w:rsidRPr="00C9711D">
        <w:rPr>
          <w:lang w:val="en-US"/>
        </w:rPr>
        <w:t xml:space="preserve">, …) declared at the top of </w:t>
      </w:r>
      <w:r w:rsidR="001314FA" w:rsidRPr="00C9711D">
        <w:rPr>
          <w:rStyle w:val="VerbatimChar"/>
          <w:rFonts w:eastAsiaTheme="minorHAnsi"/>
          <w:lang w:val="en-US"/>
        </w:rPr>
        <w:t>DGE_Model.mod</w:t>
      </w:r>
      <w:r w:rsidR="001314FA" w:rsidRPr="00C9711D">
        <w:rPr>
          <w:lang w:val="en-US"/>
        </w:rPr>
        <w:t>. All Dynare-generated code (</w:t>
      </w:r>
      <w:r w:rsidR="001314FA" w:rsidRPr="00C9711D">
        <w:rPr>
          <w:rStyle w:val="VerbatimChar"/>
          <w:rFonts w:eastAsiaTheme="minorHAnsi"/>
          <w:lang w:val="en-US"/>
        </w:rPr>
        <w:t>+DGE_Model/</w:t>
      </w:r>
      <w:r w:rsidR="001314FA" w:rsidRPr="00C9711D">
        <w:rPr>
          <w:lang w:val="en-US"/>
        </w:rPr>
        <w:t xml:space="preserve">, </w:t>
      </w:r>
      <w:r w:rsidR="001314FA" w:rsidRPr="00C9711D">
        <w:rPr>
          <w:rStyle w:val="VerbatimChar"/>
          <w:rFonts w:eastAsiaTheme="minorHAnsi"/>
          <w:lang w:val="en-US"/>
        </w:rPr>
        <w:t>DGE_Model/</w:t>
      </w:r>
      <w:r w:rsidR="001314FA" w:rsidRPr="00C9711D">
        <w:rPr>
          <w:lang w:val="en-US"/>
        </w:rPr>
        <w:t xml:space="preserve">, </w:t>
      </w:r>
      <w:r w:rsidR="001314FA" w:rsidRPr="00C9711D">
        <w:rPr>
          <w:rStyle w:val="VerbatimChar"/>
          <w:rFonts w:eastAsiaTheme="minorHAnsi"/>
          <w:lang w:val="en-US"/>
        </w:rPr>
        <w:t>*_dynamic.m</w:t>
      </w:r>
      <w:r w:rsidR="001314FA" w:rsidRPr="00C9711D">
        <w:rPr>
          <w:lang w:val="en-US"/>
        </w:rPr>
        <w:t xml:space="preserve">, </w:t>
      </w:r>
      <w:r w:rsidR="001314FA" w:rsidRPr="00C9711D">
        <w:rPr>
          <w:rStyle w:val="VerbatimChar"/>
          <w:rFonts w:eastAsiaTheme="minorHAnsi"/>
          <w:lang w:val="en-US"/>
        </w:rPr>
        <w:t>*_static.m</w:t>
      </w:r>
      <w:r w:rsidR="001314FA" w:rsidRPr="00C9711D">
        <w:rPr>
          <w:lang w:val="en-US"/>
        </w:rPr>
        <w:t xml:space="preserve">) is rebuilt on every invocation and is not source — fixes belong in the </w:t>
      </w:r>
      <w:r w:rsidR="001314FA" w:rsidRPr="00C9711D">
        <w:rPr>
          <w:rStyle w:val="VerbatimChar"/>
          <w:rFonts w:eastAsiaTheme="minorHAnsi"/>
          <w:lang w:val="en-US"/>
        </w:rPr>
        <w:t>.mod</w:t>
      </w:r>
      <w:r w:rsidR="001314FA" w:rsidRPr="00C9711D">
        <w:rPr>
          <w:lang w:val="en-US"/>
        </w:rPr>
        <w:t xml:space="preserve"> files, followed by a re-run.</w:t>
      </w:r>
    </w:p>
    <w:p w14:paraId="560434E7" w14:textId="4071D65F" w:rsidR="001314FA" w:rsidRPr="00C9711D" w:rsidRDefault="001314FA" w:rsidP="002A4BF9">
      <w:pPr>
        <w:pStyle w:val="berschrift2"/>
        <w:rPr>
          <w:lang w:val="en-US"/>
        </w:rPr>
      </w:pPr>
      <w:bookmarkStart w:id="294" w:name="_Toc235867067"/>
      <w:bookmarkStart w:id="295" w:name="steady-state-calibration-pipeline"/>
      <w:bookmarkStart w:id="296" w:name="_Toc236050661"/>
      <w:bookmarkEnd w:id="285"/>
      <w:r w:rsidRPr="00C9711D">
        <w:rPr>
          <w:lang w:val="en-US"/>
        </w:rPr>
        <w:t>Steady-state / calibration pipeline</w:t>
      </w:r>
      <w:bookmarkEnd w:id="294"/>
      <w:bookmarkEnd w:id="296"/>
    </w:p>
    <w:p w14:paraId="2E28CAC2" w14:textId="77777777" w:rsidR="0000717F" w:rsidRPr="00C9711D" w:rsidRDefault="0000717F" w:rsidP="00C9711D">
      <w:pPr>
        <w:pStyle w:val="IWHFlietext"/>
        <w:rPr>
          <w:ins w:id="297" w:author="Heinisch, Katja" w:date="2026-07-27T09:22:00Z" w16du:dateUtc="2026-07-27T07:22:00Z"/>
          <w:lang w:val="en-US"/>
        </w:rPr>
      </w:pPr>
      <w:ins w:id="298" w:author="Heinisch, Katja" w:date="2026-07-27T09:22:00Z" w16du:dateUtc="2026-07-27T07:22:00Z">
        <w:r w:rsidRPr="00C9711D">
          <w:rPr>
            <w:lang w:val="en-US"/>
          </w:rPr>
          <w:t>Before the transition dynamics can be simulated, DGE-METRIC requires an internally consistent benchmark economy that satisfies all behavioural equations, accounting identities, and market-clearing conditions. Constructing this benchmark is a multi-stage process that combines the empirical calibration described in Section 3 with a sequence of numerical procedures that initialise the model for perfect-foresight simulation. The resulting benchmark serves as the common starting point for all policy scenarios analysed in this report.</w:t>
        </w:r>
      </w:ins>
    </w:p>
    <w:p w14:paraId="7A6E6E1C" w14:textId="77777777" w:rsidR="001314FA" w:rsidRPr="00C9711D" w:rsidRDefault="001314FA" w:rsidP="001314FA">
      <w:pPr>
        <w:pStyle w:val="IWHFlietext"/>
        <w:rPr>
          <w:lang w:val="en-US"/>
        </w:rPr>
      </w:pPr>
      <w:commentRangeStart w:id="299"/>
      <w:r w:rsidRPr="00C9711D">
        <w:rPr>
          <w:rStyle w:val="VerbatimChar"/>
          <w:rFonts w:eastAsiaTheme="minorHAnsi"/>
          <w:lang w:val="en-US"/>
        </w:rPr>
        <w:t>steadystate_model.m</w:t>
      </w:r>
      <w:r w:rsidRPr="00C9711D">
        <w:rPr>
          <w:lang w:val="en-US"/>
        </w:rPr>
        <w:t xml:space="preserve"> dispatches to </w:t>
      </w:r>
      <w:r w:rsidRPr="00C9711D">
        <w:rPr>
          <w:rStyle w:val="VerbatimChar"/>
          <w:rFonts w:eastAsiaTheme="minorHAnsi"/>
          <w:lang w:val="en-US"/>
        </w:rPr>
        <w:t>DGE_Model_steadystate.m</w:t>
      </w:r>
      <w:r w:rsidRPr="00C9711D">
        <w:rPr>
          <w:lang w:val="en-US"/>
        </w:rPr>
        <w:t xml:space="preserve">, which routes to </w:t>
      </w:r>
      <w:r w:rsidRPr="00C9711D">
        <w:rPr>
          <w:rStyle w:val="VerbatimChar"/>
          <w:rFonts w:eastAsiaTheme="minorHAnsi"/>
          <w:lang w:val="en-US"/>
        </w:rPr>
        <w:t>Functions/SteadyState/</w:t>
      </w:r>
      <w:r w:rsidRPr="00C9711D">
        <w:rPr>
          <w:lang w:val="en-US"/>
        </w:rPr>
        <w:t xml:space="preserve"> depending on </w:t>
      </w:r>
      <w:r w:rsidRPr="00C9711D">
        <w:rPr>
          <w:rStyle w:val="VerbatimChar"/>
          <w:rFonts w:eastAsiaTheme="minorHAnsi"/>
          <w:lang w:val="en-US"/>
        </w:rPr>
        <w:t>lCalibration_p</w:t>
      </w:r>
      <w:r w:rsidRPr="00C9711D">
        <w:rPr>
          <w:lang w:val="en-US"/>
        </w:rPr>
        <w:t xml:space="preserve">: </w:t>
      </w:r>
      <w:r w:rsidRPr="00C9711D">
        <w:rPr>
          <w:rStyle w:val="VerbatimChar"/>
          <w:rFonts w:eastAsiaTheme="minorHAnsi"/>
          <w:lang w:val="en-US"/>
        </w:rPr>
        <w:t>build_initial_guess.m</w:t>
      </w:r>
      <w:r w:rsidRPr="00C9711D">
        <w:rPr>
          <w:lang w:val="en-US"/>
        </w:rPr>
        <w:t xml:space="preserve"> → </w:t>
      </w:r>
      <w:r w:rsidRPr="00C9711D">
        <w:rPr>
          <w:rStyle w:val="VerbatimChar"/>
          <w:rFonts w:eastAsiaTheme="minorHAnsi"/>
          <w:lang w:val="en-US"/>
        </w:rPr>
        <w:t>compute_capital.m</w:t>
      </w:r>
      <w:r w:rsidRPr="00C9711D">
        <w:rPr>
          <w:lang w:val="en-US"/>
        </w:rPr>
        <w:t xml:space="preserve"> → </w:t>
      </w:r>
      <w:r w:rsidRPr="00C9711D">
        <w:rPr>
          <w:rStyle w:val="VerbatimChar"/>
          <w:rFonts w:eastAsiaTheme="minorHAnsi"/>
          <w:lang w:val="en-US"/>
        </w:rPr>
        <w:t>setup_initial_state.m</w:t>
      </w:r>
      <w:r w:rsidRPr="00C9711D">
        <w:rPr>
          <w:lang w:val="en-US"/>
        </w:rPr>
        <w:t xml:space="preserve">, with low-level blocks in </w:t>
      </w:r>
      <w:r w:rsidRPr="00C9711D">
        <w:rPr>
          <w:rStyle w:val="VerbatimChar"/>
          <w:rFonts w:eastAsiaTheme="minorHAnsi"/>
          <w:lang w:val="en-US"/>
        </w:rPr>
        <w:t>SteadyState/computeCapital/</w:t>
      </w:r>
      <w:r w:rsidRPr="00C9711D">
        <w:rPr>
          <w:lang w:val="en-US"/>
        </w:rPr>
        <w:t xml:space="preserve"> and </w:t>
      </w:r>
      <w:r w:rsidRPr="00C9711D">
        <w:rPr>
          <w:rStyle w:val="VerbatimChar"/>
          <w:rFonts w:eastAsiaTheme="minorHAnsi"/>
          <w:lang w:val="en-US"/>
        </w:rPr>
        <w:t>SteadyState/setupInitialState/</w:t>
      </w:r>
      <w:r w:rsidRPr="00C9711D">
        <w:rPr>
          <w:lang w:val="en-US"/>
        </w:rPr>
        <w:t xml:space="preserve">. </w:t>
      </w:r>
      <w:r w:rsidRPr="00C9711D">
        <w:rPr>
          <w:rStyle w:val="VerbatimChar"/>
          <w:rFonts w:eastAsiaTheme="minorHAnsi"/>
          <w:lang w:val="en-US"/>
        </w:rPr>
        <w:t>Functions/steady_state/</w:t>
      </w:r>
      <w:r w:rsidRPr="00C9711D">
        <w:rPr>
          <w:lang w:val="en-US"/>
        </w:rPr>
        <w:t xml:space="preserve"> holds thin </w:t>
      </w:r>
      <w:r w:rsidRPr="00C9711D">
        <w:rPr>
          <w:rStyle w:val="VerbatimChar"/>
          <w:rFonts w:eastAsiaTheme="minorHAnsi"/>
          <w:lang w:val="en-US"/>
        </w:rPr>
        <w:t>ss_*</w:t>
      </w:r>
      <w:r w:rsidRPr="00C9711D">
        <w:rPr>
          <w:lang w:val="en-US"/>
        </w:rPr>
        <w:t xml:space="preserve"> wrapper functions preserving legacy call signatures over the snake_case refactored implementation.</w:t>
      </w:r>
    </w:p>
    <w:p w14:paraId="79833376" w14:textId="77777777" w:rsidR="001314FA" w:rsidRPr="00C9711D" w:rsidRDefault="001314FA" w:rsidP="001314FA">
      <w:pPr>
        <w:pStyle w:val="IWHFlietext"/>
        <w:rPr>
          <w:lang w:val="en-US"/>
        </w:rPr>
      </w:pPr>
      <w:r w:rsidRPr="00C9711D">
        <w:rPr>
          <w:b/>
          <w:bCs/>
          <w:lang w:val="en-US"/>
        </w:rPr>
        <w:lastRenderedPageBreak/>
        <w:t>Critical invariant:</w:t>
      </w:r>
      <w:r w:rsidRPr="00C9711D">
        <w:rPr>
          <w:lang w:val="en-US"/>
        </w:rPr>
        <w:t xml:space="preserve"> </w:t>
      </w:r>
      <w:r w:rsidRPr="00C9711D">
        <w:rPr>
          <w:rStyle w:val="VerbatimChar"/>
          <w:rFonts w:eastAsiaTheme="minorHAnsi"/>
          <w:lang w:val="en-US"/>
        </w:rPr>
        <w:t>evaluate_capital_steady_state_residuals.m</w:t>
      </w:r>
      <w:r w:rsidRPr="00C9711D">
        <w:rPr>
          <w:lang w:val="en-US"/>
        </w:rPr>
        <w:t xml:space="preserve"> must retain the equation labeled </w:t>
      </w:r>
      <w:r w:rsidRPr="00C9711D">
        <w:rPr>
          <w:rStyle w:val="VerbatimChar"/>
          <w:rFonts w:eastAsiaTheme="minorHAnsi"/>
          <w:lang w:val="en-US"/>
        </w:rPr>
        <w:t>fval_vec_11</w:t>
      </w:r>
      <w:r w:rsidRPr="00C9711D">
        <w:rPr>
          <w:lang w:val="en-US"/>
        </w:rPr>
        <w:t xml:space="preserve">, which pins </w:t>
      </w:r>
      <w:r w:rsidRPr="00C9711D">
        <w:rPr>
          <w:rStyle w:val="VerbatimChar"/>
          <w:rFonts w:eastAsiaTheme="minorHAnsi"/>
          <w:lang w:val="en-US"/>
        </w:rPr>
        <w:t>Q_(fossil) = Q_0 · exp(exo_(Q,fossil))</w:t>
      </w:r>
      <w:r w:rsidRPr="00C9711D">
        <w:rPr>
          <w:lang w:val="en-US"/>
        </w:rPr>
        <w:t xml:space="preserve"> in hybrid calibration mode (</w:t>
      </w:r>
      <w:r w:rsidRPr="00C9711D">
        <w:rPr>
          <w:rStyle w:val="VerbatimChar"/>
          <w:rFonts w:eastAsiaTheme="minorHAnsi"/>
          <w:lang w:val="en-US"/>
        </w:rPr>
        <w:t>lCalibration_p == 2</w:t>
      </w:r>
      <w:r w:rsidRPr="00C9711D">
        <w:rPr>
          <w:lang w:val="en-US"/>
        </w:rPr>
        <w:t xml:space="preserve">). This is the closing equation that lets </w:t>
      </w:r>
      <w:r w:rsidRPr="00C9711D">
        <w:rPr>
          <w:rStyle w:val="VerbatimChar"/>
          <w:rFonts w:eastAsiaTheme="minorHAnsi"/>
          <w:lang w:val="en-US"/>
        </w:rPr>
        <w:t>EE_1</w:t>
      </w:r>
      <w:r w:rsidRPr="00C9711D">
        <w:rPr>
          <w:lang w:val="en-US"/>
        </w:rPr>
        <w:t>/</w:t>
      </w:r>
      <w:r w:rsidRPr="00C9711D">
        <w:rPr>
          <w:rStyle w:val="VerbatimChar"/>
          <w:rFonts w:eastAsiaTheme="minorHAnsi"/>
          <w:lang w:val="en-US"/>
        </w:rPr>
        <w:t>EE_sec_reg</w:t>
      </w:r>
      <w:r w:rsidRPr="00C9711D">
        <w:rPr>
          <w:lang w:val="en-US"/>
        </w:rPr>
        <w:t xml:space="preserve"> float; removing it makes the hybrid steady-state solve underdetermined and </w:t>
      </w:r>
      <w:r w:rsidRPr="00C9711D">
        <w:rPr>
          <w:rStyle w:val="VerbatimChar"/>
          <w:rFonts w:eastAsiaTheme="minorHAnsi"/>
          <w:lang w:val="en-US"/>
        </w:rPr>
        <w:t>fsolve</w:t>
      </w:r>
      <w:r w:rsidRPr="00C9711D">
        <w:rPr>
          <w:lang w:val="en-US"/>
        </w:rPr>
        <w:t xml:space="preserve"> fails to converge. This has been mistakenly “cleaned up” before.</w:t>
      </w:r>
      <w:commentRangeEnd w:id="299"/>
      <w:r w:rsidR="00327FD3" w:rsidRPr="00C9711D">
        <w:rPr>
          <w:rStyle w:val="Kommentarzeichen"/>
          <w:sz w:val="22"/>
          <w:szCs w:val="20"/>
          <w:lang w:val="en-US"/>
        </w:rPr>
        <w:commentReference w:id="299"/>
      </w:r>
    </w:p>
    <w:p w14:paraId="395A297B" w14:textId="7CF8B154" w:rsidR="001314FA" w:rsidRPr="00C9711D" w:rsidRDefault="001314FA" w:rsidP="002A4BF9">
      <w:pPr>
        <w:pStyle w:val="berschrift2"/>
        <w:rPr>
          <w:lang w:val="en-US"/>
        </w:rPr>
      </w:pPr>
      <w:bookmarkStart w:id="300" w:name="_Toc235867068"/>
      <w:bookmarkStart w:id="301" w:name="simulation"/>
      <w:bookmarkStart w:id="302" w:name="_Toc236050662"/>
      <w:bookmarkEnd w:id="295"/>
      <w:r w:rsidRPr="00C9711D">
        <w:rPr>
          <w:lang w:val="en-US"/>
        </w:rPr>
        <w:t>Simulation</w:t>
      </w:r>
      <w:bookmarkEnd w:id="300"/>
      <w:bookmarkEnd w:id="302"/>
    </w:p>
    <w:p w14:paraId="52F63803" w14:textId="77777777" w:rsidR="001314FA" w:rsidRPr="00C9711D" w:rsidRDefault="001314FA" w:rsidP="001314FA">
      <w:pPr>
        <w:pStyle w:val="IWHFlietext"/>
        <w:rPr>
          <w:lang w:val="en-US"/>
        </w:rPr>
      </w:pPr>
      <w:r w:rsidRPr="00C9711D">
        <w:rPr>
          <w:rStyle w:val="VerbatimChar"/>
          <w:rFonts w:eastAsiaTheme="minorHAnsi"/>
          <w:lang w:val="en-US"/>
        </w:rPr>
        <w:t>simulation_model_refactored.m</w:t>
      </w:r>
      <w:r w:rsidRPr="00C9711D">
        <w:rPr>
          <w:lang w:val="en-US"/>
        </w:rPr>
        <w:t xml:space="preserve"> loads exogenous series (</w:t>
      </w:r>
      <w:r w:rsidRPr="00C9711D">
        <w:rPr>
          <w:rStyle w:val="VerbatimChar"/>
          <w:rFonts w:eastAsiaTheme="minorHAnsi"/>
          <w:lang w:val="en-US"/>
        </w:rPr>
        <w:t>Functions/Miscellaneous/Simulation/</w:t>
      </w:r>
      <w:r w:rsidRPr="00C9711D">
        <w:rPr>
          <w:lang w:val="en-US"/>
        </w:rPr>
        <w:t xml:space="preserve">), applies baseline/scenario transitions, then applies optional </w:t>
      </w:r>
      <w:r w:rsidRPr="00C9711D">
        <w:rPr>
          <w:rStyle w:val="VerbatimChar"/>
          <w:rFonts w:eastAsiaTheme="minorHAnsi"/>
          <w:lang w:val="en-US"/>
        </w:rPr>
        <w:t>AdditionalShocks</w:t>
      </w:r>
      <w:r w:rsidRPr="00C9711D">
        <w:rPr>
          <w:lang w:val="en-US"/>
        </w:rPr>
        <w:t xml:space="preserve"> (see </w:t>
      </w:r>
      <w:r w:rsidRPr="00C9711D">
        <w:rPr>
          <w:rStyle w:val="VerbatimChar"/>
          <w:rFonts w:eastAsiaTheme="minorHAnsi"/>
          <w:lang w:val="en-US"/>
        </w:rPr>
        <w:t>Functions/README_AdditionalShocks.md</w:t>
      </w:r>
      <w:r w:rsidRPr="00C9711D">
        <w:rPr>
          <w:lang w:val="en-US"/>
        </w:rPr>
        <w:t xml:space="preserve"> for the shock-struct schema and the </w:t>
      </w:r>
      <w:r w:rsidRPr="00C9711D">
        <w:rPr>
          <w:rStyle w:val="VerbatimChar"/>
          <w:rFonts w:eastAsiaTheme="minorHAnsi"/>
          <w:lang w:val="en-US"/>
        </w:rPr>
        <w:t>fineTuneSteps</w:t>
      </w:r>
      <w:r w:rsidRPr="00C9711D">
        <w:rPr>
          <w:lang w:val="en-US"/>
        </w:rPr>
        <w:t xml:space="preserve"> incremental-shock mechanism used to help the Newton solver converge for large shocks). Post-run audit CSVs compare Excel </w:t>
      </w:r>
      <w:r w:rsidRPr="00C9711D">
        <w:rPr>
          <w:rStyle w:val="VerbatimChar"/>
          <w:rFonts w:eastAsiaTheme="minorHAnsi"/>
          <w:lang w:val="en-US"/>
        </w:rPr>
        <w:t>gY_*</w:t>
      </w:r>
      <w:r w:rsidRPr="00C9711D">
        <w:rPr>
          <w:lang w:val="en-US"/>
        </w:rPr>
        <w:t xml:space="preserve"> growth targets against simulated growth, written next to </w:t>
      </w:r>
      <w:r w:rsidRPr="00C9711D">
        <w:rPr>
          <w:rStyle w:val="VerbatimChar"/>
          <w:rFonts w:eastAsiaTheme="minorHAnsi"/>
          <w:lang w:val="en-US"/>
        </w:rPr>
        <w:t>ExcelFiles/Output/Baseline.csv</w:t>
      </w:r>
      <w:r w:rsidRPr="00C9711D">
        <w:rPr>
          <w:lang w:val="en-US"/>
        </w:rPr>
        <w:t>.</w:t>
      </w:r>
    </w:p>
    <w:p w14:paraId="6DF25B2A" w14:textId="77777777" w:rsidR="000C181A" w:rsidRPr="00C9711D" w:rsidRDefault="000C181A" w:rsidP="00C9711D">
      <w:pPr>
        <w:pStyle w:val="IWHFlietext"/>
        <w:rPr>
          <w:ins w:id="303" w:author="Heinisch, Katja" w:date="2026-07-27T09:22:00Z" w16du:dateUtc="2026-07-27T07:22:00Z"/>
          <w:lang w:val="en-US"/>
        </w:rPr>
      </w:pPr>
      <w:ins w:id="304" w:author="Heinisch, Katja" w:date="2026-07-27T09:22:00Z" w16du:dateUtc="2026-07-27T07:22:00Z">
        <w:r w:rsidRPr="00C9711D">
          <w:rPr>
            <w:lang w:val="en-US"/>
          </w:rPr>
          <w:t>All policy scenarios are evaluated relative to a common calibrated baseline. This ensures that differences between simulation outcomes are attributable solely to the policy interventions under consideration rather than to differences in model calibration or initial conditions. The benchmark economy therefore serves as a consistent reference point against which the macroeconomic, sectoral, fiscal, and environmental implications of alternative transition pathways can be assessed.</w:t>
        </w:r>
      </w:ins>
    </w:p>
    <w:p w14:paraId="05A03EE4" w14:textId="77777777" w:rsidR="000C181A" w:rsidRPr="00C9711D" w:rsidRDefault="000C181A" w:rsidP="000C181A">
      <w:pPr>
        <w:pStyle w:val="Textkrper"/>
        <w:rPr>
          <w:ins w:id="305" w:author="Heinisch, Katja" w:date="2026-07-27T09:22:00Z" w16du:dateUtc="2026-07-27T07:22:00Z"/>
          <w:b/>
          <w:bCs/>
          <w:lang w:val="en-US"/>
        </w:rPr>
      </w:pPr>
      <w:ins w:id="306" w:author="Heinisch, Katja" w:date="2026-07-27T09:22:00Z" w16du:dateUtc="2026-07-27T07:22:00Z">
        <w:r w:rsidRPr="00C9711D">
          <w:rPr>
            <w:b/>
            <w:bCs/>
            <w:lang w:val="en-US"/>
          </w:rPr>
          <w:t xml:space="preserve">Scenario </w:t>
        </w:r>
        <w:commentRangeStart w:id="307"/>
        <w:r w:rsidRPr="00C9711D">
          <w:rPr>
            <w:b/>
            <w:bCs/>
            <w:lang w:val="en-US"/>
          </w:rPr>
          <w:t>configuration</w:t>
        </w:r>
        <w:commentRangeEnd w:id="307"/>
        <w:r w:rsidR="00327FD3" w:rsidRPr="00C9711D">
          <w:rPr>
            <w:rStyle w:val="Kommentarzeichen"/>
            <w:b/>
            <w:bCs/>
            <w:sz w:val="22"/>
            <w:szCs w:val="22"/>
            <w:lang w:val="en-US"/>
          </w:rPr>
          <w:commentReference w:id="307"/>
        </w:r>
      </w:ins>
    </w:p>
    <w:p w14:paraId="6F996234" w14:textId="77777777" w:rsidR="000C181A" w:rsidRPr="00C9711D" w:rsidRDefault="000C181A" w:rsidP="00C9711D">
      <w:pPr>
        <w:pStyle w:val="IWHFlietext"/>
        <w:rPr>
          <w:ins w:id="308" w:author="Heinisch, Katja" w:date="2026-07-27T09:22:00Z" w16du:dateUtc="2026-07-27T07:22:00Z"/>
          <w:lang w:val="en-US"/>
        </w:rPr>
      </w:pPr>
      <w:ins w:id="309" w:author="Heinisch, Katja" w:date="2026-07-27T09:22:00Z" w16du:dateUtc="2026-07-27T07:22:00Z">
        <w:r w:rsidRPr="00C9711D">
          <w:rPr>
            <w:lang w:val="en-US"/>
          </w:rPr>
          <w:t>Each simulation begins by loading the calibrated benchmark dataset together with the scenario-specific assumptions that define the policy experiment. These assumptions may include alternative emissions caps, renewable energy deployment pathways, technology cost trajectories, energy-efficiency improvements, green-financing mechanisms, or other exogenous policy parameters relevant to the analysis.</w:t>
        </w:r>
      </w:ins>
    </w:p>
    <w:p w14:paraId="6A5959A0" w14:textId="77777777" w:rsidR="000C181A" w:rsidRPr="00C9711D" w:rsidRDefault="000C181A" w:rsidP="00C9711D">
      <w:pPr>
        <w:pStyle w:val="IWHFlietext"/>
        <w:rPr>
          <w:ins w:id="310" w:author="Heinisch, Katja" w:date="2026-07-27T09:22:00Z" w16du:dateUtc="2026-07-27T07:22:00Z"/>
          <w:lang w:val="en-US"/>
        </w:rPr>
      </w:pPr>
      <w:ins w:id="311" w:author="Heinisch, Katja" w:date="2026-07-27T09:22:00Z" w16du:dateUtc="2026-07-27T07:22:00Z">
        <w:r w:rsidRPr="00C9711D">
          <w:rPr>
            <w:lang w:val="en-US"/>
          </w:rPr>
          <w:t>Scenario inputs are maintained separately from the core model specification. This separation preserves the integrity of the benchmark calibration while allowing multiple policy experiments to be evaluated using an identical underlying economic structure. Consequently, new scenarios can be introduced by modifying only the relevant exogenous assumptions without requiring changes to the structural equations of the model.</w:t>
        </w:r>
      </w:ins>
    </w:p>
    <w:p w14:paraId="00D04F55" w14:textId="77777777" w:rsidR="000C181A" w:rsidRPr="00C9711D" w:rsidRDefault="000C181A" w:rsidP="000C181A">
      <w:pPr>
        <w:pStyle w:val="Textkrper"/>
        <w:rPr>
          <w:ins w:id="312" w:author="Heinisch, Katja" w:date="2026-07-27T09:22:00Z" w16du:dateUtc="2026-07-27T07:22:00Z"/>
          <w:b/>
          <w:bCs/>
          <w:lang w:val="en-US"/>
        </w:rPr>
      </w:pPr>
      <w:ins w:id="313" w:author="Heinisch, Katja" w:date="2026-07-27T09:22:00Z" w16du:dateUtc="2026-07-27T07:22:00Z">
        <w:r w:rsidRPr="00C9711D">
          <w:rPr>
            <w:b/>
            <w:bCs/>
            <w:lang w:val="en-US"/>
          </w:rPr>
          <w:t>Model execution</w:t>
        </w:r>
      </w:ins>
    </w:p>
    <w:p w14:paraId="52801B30" w14:textId="77777777" w:rsidR="000C181A" w:rsidRPr="00C9711D" w:rsidRDefault="000C181A" w:rsidP="00C9711D">
      <w:pPr>
        <w:pStyle w:val="IWHFlietext"/>
        <w:rPr>
          <w:ins w:id="314" w:author="Heinisch, Katja" w:date="2026-07-27T09:22:00Z" w16du:dateUtc="2026-07-27T07:22:00Z"/>
          <w:lang w:val="en-US"/>
        </w:rPr>
      </w:pPr>
      <w:ins w:id="315" w:author="Heinisch, Katja" w:date="2026-07-27T09:22:00Z" w16du:dateUtc="2026-07-27T07:22:00Z">
        <w:r w:rsidRPr="00C9711D">
          <w:rPr>
            <w:lang w:val="en-US"/>
          </w:rPr>
          <w:t>Once the scenario inputs have been assembled, the simulation is executed through the integrated MATLAB–Dynare workflow. MATLAB routines prepare the calibrated parameter set, initialise the endogenous variables, and construct the complete set of inputs required by Dynare's deterministic solver. Dynare subsequently computes the nonlinear equilibrium transition path by solving the complete system of behavioural equations simultaneously over the entire simulation horizon.</w:t>
        </w:r>
      </w:ins>
    </w:p>
    <w:p w14:paraId="179FD9D5" w14:textId="77777777" w:rsidR="000C181A" w:rsidRPr="00C9711D" w:rsidRDefault="000C181A" w:rsidP="000C181A">
      <w:pPr>
        <w:pStyle w:val="Textkrper"/>
        <w:rPr>
          <w:ins w:id="316" w:author="Heinisch, Katja" w:date="2026-07-27T09:22:00Z" w16du:dateUtc="2026-07-27T07:22:00Z"/>
          <w:lang w:val="en-US"/>
        </w:rPr>
      </w:pPr>
      <w:ins w:id="317" w:author="Heinisch, Katja" w:date="2026-07-27T09:22:00Z" w16du:dateUtc="2026-07-27T07:22:00Z">
        <w:r w:rsidRPr="00C9711D">
          <w:rPr>
            <w:lang w:val="en-US"/>
          </w:rPr>
          <w:t>Because all endogenous variables are determined jointly, changes introduced in one part of the economy propagate throughout the model via production linkages, household behaviour, government accounts, international trade, and capital accumulation. This general equilibrium framework captures both the direct effects of policy interventions and the indirect adjustments transmitted through interconnected markets.</w:t>
        </w:r>
      </w:ins>
    </w:p>
    <w:p w14:paraId="6A7473B4" w14:textId="77777777" w:rsidR="000C181A" w:rsidRPr="00C9711D" w:rsidRDefault="000C181A" w:rsidP="00C9711D">
      <w:pPr>
        <w:pStyle w:val="IWHFlietext"/>
        <w:rPr>
          <w:ins w:id="318" w:author="Heinisch, Katja" w:date="2026-07-27T09:22:00Z" w16du:dateUtc="2026-07-27T07:22:00Z"/>
          <w:lang w:val="en-US"/>
        </w:rPr>
      </w:pPr>
      <w:ins w:id="319" w:author="Heinisch, Katja" w:date="2026-07-27T09:22:00Z" w16du:dateUtc="2026-07-27T07:22:00Z">
        <w:r w:rsidRPr="00C9711D">
          <w:rPr>
            <w:lang w:val="en-US"/>
          </w:rPr>
          <w:lastRenderedPageBreak/>
          <w:t>The modular implementation allows the same computational pipeline to be applied consistently across all policy scenarios, thereby ensuring that simulation results remain directly comparable.</w:t>
        </w:r>
      </w:ins>
    </w:p>
    <w:p w14:paraId="1087AA7E" w14:textId="77777777" w:rsidR="000C181A" w:rsidRPr="00C9711D" w:rsidRDefault="000C181A" w:rsidP="000C181A">
      <w:pPr>
        <w:pStyle w:val="Textkrper"/>
        <w:rPr>
          <w:ins w:id="320" w:author="Heinisch, Katja" w:date="2026-07-27T09:22:00Z" w16du:dateUtc="2026-07-27T07:22:00Z"/>
          <w:b/>
          <w:bCs/>
          <w:lang w:val="en-US"/>
        </w:rPr>
      </w:pPr>
      <w:ins w:id="321" w:author="Heinisch, Katja" w:date="2026-07-27T09:22:00Z" w16du:dateUtc="2026-07-27T07:22:00Z">
        <w:r w:rsidRPr="00C9711D">
          <w:rPr>
            <w:b/>
            <w:bCs/>
            <w:lang w:val="en-US"/>
          </w:rPr>
          <w:t>Output generation and post-processing</w:t>
        </w:r>
      </w:ins>
    </w:p>
    <w:p w14:paraId="3FA45F0B" w14:textId="77777777" w:rsidR="000C181A" w:rsidRPr="00C9711D" w:rsidRDefault="000C181A" w:rsidP="00C9711D">
      <w:pPr>
        <w:pStyle w:val="IWHFlietext"/>
        <w:rPr>
          <w:ins w:id="322" w:author="Heinisch, Katja" w:date="2026-07-27T09:22:00Z" w16du:dateUtc="2026-07-27T07:22:00Z"/>
          <w:lang w:val="en-US"/>
        </w:rPr>
      </w:pPr>
      <w:ins w:id="323" w:author="Heinisch, Katja" w:date="2026-07-27T09:22:00Z" w16du:dateUtc="2026-07-27T07:22:00Z">
        <w:r w:rsidRPr="00C9711D">
          <w:rPr>
            <w:lang w:val="en-US"/>
          </w:rPr>
          <w:t>Following successful model solution, simulation results are exported for post-processing and analysis. The post-processing routines organise the raw model outputs into a consistent set of economic indicators, including macroeconomic aggregates, sectoral production, employment, investment, trade, public finances, energy-system variables, and greenhouse gas emissions.</w:t>
        </w:r>
      </w:ins>
    </w:p>
    <w:p w14:paraId="1FDEF679" w14:textId="77777777" w:rsidR="000C181A" w:rsidRPr="00C9711D" w:rsidRDefault="000C181A" w:rsidP="00C9711D">
      <w:pPr>
        <w:pStyle w:val="IWHFlietext"/>
        <w:rPr>
          <w:ins w:id="324" w:author="Heinisch, Katja" w:date="2026-07-27T09:22:00Z" w16du:dateUtc="2026-07-27T07:22:00Z"/>
          <w:lang w:val="en-US"/>
        </w:rPr>
      </w:pPr>
      <w:ins w:id="325" w:author="Heinisch, Katja" w:date="2026-07-27T09:22:00Z" w16du:dateUtc="2026-07-27T07:22:00Z">
        <w:r w:rsidRPr="00C9711D">
          <w:rPr>
            <w:lang w:val="en-US"/>
          </w:rPr>
          <w:t>Additional MATLAB routines generate the tables and figures presented throughout this report. These routines apply a common reporting structure across all scenarios, ensuring that outputs are directly comparable and that differences between scenarios reflect underlying policy assumptions rather than differences in data processing or presentation. Automated post-processing also improves reproducibility by standardising the generation of all reported indicators from the underlying simulation results.</w:t>
        </w:r>
      </w:ins>
    </w:p>
    <w:p w14:paraId="4ACFAD3F" w14:textId="138ABC28" w:rsidR="001314FA" w:rsidRPr="00C9711D" w:rsidRDefault="00A5230E" w:rsidP="002A4BF9">
      <w:pPr>
        <w:pStyle w:val="berschrift2"/>
        <w:rPr>
          <w:lang w:val="en-US"/>
        </w:rPr>
      </w:pPr>
      <w:ins w:id="326" w:author="Heinisch, Katja" w:date="2026-07-27T09:22:00Z" w16du:dateUtc="2026-07-27T07:22:00Z">
        <w:r w:rsidRPr="00C9711D">
          <w:rPr>
            <w:lang w:val="en-US"/>
          </w:rPr>
          <w:t xml:space="preserve"> </w:t>
        </w:r>
      </w:ins>
      <w:bookmarkStart w:id="327" w:name="_Toc235867069"/>
      <w:bookmarkStart w:id="328" w:name="verification-approach"/>
      <w:bookmarkStart w:id="329" w:name="_Toc236050663"/>
      <w:bookmarkEnd w:id="301"/>
      <w:r w:rsidR="001314FA" w:rsidRPr="00C9711D">
        <w:rPr>
          <w:lang w:val="en-US"/>
        </w:rPr>
        <w:t>Verification approach</w:t>
      </w:r>
      <w:bookmarkEnd w:id="327"/>
      <w:bookmarkEnd w:id="329"/>
    </w:p>
    <w:p w14:paraId="745E9A67" w14:textId="77777777" w:rsidR="000C181A" w:rsidRPr="00C9711D" w:rsidRDefault="000C181A" w:rsidP="00C9711D">
      <w:pPr>
        <w:pStyle w:val="IWHFlietext"/>
        <w:rPr>
          <w:ins w:id="330" w:author="Heinisch, Katja" w:date="2026-07-27T09:22:00Z" w16du:dateUtc="2026-07-27T07:22:00Z"/>
          <w:lang w:val="en-US"/>
        </w:rPr>
      </w:pPr>
      <w:ins w:id="331" w:author="Heinisch, Katja" w:date="2026-07-27T09:22:00Z" w16du:dateUtc="2026-07-27T07:22:00Z">
        <w:r w:rsidRPr="00C9711D">
          <w:rPr>
            <w:lang w:val="en-US"/>
          </w:rPr>
          <w:t>The verification framework follows a layered approach in which each stage of the computational workflow is validated before proceeding to the next. This strategy facilitates the early identification of numerical or calibration inconsistencies and substantially improves the transparency and reproducibility of the modelling framework.</w:t>
        </w:r>
      </w:ins>
    </w:p>
    <w:p w14:paraId="1C3621C8" w14:textId="77777777" w:rsidR="001314FA" w:rsidRPr="00C9711D" w:rsidRDefault="001314FA" w:rsidP="001314FA">
      <w:pPr>
        <w:pStyle w:val="IWHFlietext"/>
        <w:rPr>
          <w:lang w:val="en-US"/>
        </w:rPr>
      </w:pPr>
      <w:r w:rsidRPr="00C9711D">
        <w:rPr>
          <w:lang w:val="en-US"/>
        </w:rPr>
        <w:t>There is no automated test suite. “Does it work” is verified by: the steady-state solver converging (</w:t>
      </w:r>
      <w:r w:rsidRPr="00C9711D">
        <w:rPr>
          <w:rStyle w:val="VerbatimChar"/>
          <w:rFonts w:eastAsiaTheme="minorHAnsi"/>
          <w:lang w:val="en-US"/>
        </w:rPr>
        <w:t>fsolve</w:t>
      </w:r>
      <w:r w:rsidRPr="00C9711D">
        <w:rPr>
          <w:lang w:val="en-US"/>
        </w:rPr>
        <w:t xml:space="preserve"> residuals near zero, no </w:t>
      </w:r>
      <w:r w:rsidRPr="00C9711D">
        <w:rPr>
          <w:rStyle w:val="VerbatimChar"/>
          <w:rFonts w:eastAsiaTheme="minorHAnsi"/>
          <w:lang w:val="en-US"/>
        </w:rPr>
        <w:t>lCalibration_p</w:t>
      </w:r>
      <w:r w:rsidRPr="00C9711D">
        <w:rPr>
          <w:lang w:val="en-US"/>
        </w:rPr>
        <w:t xml:space="preserve"> branch errors); the accounting identities in </w:t>
      </w:r>
      <w:ins w:id="332" w:author="Heinisch, Katja" w:date="2026-07-27T09:22:00Z" w16du:dateUtc="2026-07-27T07:22:00Z">
        <w:r w:rsidR="00A5230E" w:rsidRPr="00C9711D">
          <w:rPr>
            <w:lang w:val="en-US"/>
          </w:rPr>
          <w:fldChar w:fldCharType="begin"/>
        </w:r>
        <w:r w:rsidR="003C44CA" w:rsidRPr="00C9711D">
          <w:rPr>
            <w:lang w:val="en-US"/>
          </w:rPr>
          <w:instrText xml:space="preserve">HYPERLINK "C:\\Users\\ExcelFiles\\README.md" \h </w:instrText>
        </w:r>
        <w:r w:rsidR="00A5230E" w:rsidRPr="00C9711D">
          <w:rPr>
            <w:lang w:val="en-US"/>
          </w:rPr>
        </w:r>
        <w:r w:rsidR="00A5230E" w:rsidRPr="00C9711D">
          <w:rPr>
            <w:lang w:val="en-US"/>
          </w:rPr>
          <w:fldChar w:fldCharType="separate"/>
        </w:r>
        <w:r w:rsidR="00A5230E" w:rsidRPr="00C9711D">
          <w:rPr>
            <w:rStyle w:val="Hyperlink"/>
            <w:lang w:val="en-US"/>
          </w:rPr>
          <w:t>ExcelFiles/README.md</w:t>
        </w:r>
        <w:r w:rsidR="00A5230E" w:rsidRPr="00C9711D">
          <w:rPr>
            <w:lang w:val="en-US"/>
          </w:rPr>
          <w:fldChar w:fldCharType="end"/>
        </w:r>
      </w:ins>
      <w:del w:id="333" w:author="Heinisch, Katja" w:date="2026-07-27T09:22:00Z" w16du:dateUtc="2026-07-27T07:22:00Z">
        <w:r w:rsidRPr="00C9711D">
          <w:rPr>
            <w:lang w:val="en-US"/>
          </w:rPr>
          <w:fldChar w:fldCharType="begin"/>
        </w:r>
        <w:r w:rsidRPr="00C9711D">
          <w:rPr>
            <w:lang w:val="en-US"/>
          </w:rPr>
          <w:delInstrText>HYPERLINK "../../ExcelFiles/README.md" \h</w:delInstrText>
        </w:r>
        <w:r w:rsidRPr="00C9711D">
          <w:rPr>
            <w:lang w:val="en-US"/>
          </w:rPr>
        </w:r>
        <w:r w:rsidRPr="00C9711D">
          <w:rPr>
            <w:lang w:val="en-US"/>
          </w:rPr>
          <w:fldChar w:fldCharType="separate"/>
        </w:r>
        <w:r w:rsidRPr="00C9711D">
          <w:rPr>
            <w:rStyle w:val="Hyperlink"/>
            <w:lang w:val="en-US"/>
          </w:rPr>
          <w:delText>ExcelFiles/README.md</w:delText>
        </w:r>
        <w:r w:rsidRPr="00C9711D">
          <w:rPr>
            <w:lang w:val="en-US"/>
          </w:rPr>
          <w:fldChar w:fldCharType="end"/>
        </w:r>
      </w:del>
      <w:r w:rsidRPr="00C9711D">
        <w:rPr>
          <w:lang w:val="en-US"/>
        </w:rPr>
        <w:t xml:space="preserve"> holding after any calibration edit (row sums, </w:t>
      </w:r>
      <w:r w:rsidRPr="00C9711D">
        <w:rPr>
          <w:rStyle w:val="VerbatimChar"/>
          <w:rFonts w:eastAsiaTheme="minorHAnsi"/>
          <w:lang w:val="en-US"/>
        </w:rPr>
        <w:t>phiQI = phiX + phiY0</w:t>
      </w:r>
      <w:r w:rsidRPr="00C9711D">
        <w:rPr>
          <w:lang w:val="en-US"/>
        </w:rPr>
        <w:t xml:space="preserve">, Trade_Flows rows summing to 1); and, after a baseline/scenario run, the growth-audit CSVs showing simulated growth tracking the Excel </w:t>
      </w:r>
      <w:r w:rsidRPr="00C9711D">
        <w:rPr>
          <w:rStyle w:val="VerbatimChar"/>
          <w:rFonts w:eastAsiaTheme="minorHAnsi"/>
          <w:lang w:val="en-US"/>
        </w:rPr>
        <w:t>gY_*</w:t>
      </w:r>
      <w:r w:rsidRPr="00C9711D">
        <w:rPr>
          <w:lang w:val="en-US"/>
        </w:rPr>
        <w:t xml:space="preserve"> targets. </w:t>
      </w:r>
      <w:r w:rsidRPr="00C9711D">
        <w:rPr>
          <w:rStyle w:val="VerbatimChar"/>
          <w:rFonts w:eastAsiaTheme="minorHAnsi"/>
          <w:lang w:val="en-US"/>
        </w:rPr>
        <w:t>scripts/analysis/CheckResults.m</w:t>
      </w:r>
      <w:r w:rsidRPr="00C9711D">
        <w:rPr>
          <w:lang w:val="en-US"/>
        </w:rPr>
        <w:t xml:space="preserve"> and </w:t>
      </w:r>
      <w:r w:rsidRPr="00C9711D">
        <w:rPr>
          <w:rStyle w:val="VerbatimChar"/>
          <w:rFonts w:eastAsiaTheme="minorHAnsi"/>
          <w:lang w:val="en-US"/>
        </w:rPr>
        <w:t>Functions/steady_state/diagnostics/check_allocation_errors.m</w:t>
      </w:r>
      <w:r w:rsidRPr="00C9711D">
        <w:rPr>
          <w:lang w:val="en-US"/>
        </w:rPr>
        <w:t xml:space="preserve"> are the existing sanity-check entry points.</w:t>
      </w:r>
    </w:p>
    <w:p w14:paraId="797C5A6D" w14:textId="77777777" w:rsidR="000C181A" w:rsidRPr="00C9711D" w:rsidRDefault="000C181A" w:rsidP="000C181A">
      <w:pPr>
        <w:pStyle w:val="Textkrper"/>
        <w:rPr>
          <w:ins w:id="334" w:author="Heinisch, Katja" w:date="2026-07-27T09:22:00Z" w16du:dateUtc="2026-07-27T07:22:00Z"/>
          <w:b/>
          <w:bCs/>
          <w:lang w:val="en-US"/>
        </w:rPr>
      </w:pPr>
      <w:commentRangeStart w:id="335"/>
      <w:ins w:id="336" w:author="Heinisch, Katja" w:date="2026-07-27T09:22:00Z" w16du:dateUtc="2026-07-27T07:22:00Z">
        <w:r w:rsidRPr="00C9711D">
          <w:rPr>
            <w:b/>
            <w:bCs/>
            <w:lang w:val="en-US"/>
          </w:rPr>
          <w:t>Numerical</w:t>
        </w:r>
        <w:commentRangeEnd w:id="335"/>
        <w:r w:rsidR="00327FD3" w:rsidRPr="00C9711D">
          <w:rPr>
            <w:rStyle w:val="Kommentarzeichen"/>
            <w:b/>
            <w:bCs/>
            <w:sz w:val="22"/>
            <w:szCs w:val="22"/>
            <w:lang w:val="en-US"/>
          </w:rPr>
          <w:commentReference w:id="335"/>
        </w:r>
        <w:r w:rsidRPr="00C9711D">
          <w:rPr>
            <w:b/>
            <w:bCs/>
            <w:lang w:val="en-US"/>
          </w:rPr>
          <w:t xml:space="preserve"> convergence</w:t>
        </w:r>
      </w:ins>
    </w:p>
    <w:p w14:paraId="32A613A4" w14:textId="77777777" w:rsidR="000C181A" w:rsidRPr="00C9711D" w:rsidRDefault="000C181A" w:rsidP="00C9711D">
      <w:pPr>
        <w:pStyle w:val="IWHFlietext"/>
        <w:rPr>
          <w:ins w:id="337" w:author="Heinisch, Katja" w:date="2026-07-27T09:22:00Z" w16du:dateUtc="2026-07-27T07:22:00Z"/>
          <w:lang w:val="en-US"/>
        </w:rPr>
      </w:pPr>
      <w:ins w:id="338" w:author="Heinisch, Katja" w:date="2026-07-27T09:22:00Z" w16du:dateUtc="2026-07-27T07:22:00Z">
        <w:r w:rsidRPr="00C9711D">
          <w:rPr>
            <w:lang w:val="en-US"/>
          </w:rPr>
          <w:t>The first layer of verification concerns the successful numerical solution of the model. During calibration and scenario simulations, Dynare iteratively solves the nonlinear system of equilibrium equations until all convergence criteria are satisfied. Convergence is assessed using Dynare's standard residual and tolerance measures, ensuring that the complete transition path satisfies the model equations simultaneously in every simulation period.</w:t>
        </w:r>
      </w:ins>
    </w:p>
    <w:p w14:paraId="284C40CA" w14:textId="77777777" w:rsidR="000C181A" w:rsidRPr="00C9711D" w:rsidRDefault="000C181A" w:rsidP="00C9711D">
      <w:pPr>
        <w:pStyle w:val="IWHFlietext"/>
        <w:rPr>
          <w:ins w:id="339" w:author="Heinisch, Katja" w:date="2026-07-27T09:22:00Z" w16du:dateUtc="2026-07-27T07:22:00Z"/>
          <w:lang w:val="en-US"/>
        </w:rPr>
      </w:pPr>
      <w:ins w:id="340" w:author="Heinisch, Katja" w:date="2026-07-27T09:22:00Z" w16du:dateUtc="2026-07-27T07:22:00Z">
        <w:r w:rsidRPr="00C9711D">
          <w:rPr>
            <w:lang w:val="en-US"/>
          </w:rPr>
          <w:t>Particular attention is paid to the quality of the initial solution path supplied to the perfect-foresight solver. Because the model spans a long simulation horizon and contains highly nonlinear relationships between production, investment, emissions, and international capital flows, a carefully constructed initial trajectory substantially improves convergence performance and numerical stability.</w:t>
        </w:r>
      </w:ins>
    </w:p>
    <w:p w14:paraId="105E406E" w14:textId="17927E54" w:rsidR="000C181A" w:rsidRPr="00C9711D" w:rsidRDefault="000C181A" w:rsidP="00446DF3">
      <w:pPr>
        <w:rPr>
          <w:ins w:id="341" w:author="Heinisch, Katja" w:date="2026-07-27T09:22:00Z" w16du:dateUtc="2026-07-27T07:22:00Z"/>
          <w:b/>
          <w:bCs/>
          <w:lang w:val="en-US"/>
        </w:rPr>
      </w:pPr>
      <w:ins w:id="342" w:author="Heinisch, Katja" w:date="2026-07-27T09:22:00Z" w16du:dateUtc="2026-07-27T07:22:00Z">
        <w:r w:rsidRPr="00C9711D">
          <w:rPr>
            <w:b/>
            <w:bCs/>
            <w:lang w:val="en-US"/>
          </w:rPr>
          <w:t>Accounting consistency</w:t>
        </w:r>
      </w:ins>
    </w:p>
    <w:p w14:paraId="0ADA7489" w14:textId="77777777" w:rsidR="000C181A" w:rsidRPr="00C9711D" w:rsidRDefault="000C181A" w:rsidP="00C9711D">
      <w:pPr>
        <w:pStyle w:val="IWHFlietext"/>
        <w:rPr>
          <w:ins w:id="343" w:author="Heinisch, Katja" w:date="2026-07-27T09:22:00Z" w16du:dateUtc="2026-07-27T07:22:00Z"/>
          <w:lang w:val="en-US"/>
        </w:rPr>
      </w:pPr>
      <w:ins w:id="344" w:author="Heinisch, Katja" w:date="2026-07-27T09:22:00Z" w16du:dateUtc="2026-07-27T07:22:00Z">
        <w:r w:rsidRPr="00C9711D">
          <w:rPr>
            <w:lang w:val="en-US"/>
          </w:rPr>
          <w:lastRenderedPageBreak/>
          <w:t>The second layer verifies that the calibrated benchmark satisfies the accounting identities embedded within the model specification. Production accounts, income balances, government accounts, trade balances, capital accumulation equations, and emissions accounting are systematically checked to ensure consistency between the empirical calibration and the theoretical model.</w:t>
        </w:r>
      </w:ins>
    </w:p>
    <w:p w14:paraId="79B56490" w14:textId="77777777" w:rsidR="000C181A" w:rsidRPr="00C9711D" w:rsidRDefault="000C181A" w:rsidP="00C9711D">
      <w:pPr>
        <w:pStyle w:val="IWHFlietext"/>
        <w:rPr>
          <w:ins w:id="345" w:author="Heinisch, Katja" w:date="2026-07-27T09:22:00Z" w16du:dateUtc="2026-07-27T07:22:00Z"/>
          <w:lang w:val="en-US"/>
        </w:rPr>
      </w:pPr>
      <w:ins w:id="346" w:author="Heinisch, Katja" w:date="2026-07-27T09:22:00Z" w16du:dateUtc="2026-07-27T07:22:00Z">
        <w:r w:rsidRPr="00C9711D">
          <w:rPr>
            <w:lang w:val="en-US"/>
          </w:rPr>
          <w:t>These consistency checks confirm that all markets clear, budget constraints are satisfied, and benchmark aggregates reproduce the underlying national accounts and energy balances used during calibration. Maintaining these identities is essential because even small inconsistencies can propagate through the dynamic simulation and distort long-run policy results.</w:t>
        </w:r>
      </w:ins>
    </w:p>
    <w:p w14:paraId="3EDFDC60" w14:textId="77777777" w:rsidR="000C181A" w:rsidRPr="00C9711D" w:rsidRDefault="000C181A" w:rsidP="000C181A">
      <w:pPr>
        <w:pStyle w:val="Textkrper"/>
        <w:rPr>
          <w:ins w:id="347" w:author="Heinisch, Katja" w:date="2026-07-27T09:22:00Z" w16du:dateUtc="2026-07-27T07:22:00Z"/>
          <w:b/>
          <w:bCs/>
          <w:lang w:val="en-US"/>
        </w:rPr>
      </w:pPr>
      <w:ins w:id="348" w:author="Heinisch, Katja" w:date="2026-07-27T09:22:00Z" w16du:dateUtc="2026-07-27T07:22:00Z">
        <w:r w:rsidRPr="00C9711D">
          <w:rPr>
            <w:b/>
            <w:bCs/>
            <w:lang w:val="en-US"/>
          </w:rPr>
          <w:t>Calibration verification</w:t>
        </w:r>
      </w:ins>
    </w:p>
    <w:p w14:paraId="2D1636A7" w14:textId="77777777" w:rsidR="000C181A" w:rsidRPr="00C9711D" w:rsidRDefault="000C181A" w:rsidP="00C9711D">
      <w:pPr>
        <w:pStyle w:val="IWHFlietext"/>
        <w:rPr>
          <w:ins w:id="349" w:author="Heinisch, Katja" w:date="2026-07-27T09:22:00Z" w16du:dateUtc="2026-07-27T07:22:00Z"/>
          <w:lang w:val="en-US"/>
        </w:rPr>
      </w:pPr>
      <w:ins w:id="350" w:author="Heinisch, Katja" w:date="2026-07-27T09:22:00Z" w16du:dateUtc="2026-07-27T07:22:00Z">
        <w:r w:rsidRPr="00C9711D">
          <w:rPr>
            <w:lang w:val="en-US"/>
          </w:rPr>
          <w:t>The third verification layer evaluates whether the calibrated benchmark accurately reproduces the intended baseline economy. This includes comparisons of macroeconomic aggregates, sectoral production, investment, energy use, emissions, and capacity expansion against the calibration datasets and baseline assumptions described in Section 3.</w:t>
        </w:r>
      </w:ins>
    </w:p>
    <w:p w14:paraId="483B6E19" w14:textId="77777777" w:rsidR="000C181A" w:rsidRPr="00C9711D" w:rsidRDefault="000C181A" w:rsidP="00C9711D">
      <w:pPr>
        <w:pStyle w:val="IWHFlietext"/>
        <w:rPr>
          <w:ins w:id="351" w:author="Heinisch, Katja" w:date="2026-07-27T09:22:00Z" w16du:dateUtc="2026-07-27T07:22:00Z"/>
          <w:lang w:val="en-US"/>
        </w:rPr>
      </w:pPr>
      <w:ins w:id="352" w:author="Heinisch, Katja" w:date="2026-07-27T09:22:00Z" w16du:dateUtc="2026-07-27T07:22:00Z">
        <w:r w:rsidRPr="00C9711D">
          <w:rPr>
            <w:lang w:val="en-US"/>
          </w:rPr>
          <w:t>Diagnostic figures generated during the calibration process provide an additional visual assessment of model performance by comparing simulated trajectories with planned development pathways, including the targets specified under Vietnam's revised Power Development Plan VIII. These diagnostics verify that the benchmark economy provides an appropriate reference point for subsequent policy analysis before any scenario-specific interventions are introduced.</w:t>
        </w:r>
      </w:ins>
    </w:p>
    <w:p w14:paraId="2AFB8F39" w14:textId="77777777" w:rsidR="000C181A" w:rsidRPr="00C9711D" w:rsidRDefault="000C181A" w:rsidP="000C181A">
      <w:pPr>
        <w:pStyle w:val="Textkrper"/>
        <w:rPr>
          <w:ins w:id="353" w:author="Heinisch, Katja" w:date="2026-07-27T09:22:00Z" w16du:dateUtc="2026-07-27T07:22:00Z"/>
          <w:b/>
          <w:bCs/>
          <w:lang w:val="en-US"/>
        </w:rPr>
      </w:pPr>
      <w:ins w:id="354" w:author="Heinisch, Katja" w:date="2026-07-27T09:22:00Z" w16du:dateUtc="2026-07-27T07:22:00Z">
        <w:r w:rsidRPr="00C9711D">
          <w:rPr>
            <w:b/>
            <w:bCs/>
            <w:lang w:val="en-US"/>
          </w:rPr>
          <w:t>Implementation checks</w:t>
        </w:r>
      </w:ins>
    </w:p>
    <w:p w14:paraId="0FB244E4" w14:textId="77777777" w:rsidR="000C181A" w:rsidRPr="00C9711D" w:rsidRDefault="000C181A" w:rsidP="00C9711D">
      <w:pPr>
        <w:pStyle w:val="IWHFlietext"/>
        <w:rPr>
          <w:ins w:id="355" w:author="Heinisch, Katja" w:date="2026-07-27T09:22:00Z" w16du:dateUtc="2026-07-27T07:22:00Z"/>
          <w:lang w:val="en-US"/>
        </w:rPr>
      </w:pPr>
      <w:ins w:id="356" w:author="Heinisch, Katja" w:date="2026-07-27T09:22:00Z" w16du:dateUtc="2026-07-27T07:22:00Z">
        <w:r w:rsidRPr="00C9711D">
          <w:rPr>
            <w:lang w:val="en-US"/>
          </w:rPr>
          <w:t>In addition to the economic verification procedures, the computational workflow incorporates several implementation checks that ensure consistency between the calibration inputs, Dynare model specification, and MATLAB processing routines. These checks confirm that calibration workbooks have been read correctly, parameter values have been transferred consistently to the model environment, and all required data structures have been successfully initialised prior to simulation.</w:t>
        </w:r>
      </w:ins>
    </w:p>
    <w:p w14:paraId="4509A7BC" w14:textId="77777777" w:rsidR="000C181A" w:rsidRPr="00C9711D" w:rsidRDefault="000C181A" w:rsidP="00C9711D">
      <w:pPr>
        <w:pStyle w:val="IWHFlietext"/>
        <w:rPr>
          <w:ins w:id="357" w:author="Heinisch, Katja" w:date="2026-07-27T09:22:00Z" w16du:dateUtc="2026-07-27T07:22:00Z"/>
          <w:lang w:val="en-US"/>
        </w:rPr>
      </w:pPr>
      <w:ins w:id="358" w:author="Heinisch, Katja" w:date="2026-07-27T09:22:00Z" w16du:dateUtc="2026-07-27T07:22:00Z">
        <w:r w:rsidRPr="00C9711D">
          <w:rPr>
            <w:lang w:val="en-US"/>
          </w:rPr>
          <w:t>The modular organisation of the implementation further supports verification by allowing intermediate outputs to be inspected independently at each stage of the solution pipeline. This facilitates the identification of potential inconsistencies during model development and simplifies future extensions of the framework.</w:t>
        </w:r>
      </w:ins>
    </w:p>
    <w:p w14:paraId="1E74A706" w14:textId="77777777" w:rsidR="000C181A" w:rsidRPr="00C9711D" w:rsidRDefault="000C181A" w:rsidP="000C181A">
      <w:pPr>
        <w:pStyle w:val="Textkrper"/>
        <w:rPr>
          <w:ins w:id="359" w:author="Heinisch, Katja" w:date="2026-07-27T09:22:00Z" w16du:dateUtc="2026-07-27T07:22:00Z"/>
          <w:b/>
          <w:bCs/>
          <w:lang w:val="en-US"/>
        </w:rPr>
      </w:pPr>
      <w:ins w:id="360" w:author="Heinisch, Katja" w:date="2026-07-27T09:22:00Z" w16du:dateUtc="2026-07-27T07:22:00Z">
        <w:r w:rsidRPr="00C9711D">
          <w:rPr>
            <w:b/>
            <w:bCs/>
            <w:lang w:val="en-US"/>
          </w:rPr>
          <w:t>Reproducibility</w:t>
        </w:r>
      </w:ins>
    </w:p>
    <w:p w14:paraId="7C384ED8" w14:textId="77777777" w:rsidR="000C181A" w:rsidRPr="00C9711D" w:rsidRDefault="000C181A" w:rsidP="00C9711D">
      <w:pPr>
        <w:pStyle w:val="IWHFlietext"/>
        <w:rPr>
          <w:ins w:id="361" w:author="Heinisch, Katja" w:date="2026-07-27T09:22:00Z" w16du:dateUtc="2026-07-27T07:22:00Z"/>
          <w:lang w:val="en-US"/>
        </w:rPr>
      </w:pPr>
      <w:ins w:id="362" w:author="Heinisch, Katja" w:date="2026-07-27T09:22:00Z" w16du:dateUtc="2026-07-27T07:22:00Z">
        <w:r w:rsidRPr="00C9711D">
          <w:rPr>
            <w:lang w:val="en-US"/>
          </w:rPr>
          <w:t>An important objective of the verification framework is to ensure that the complete modelling process is reproducible. The separation of calibration, model specification, simulation, and post-processing allows each stage of the computational workflow to be repeated independently while producing identical benchmark and scenario results, provided that the same calibration inputs and model configuration are used.</w:t>
        </w:r>
      </w:ins>
    </w:p>
    <w:p w14:paraId="1735A11E" w14:textId="77777777" w:rsidR="000C181A" w:rsidRPr="00C9711D" w:rsidRDefault="000C181A" w:rsidP="00C9711D">
      <w:pPr>
        <w:pStyle w:val="IWHFlietext"/>
        <w:rPr>
          <w:ins w:id="363" w:author="Heinisch, Katja" w:date="2026-07-27T09:22:00Z" w16du:dateUtc="2026-07-27T07:22:00Z"/>
          <w:lang w:val="en-US"/>
        </w:rPr>
      </w:pPr>
      <w:ins w:id="364" w:author="Heinisch, Katja" w:date="2026-07-27T09:22:00Z" w16du:dateUtc="2026-07-27T07:22:00Z">
        <w:r w:rsidRPr="00C9711D">
          <w:rPr>
            <w:lang w:val="en-US"/>
          </w:rPr>
          <w:t>This reproducible workflow strengthens the transparency of DGE-METRIC and enables researchers to verify calibration outcomes, replicate published simulations, and extend the model for alternative policy applications without modifying the underlying numerical solution methodology.</w:t>
        </w:r>
      </w:ins>
    </w:p>
    <w:p w14:paraId="0B562AC2" w14:textId="77777777" w:rsidR="001314FA" w:rsidRPr="00C9711D" w:rsidRDefault="001314FA" w:rsidP="00752B43">
      <w:pPr>
        <w:pStyle w:val="berschrift1"/>
        <w:rPr>
          <w:lang w:val="en-US"/>
        </w:rPr>
      </w:pPr>
      <w:bookmarkStart w:id="365" w:name="_Toc235867070"/>
      <w:bookmarkStart w:id="366" w:name="scenario-design-framework"/>
      <w:bookmarkStart w:id="367" w:name="_Toc236050664"/>
      <w:bookmarkEnd w:id="286"/>
      <w:bookmarkEnd w:id="328"/>
      <w:r w:rsidRPr="00C9711D">
        <w:rPr>
          <w:lang w:val="en-US"/>
        </w:rPr>
        <w:lastRenderedPageBreak/>
        <w:t>Scenario Design Framework</w:t>
      </w:r>
      <w:bookmarkEnd w:id="365"/>
      <w:bookmarkEnd w:id="367"/>
    </w:p>
    <w:p w14:paraId="6CF9FCBA" w14:textId="6E3B8E38" w:rsidR="000C181A" w:rsidRPr="00C9711D" w:rsidRDefault="000C181A" w:rsidP="00C9711D">
      <w:pPr>
        <w:pStyle w:val="IWHFlietext"/>
        <w:rPr>
          <w:ins w:id="368" w:author="Heinisch, Katja" w:date="2026-07-27T09:22:00Z" w16du:dateUtc="2026-07-27T07:22:00Z"/>
          <w:lang w:val="en-US"/>
        </w:rPr>
      </w:pPr>
      <w:ins w:id="369" w:author="Heinisch, Katja" w:date="2026-07-27T09:22:00Z" w16du:dateUtc="2026-07-27T07:22:00Z">
        <w:r w:rsidRPr="00C9711D">
          <w:rPr>
            <w:lang w:val="en-US"/>
          </w:rPr>
          <w:t xml:space="preserve">With the model specification, calibration, and computational framework established, this section introduces the policy scenarios used to evaluate Vietnam's energy transition. The scenarios translate alternative policy assumptions into a consistent set of model inputs, enabling the economy-wide implications of different transition strategies to be analysed within the DGE-METRIC framework. All simulations are conducted relative to the calibrated baseline described in Section 3. </w:t>
        </w:r>
      </w:ins>
    </w:p>
    <w:p w14:paraId="03B318F7" w14:textId="486A7330" w:rsidR="001314FA" w:rsidRPr="00C9711D" w:rsidRDefault="001314FA" w:rsidP="002A4BF9">
      <w:pPr>
        <w:pStyle w:val="berschrift2"/>
        <w:rPr>
          <w:lang w:val="en-US"/>
        </w:rPr>
      </w:pPr>
      <w:bookmarkStart w:id="370" w:name="_Toc235867071"/>
      <w:bookmarkStart w:id="371" w:name="nested-counterfactual-logic"/>
      <w:bookmarkStart w:id="372" w:name="_Toc236050665"/>
      <w:r w:rsidRPr="00C9711D">
        <w:rPr>
          <w:lang w:val="en-US"/>
        </w:rPr>
        <w:t>Nested-counterfactual logic</w:t>
      </w:r>
      <w:bookmarkEnd w:id="370"/>
      <w:bookmarkEnd w:id="372"/>
    </w:p>
    <w:p w14:paraId="185FD389" w14:textId="77777777" w:rsidR="000C181A" w:rsidRPr="00C9711D" w:rsidRDefault="000C181A" w:rsidP="00C9711D">
      <w:pPr>
        <w:pStyle w:val="IWHFlietext"/>
        <w:rPr>
          <w:ins w:id="373" w:author="Heinisch, Katja" w:date="2026-07-27T09:22:00Z" w16du:dateUtc="2026-07-27T07:22:00Z"/>
          <w:lang w:val="en-US"/>
        </w:rPr>
      </w:pPr>
      <w:ins w:id="374" w:author="Heinisch, Katja" w:date="2026-07-27T09:22:00Z" w16du:dateUtc="2026-07-27T07:22:00Z">
        <w:r w:rsidRPr="00C9711D">
          <w:rPr>
            <w:lang w:val="en-US"/>
          </w:rPr>
          <w:t xml:space="preserve">The scenario analysis is organised as a </w:t>
        </w:r>
        <w:r w:rsidRPr="00C9711D">
          <w:rPr>
            <w:b/>
            <w:bCs/>
            <w:lang w:val="en-US"/>
          </w:rPr>
          <w:t>nested counterfactual framework</w:t>
        </w:r>
        <w:r w:rsidRPr="00C9711D">
          <w:rPr>
            <w:lang w:val="en-US"/>
          </w:rPr>
          <w:t xml:space="preserve"> that allows the individual economic mechanisms underlying Vietnam's energy transition to be examined in a systematic and internally consistent manner. Rather than treating each policy scenario as an independent experiment, all simulations are constructed sequentially from a common benchmark economy. This hierarchical design ensures that the marginal contribution of individual policy measures can be isolated while maintaining a consistent calibration, model structure, and initial conditions across all simulations.</w:t>
        </w:r>
      </w:ins>
    </w:p>
    <w:p w14:paraId="5A64C874" w14:textId="4B5EBD21" w:rsidR="000C181A" w:rsidRPr="00C9711D" w:rsidRDefault="00327FD3" w:rsidP="002C3A6E">
      <w:pPr>
        <w:pStyle w:val="IWHKastenQuellen"/>
        <w:pBdr>
          <w:top w:val="none" w:sz="0" w:space="0" w:color="auto"/>
          <w:left w:val="none" w:sz="0" w:space="0" w:color="auto"/>
          <w:bottom w:val="none" w:sz="0" w:space="0" w:color="auto"/>
          <w:right w:val="none" w:sz="0" w:space="0" w:color="auto"/>
        </w:pBdr>
        <w:shd w:val="clear" w:color="auto" w:fill="auto"/>
        <w:rPr>
          <w:ins w:id="375" w:author="Heinisch, Katja" w:date="2026-07-27T09:22:00Z" w16du:dateUtc="2026-07-27T07:22:00Z"/>
          <w:lang w:val="en-US"/>
        </w:rPr>
      </w:pPr>
      <w:r>
        <w:rPr>
          <w:noProof/>
        </w:rPr>
        <mc:AlternateContent>
          <mc:Choice Requires="wps">
            <w:drawing>
              <wp:anchor distT="0" distB="0" distL="114300" distR="114300" simplePos="0" relativeHeight="251667456" behindDoc="0" locked="0" layoutInCell="1" allowOverlap="1" wp14:anchorId="6B292F8C" wp14:editId="514EC6C2">
                <wp:simplePos x="0" y="0"/>
                <wp:positionH relativeFrom="column">
                  <wp:posOffset>0</wp:posOffset>
                </wp:positionH>
                <wp:positionV relativeFrom="paragraph">
                  <wp:posOffset>2847340</wp:posOffset>
                </wp:positionV>
                <wp:extent cx="6127115" cy="635"/>
                <wp:effectExtent l="0" t="0" r="0" b="0"/>
                <wp:wrapSquare wrapText="bothSides"/>
                <wp:docPr id="255239759" name="Textfeld 1"/>
                <wp:cNvGraphicFramePr/>
                <a:graphic xmlns:a="http://schemas.openxmlformats.org/drawingml/2006/main">
                  <a:graphicData uri="http://schemas.microsoft.com/office/word/2010/wordprocessingShape">
                    <wps:wsp>
                      <wps:cNvSpPr txBox="1"/>
                      <wps:spPr>
                        <a:xfrm>
                          <a:off x="0" y="0"/>
                          <a:ext cx="6127115" cy="635"/>
                        </a:xfrm>
                        <a:prstGeom prst="rect">
                          <a:avLst/>
                        </a:prstGeom>
                        <a:solidFill>
                          <a:prstClr val="white"/>
                        </a:solidFill>
                        <a:ln>
                          <a:noFill/>
                        </a:ln>
                      </wps:spPr>
                      <wps:txbx>
                        <w:txbxContent>
                          <w:p w14:paraId="4D8EEDC0" w14:textId="165AA458" w:rsidR="00327FD3" w:rsidRPr="0071751B" w:rsidRDefault="00327FD3" w:rsidP="00327FD3">
                            <w:pPr>
                              <w:pStyle w:val="Beschriftung"/>
                              <w:rPr>
                                <w:rFonts w:ascii="Consolas" w:hAnsi="Consolas"/>
                                <w:noProof/>
                                <w:sz w:val="22"/>
                              </w:rPr>
                            </w:pPr>
                            <w:bookmarkStart w:id="376" w:name="_Toc236050721"/>
                            <w:r>
                              <w:t xml:space="preserve">Figure </w:t>
                            </w:r>
                            <w:fldSimple w:instr=" SEQ Figure \* ARABIC ">
                              <w:r w:rsidR="00577A64">
                                <w:rPr>
                                  <w:noProof/>
                                </w:rPr>
                                <w:t>6</w:t>
                              </w:r>
                            </w:fldSimple>
                            <w:r>
                              <w:t xml:space="preserve">: </w:t>
                            </w:r>
                            <w:ins w:id="377" w:author="Heinisch, Katja" w:date="2026-07-27T09:22:00Z" w16du:dateUtc="2026-07-27T07:22:00Z">
                              <w:r w:rsidRPr="00327FD3">
                                <w:rPr>
                                  <w:noProof/>
                                </w:rPr>
                                <w:t>Hierarchical organisation of the DGE-METRIC scenario framework</w:t>
                              </w:r>
                            </w:ins>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292F8C" id="_x0000_t202" coordsize="21600,21600" o:spt="202" path="m,l,21600r21600,l21600,xe">
                <v:stroke joinstyle="miter"/>
                <v:path gradientshapeok="t" o:connecttype="rect"/>
              </v:shapetype>
              <v:shape id="Textfeld 1" o:spid="_x0000_s1026" type="#_x0000_t202" style="position:absolute;left:0;text-align:left;margin-left:0;margin-top:224.2pt;width:482.4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" stroked="f">
                <v:textbox style="mso-fit-shape-to-text:t" inset="0,0,0,0">
                  <w:txbxContent>
                    <w:p w14:paraId="4D8EEDC0" w14:textId="165AA458" w:rsidR="00327FD3" w:rsidRPr="0071751B" w:rsidRDefault="00327FD3" w:rsidP="00327FD3">
                      <w:pPr>
                        <w:pStyle w:val="Beschriftung"/>
                        <w:rPr>
                          <w:rFonts w:ascii="Consolas" w:hAnsi="Consolas"/>
                          <w:noProof/>
                          <w:sz w:val="22"/>
                        </w:rPr>
                      </w:pPr>
                      <w:bookmarkStart w:id="378" w:name="_Toc236050721"/>
                      <w:r>
                        <w:t xml:space="preserve">Figure </w:t>
                      </w:r>
                      <w:fldSimple w:instr=" SEQ Figure \* ARABIC ">
                        <w:r w:rsidR="00577A64">
                          <w:rPr>
                            <w:noProof/>
                          </w:rPr>
                          <w:t>6</w:t>
                        </w:r>
                      </w:fldSimple>
                      <w:r>
                        <w:t xml:space="preserve">: </w:t>
                      </w:r>
                      <w:ins w:id="379" w:author="Heinisch, Katja" w:date="2026-07-27T09:22:00Z" w16du:dateUtc="2026-07-27T07:22:00Z">
                        <w:r w:rsidRPr="00327FD3">
                          <w:rPr>
                            <w:noProof/>
                          </w:rPr>
                          <w:t>Hierarchical organisation of the DGE-METRIC scenario framework</w:t>
                        </w:r>
                      </w:ins>
                      <w:bookmarkEnd w:id="378"/>
                    </w:p>
                  </w:txbxContent>
                </v:textbox>
                <w10:wrap type="square"/>
              </v:shape>
            </w:pict>
          </mc:Fallback>
        </mc:AlternateContent>
      </w:r>
      <w:r>
        <w:rPr>
          <w:noProof/>
        </w:rPr>
        <mc:AlternateContent>
          <mc:Choice Requires="wps">
            <w:drawing>
              <wp:anchor distT="0" distB="0" distL="114300" distR="114300" simplePos="0" relativeHeight="251665408" behindDoc="0" locked="0" layoutInCell="1" allowOverlap="1" wp14:anchorId="18887B6F" wp14:editId="46F3FDE8">
                <wp:simplePos x="0" y="0"/>
                <wp:positionH relativeFrom="column">
                  <wp:posOffset>0</wp:posOffset>
                </wp:positionH>
                <wp:positionV relativeFrom="paragraph">
                  <wp:posOffset>0</wp:posOffset>
                </wp:positionV>
                <wp:extent cx="1828800" cy="1828800"/>
                <wp:effectExtent l="0" t="0" r="0" b="0"/>
                <wp:wrapSquare wrapText="bothSides"/>
                <wp:docPr id="945141105" name="Textfeld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6B7EEBC0" w14:textId="77777777" w:rsidR="00327FD3" w:rsidRPr="00BB2707" w:rsidRDefault="00327FD3" w:rsidP="00BB2707">
                            <w:pPr>
                              <w:pStyle w:val="SourceCode"/>
                              <w:rPr>
                                <w:rFonts w:eastAsiaTheme="minorHAnsi"/>
                                <w:sz w:val="20"/>
                                <w:lang w:val="en-US"/>
                              </w:rPr>
                            </w:pPr>
                            <w:r w:rsidRPr="00C9711D">
                              <w:rPr>
                                <w:rStyle w:val="VerbatimChar"/>
                                <w:rFonts w:eastAsiaTheme="minorHAnsi"/>
                                <w:lang w:val="en-US"/>
                              </w:rPr>
                              <w:t>Baseline (PDP8)</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Net-Zero (NZ) ─────────────────────── adds: binding emissions cap + ETS</w:t>
                            </w:r>
                            <w:r w:rsidRPr="00C9711D">
                              <w:rPr>
                                <w:lang w:val="en-US"/>
                              </w:rPr>
                              <w:br/>
                            </w:r>
                            <w:r w:rsidRPr="00C9711D">
                              <w:rPr>
                                <w:rStyle w:val="VerbatimChar"/>
                                <w:rFonts w:eastAsiaTheme="minorHAnsi"/>
                                <w:lang w:val="en-US"/>
                              </w:rPr>
                              <w:t>│     ├── NZ_constInt ─────────────────── removes: emission-intensity improvement</w:t>
                            </w:r>
                            <w:r w:rsidRPr="00C9711D">
                              <w:rPr>
                                <w:lang w:val="en-US"/>
                              </w:rPr>
                              <w:br/>
                            </w:r>
                            <w:r w:rsidRPr="00C9711D">
                              <w:rPr>
                                <w:rStyle w:val="VerbatimChar"/>
                                <w:rFonts w:eastAsiaTheme="minorHAnsi"/>
                                <w:lang w:val="en-US"/>
                              </w:rPr>
                              <w:t>│     └── NZ_constEEInt ───────────────── removes: energy efficiency + intensity</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Energy Efficiency ──────────────────  adds: EE shocks on PDP8 baseline</w:t>
                            </w:r>
                            <w:r w:rsidRPr="00C9711D">
                              <w:rPr>
                                <w:lang w:val="en-US"/>
                              </w:rPr>
                              <w:br/>
                            </w:r>
                            <w:r w:rsidRPr="00C9711D">
                              <w:rPr>
                                <w:rStyle w:val="VerbatimChar"/>
                                <w:rFonts w:eastAsiaTheme="minorHAnsi"/>
                                <w:lang w:val="en-US"/>
                              </w:rPr>
                              <w:t>│     ├── EE_PDP8</w:t>
                            </w:r>
                            <w:r w:rsidRPr="00C9711D">
                              <w:rPr>
                                <w:lang w:val="en-US"/>
                              </w:rPr>
                              <w:br/>
                            </w:r>
                            <w:r w:rsidRPr="00C9711D">
                              <w:rPr>
                                <w:rStyle w:val="VerbatimChar"/>
                                <w:rFonts w:eastAsiaTheme="minorHAnsi"/>
                                <w:lang w:val="en-US"/>
                              </w:rPr>
                              <w:t>│     ├── EE_Directive10</w:t>
                            </w:r>
                            <w:r w:rsidRPr="00C9711D">
                              <w:rPr>
                                <w:lang w:val="en-US"/>
                              </w:rPr>
                              <w:br/>
                            </w:r>
                            <w:r w:rsidRPr="00C9711D">
                              <w:rPr>
                                <w:rStyle w:val="VerbatimChar"/>
                                <w:rFonts w:eastAsiaTheme="minorHAnsi"/>
                                <w:lang w:val="en-US"/>
                              </w:rPr>
                              <w:t>│     └── EE_PDP8_PV_BESS (+ NoBESS variants)</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Green Finance ──────────────────────  modifies: cost-of-capital and investment paths</w:t>
                            </w:r>
                            <w:r w:rsidRPr="00C9711D">
                              <w:rPr>
                                <w:lang w:val="en-US"/>
                              </w:rPr>
                              <w:br/>
                            </w:r>
                            <w:r w:rsidRPr="00C9711D">
                              <w:rPr>
                                <w:rStyle w:val="VerbatimChar"/>
                                <w:rFonts w:eastAsiaTheme="minorHAnsi"/>
                                <w:lang w:val="en-US"/>
                              </w:rPr>
                              <w:t xml:space="preserve">      ├── On PDP8: GF_A, GF_B, GF_C</w:t>
                            </w:r>
                            <w:r w:rsidRPr="00C9711D">
                              <w:rPr>
                                <w:lang w:val="en-US"/>
                              </w:rPr>
                              <w:br/>
                            </w:r>
                            <w:r w:rsidRPr="00C9711D">
                              <w:rPr>
                                <w:rStyle w:val="VerbatimChar"/>
                                <w:rFonts w:eastAsiaTheme="minorHAnsi"/>
                                <w:lang w:val="en-US"/>
                              </w:rPr>
                              <w:t xml:space="preserve">      └── On NZ:   NZ_GF_A, NZ_GF_B, NZ_GF_C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18887B6F" id="_x0000_s1027" type="#_x0000_t202" style="position:absolute;left:0;text-align:left;margin-left:0;margin-top:0;width:2in;height:2in;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U+jKQ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" filled="f" strokeweight=".5pt">
                <v:textbox style="mso-fit-shape-to-text:t">
                  <w:txbxContent>
                    <w:p w14:paraId="6B7EEBC0" w14:textId="77777777" w:rsidR="00327FD3" w:rsidRPr="00BB2707" w:rsidRDefault="00327FD3" w:rsidP="00BB2707">
                      <w:pPr>
                        <w:pStyle w:val="SourceCode"/>
                        <w:rPr>
                          <w:rFonts w:eastAsiaTheme="minorHAnsi"/>
                          <w:sz w:val="20"/>
                          <w:lang w:val="en-US"/>
                        </w:rPr>
                      </w:pPr>
                      <w:r w:rsidRPr="00C9711D">
                        <w:rPr>
                          <w:rStyle w:val="VerbatimChar"/>
                          <w:rFonts w:eastAsiaTheme="minorHAnsi"/>
                          <w:lang w:val="en-US"/>
                        </w:rPr>
                        <w:t>Baseline (PDP8)</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Net-Zero (NZ) ─────────────────────── adds: binding emissions cap + ETS</w:t>
                      </w:r>
                      <w:r w:rsidRPr="00C9711D">
                        <w:rPr>
                          <w:lang w:val="en-US"/>
                        </w:rPr>
                        <w:br/>
                      </w:r>
                      <w:r w:rsidRPr="00C9711D">
                        <w:rPr>
                          <w:rStyle w:val="VerbatimChar"/>
                          <w:rFonts w:eastAsiaTheme="minorHAnsi"/>
                          <w:lang w:val="en-US"/>
                        </w:rPr>
                        <w:t>│     ├── NZ_constInt ─────────────────── removes: emission-intensity improvement</w:t>
                      </w:r>
                      <w:r w:rsidRPr="00C9711D">
                        <w:rPr>
                          <w:lang w:val="en-US"/>
                        </w:rPr>
                        <w:br/>
                      </w:r>
                      <w:r w:rsidRPr="00C9711D">
                        <w:rPr>
                          <w:rStyle w:val="VerbatimChar"/>
                          <w:rFonts w:eastAsiaTheme="minorHAnsi"/>
                          <w:lang w:val="en-US"/>
                        </w:rPr>
                        <w:t>│     └── NZ_constEEInt ───────────────── removes: energy efficiency + intensity</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Energy Efficiency ──────────────────  adds: EE shocks on PDP8 baseline</w:t>
                      </w:r>
                      <w:r w:rsidRPr="00C9711D">
                        <w:rPr>
                          <w:lang w:val="en-US"/>
                        </w:rPr>
                        <w:br/>
                      </w:r>
                      <w:r w:rsidRPr="00C9711D">
                        <w:rPr>
                          <w:rStyle w:val="VerbatimChar"/>
                          <w:rFonts w:eastAsiaTheme="minorHAnsi"/>
                          <w:lang w:val="en-US"/>
                        </w:rPr>
                        <w:t>│     ├── EE_PDP8</w:t>
                      </w:r>
                      <w:r w:rsidRPr="00C9711D">
                        <w:rPr>
                          <w:lang w:val="en-US"/>
                        </w:rPr>
                        <w:br/>
                      </w:r>
                      <w:r w:rsidRPr="00C9711D">
                        <w:rPr>
                          <w:rStyle w:val="VerbatimChar"/>
                          <w:rFonts w:eastAsiaTheme="minorHAnsi"/>
                          <w:lang w:val="en-US"/>
                        </w:rPr>
                        <w:t>│     ├── EE_Directive10</w:t>
                      </w:r>
                      <w:r w:rsidRPr="00C9711D">
                        <w:rPr>
                          <w:lang w:val="en-US"/>
                        </w:rPr>
                        <w:br/>
                      </w:r>
                      <w:r w:rsidRPr="00C9711D">
                        <w:rPr>
                          <w:rStyle w:val="VerbatimChar"/>
                          <w:rFonts w:eastAsiaTheme="minorHAnsi"/>
                          <w:lang w:val="en-US"/>
                        </w:rPr>
                        <w:t>│     └── EE_PDP8_PV_BESS (+ NoBESS variants)</w:t>
                      </w:r>
                      <w:r w:rsidRPr="00C9711D">
                        <w:rPr>
                          <w:lang w:val="en-US"/>
                        </w:rPr>
                        <w:br/>
                      </w:r>
                      <w:r w:rsidRPr="00C9711D">
                        <w:rPr>
                          <w:rStyle w:val="VerbatimChar"/>
                          <w:rFonts w:eastAsiaTheme="minorHAnsi"/>
                          <w:lang w:val="en-US"/>
                        </w:rPr>
                        <w:t>│</w:t>
                      </w:r>
                      <w:r w:rsidRPr="00C9711D">
                        <w:rPr>
                          <w:lang w:val="en-US"/>
                        </w:rPr>
                        <w:br/>
                      </w:r>
                      <w:r w:rsidRPr="00C9711D">
                        <w:rPr>
                          <w:rStyle w:val="VerbatimChar"/>
                          <w:rFonts w:eastAsiaTheme="minorHAnsi"/>
                          <w:lang w:val="en-US"/>
                        </w:rPr>
                        <w:t>└── Green Finance ──────────────────────  modifies: cost-of-capital and investment paths</w:t>
                      </w:r>
                      <w:r w:rsidRPr="00C9711D">
                        <w:rPr>
                          <w:lang w:val="en-US"/>
                        </w:rPr>
                        <w:br/>
                      </w:r>
                      <w:r w:rsidRPr="00C9711D">
                        <w:rPr>
                          <w:rStyle w:val="VerbatimChar"/>
                          <w:rFonts w:eastAsiaTheme="minorHAnsi"/>
                          <w:lang w:val="en-US"/>
                        </w:rPr>
                        <w:t xml:space="preserve">      ├── On PDP8: GF_A, GF_B, GF_C</w:t>
                      </w:r>
                      <w:r w:rsidRPr="00C9711D">
                        <w:rPr>
                          <w:lang w:val="en-US"/>
                        </w:rPr>
                        <w:br/>
                      </w:r>
                      <w:r w:rsidRPr="00C9711D">
                        <w:rPr>
                          <w:rStyle w:val="VerbatimChar"/>
                          <w:rFonts w:eastAsiaTheme="minorHAnsi"/>
                          <w:lang w:val="en-US"/>
                        </w:rPr>
                        <w:t xml:space="preserve">      └── On NZ:   NZ_GF_A, NZ_GF_B, NZ_GF_C</w:t>
                      </w:r>
                    </w:p>
                  </w:txbxContent>
                </v:textbox>
                <w10:wrap type="square"/>
              </v:shape>
            </w:pict>
          </mc:Fallback>
        </mc:AlternateContent>
      </w:r>
      <w:ins w:id="380" w:author="Heinisch, Katja" w:date="2026-07-27T09:22:00Z" w16du:dateUtc="2026-07-27T07:22:00Z">
        <w:r w:rsidR="000C181A" w:rsidRPr="00C9711D">
          <w:rPr>
            <w:lang w:val="en-US"/>
          </w:rPr>
          <w:t>Note: All scenarios originate from the same calibrated benchmark economy. Each branch introduces a distinct set of exogenous policy assumptions while preserving the common model structure and calibration.</w:t>
        </w:r>
      </w:ins>
    </w:p>
    <w:p w14:paraId="481331E8" w14:textId="77777777" w:rsidR="00446DF3" w:rsidRDefault="00446DF3" w:rsidP="00C9711D">
      <w:pPr>
        <w:pStyle w:val="IWHFlietext"/>
        <w:rPr>
          <w:lang w:val="en-US"/>
        </w:rPr>
      </w:pPr>
      <w:ins w:id="381" w:author="Heinisch, Katja" w:date="2026-07-27T09:22:00Z" w16du:dateUtc="2026-07-27T07:22:00Z">
        <w:r w:rsidRPr="00C9711D">
          <w:rPr>
            <w:lang w:val="en-US"/>
          </w:rPr>
          <w:t>The analysis begins with</w:t>
        </w:r>
      </w:ins>
      <w:del w:id="382" w:author="Heinisch, Katja" w:date="2026-07-27T09:22:00Z" w16du:dateUtc="2026-07-27T07:22:00Z">
        <w:r w:rsidRPr="00C9711D">
          <w:rPr>
            <w:lang w:val="en-US"/>
          </w:rPr>
          <w:delText>Scenarios are organized as a layered counterfactual: start from</w:delText>
        </w:r>
      </w:del>
      <w:r w:rsidRPr="00C9711D">
        <w:rPr>
          <w:lang w:val="en-US"/>
        </w:rPr>
        <w:t xml:space="preserve"> a policy-consistent baseline (PDP8), then either (a) impose a binding Net-Zero emissions cap and sequentially shut down individual adjustment channels to decompose their contribution, (b) add demand-side energy efficiency shocks, or (c) modify the cost of capital for transition investment. Every scenario shares the identical calibration and is solved as a deterministic transition path from the same initial steady state, so differences are attributable solely to the shock paths applied.</w:t>
      </w:r>
    </w:p>
    <w:p w14:paraId="37799ECE" w14:textId="50D2F523" w:rsidR="000C181A" w:rsidRPr="00C9711D" w:rsidRDefault="000C181A" w:rsidP="00C9711D">
      <w:pPr>
        <w:pStyle w:val="IWHFlietext"/>
        <w:rPr>
          <w:ins w:id="383" w:author="Heinisch, Katja" w:date="2026-07-27T09:22:00Z" w16du:dateUtc="2026-07-27T07:22:00Z"/>
          <w:lang w:val="en-US"/>
        </w:rPr>
      </w:pPr>
      <w:ins w:id="384" w:author="Heinisch, Katja" w:date="2026-07-27T09:22:00Z" w16du:dateUtc="2026-07-27T07:22:00Z">
        <w:r w:rsidRPr="00C9711D">
          <w:rPr>
            <w:lang w:val="en-US"/>
          </w:rPr>
          <w:t xml:space="preserve">An important advantage of the nested design is that it supports </w:t>
        </w:r>
        <w:r w:rsidRPr="00C9711D">
          <w:rPr>
            <w:b/>
            <w:bCs/>
            <w:lang w:val="en-US"/>
          </w:rPr>
          <w:t>mechanism decomposition</w:t>
        </w:r>
        <w:r w:rsidRPr="00C9711D">
          <w:rPr>
            <w:lang w:val="en-US"/>
          </w:rPr>
          <w:t xml:space="preserve">. Because only a limited number of exogenous variables are modified between successive scenarios, differences in simulation outcomes can be attributed directly to specific economic adjustment channels. This approach </w:t>
        </w:r>
        <w:r w:rsidRPr="00C9711D">
          <w:rPr>
            <w:lang w:val="en-US"/>
          </w:rPr>
          <w:lastRenderedPageBreak/>
          <w:t>improves the interpretability of the results and facilitates a transparent assessment of how individual policy instruments contribute to achieving Vietnam's long-term climate and energy objectives.</w:t>
        </w:r>
      </w:ins>
    </w:p>
    <w:p w14:paraId="31AA2165" w14:textId="5F47B3EB" w:rsidR="001314FA" w:rsidRPr="00C9711D" w:rsidRDefault="001314FA" w:rsidP="002A4BF9">
      <w:pPr>
        <w:pStyle w:val="berschrift2"/>
        <w:rPr>
          <w:lang w:val="en-US"/>
        </w:rPr>
      </w:pPr>
      <w:bookmarkStart w:id="385" w:name="_Toc235867072"/>
      <w:bookmarkStart w:id="386" w:name="net-zero-decomposition"/>
      <w:bookmarkStart w:id="387" w:name="_Toc236050666"/>
      <w:bookmarkEnd w:id="371"/>
      <w:r w:rsidRPr="00C9711D">
        <w:rPr>
          <w:lang w:val="en-US"/>
        </w:rPr>
        <w:t>Net-Zero decomposition</w:t>
      </w:r>
      <w:bookmarkEnd w:id="385"/>
      <w:bookmarkEnd w:id="387"/>
    </w:p>
    <w:p w14:paraId="08E08DF7" w14:textId="77777777" w:rsidR="00C02B84" w:rsidRPr="00C9711D" w:rsidRDefault="001314FA" w:rsidP="00C9711D">
      <w:pPr>
        <w:pStyle w:val="IWHFlietext"/>
        <w:rPr>
          <w:ins w:id="388" w:author="Heinisch, Katja" w:date="2026-07-27T09:22:00Z" w16du:dateUtc="2026-07-27T07:22:00Z"/>
          <w:lang w:val="en-US"/>
        </w:rPr>
      </w:pPr>
      <w:r w:rsidRPr="00C9711D">
        <w:rPr>
          <w:lang w:val="en-US"/>
        </w:rPr>
        <w:t xml:space="preserve">The Net-Zero scenario imposes a binding long-run emissions cap via an economy-wide </w:t>
      </w:r>
      <w:ins w:id="389" w:author="Heinisch, Katja" w:date="2026-07-27T09:22:00Z" w16du:dateUtc="2026-07-27T07:22:00Z">
        <w:r w:rsidR="000C181A" w:rsidRPr="00C9711D">
          <w:rPr>
            <w:lang w:val="en-US"/>
          </w:rPr>
          <w:t>emissions trading system (</w:t>
        </w:r>
      </w:ins>
      <w:r w:rsidRPr="00C9711D">
        <w:rPr>
          <w:lang w:val="en-US"/>
        </w:rPr>
        <w:t>ETS</w:t>
      </w:r>
      <w:ins w:id="390" w:author="Heinisch, Katja" w:date="2026-07-27T09:22:00Z" w16du:dateUtc="2026-07-27T07:22:00Z">
        <w:r w:rsidR="000C181A" w:rsidRPr="00C9711D">
          <w:rPr>
            <w:lang w:val="en-US"/>
          </w:rPr>
          <w:t>)</w:t>
        </w:r>
      </w:ins>
      <w:r w:rsidRPr="00C9711D">
        <w:rPr>
          <w:lang w:val="en-US"/>
        </w:rPr>
        <w:t xml:space="preserve"> with an endogenous carbon price.</w:t>
      </w:r>
    </w:p>
    <w:p w14:paraId="4F56659E" w14:textId="77777777" w:rsidR="00C02B84" w:rsidRPr="00446DF3" w:rsidRDefault="00C02B84" w:rsidP="00C9711D">
      <w:pPr>
        <w:pStyle w:val="IWHFlietext"/>
        <w:rPr>
          <w:ins w:id="391" w:author="Heinisch, Katja" w:date="2026-07-27T09:22:00Z" w16du:dateUtc="2026-07-27T07:22:00Z"/>
          <w:lang w:val="en-US"/>
        </w:rPr>
      </w:pPr>
      <w:ins w:id="392" w:author="Heinisch, Katja" w:date="2026-07-27T09:22:00Z" w16du:dateUtc="2026-07-27T07:22:00Z">
        <w:r w:rsidRPr="00446DF3">
          <w:rPr>
            <w:lang w:val="en-US"/>
          </w:rPr>
          <w:t>The scenario hierarchy comprises three closely related simulations:</w:t>
        </w:r>
      </w:ins>
    </w:p>
    <w:p w14:paraId="40853757" w14:textId="77777777" w:rsidR="00C02B84" w:rsidRPr="00446DF3" w:rsidRDefault="00C02B84" w:rsidP="00A5230E">
      <w:pPr>
        <w:pStyle w:val="FirstParagraph"/>
        <w:numPr>
          <w:ilvl w:val="0"/>
          <w:numId w:val="9"/>
        </w:numPr>
        <w:spacing w:before="180" w:after="180" w:line="240" w:lineRule="auto"/>
        <w:rPr>
          <w:ins w:id="393" w:author="Heinisch, Katja" w:date="2026-07-27T09:22:00Z" w16du:dateUtc="2026-07-27T07:22:00Z"/>
          <w:rFonts w:ascii="Cambria" w:hAnsi="Cambria"/>
          <w:lang w:val="en-US"/>
        </w:rPr>
      </w:pPr>
      <w:ins w:id="394" w:author="Heinisch, Katja" w:date="2026-07-27T09:22:00Z" w16du:dateUtc="2026-07-27T07:22:00Z">
        <w:r w:rsidRPr="00446DF3">
          <w:rPr>
            <w:rFonts w:ascii="Cambria" w:hAnsi="Cambria"/>
            <w:b/>
            <w:bCs/>
            <w:lang w:val="en-US"/>
          </w:rPr>
          <w:t>NZ</w:t>
        </w:r>
        <w:r w:rsidRPr="00446DF3">
          <w:rPr>
            <w:rFonts w:ascii="Cambria" w:hAnsi="Cambria"/>
            <w:lang w:val="en-US"/>
          </w:rPr>
          <w:t xml:space="preserve"> represents the full Net-Zero pathway. Firms and households may adjust through all available mechanisms, including changes in production structure, improvements in energy efficiency, reductions in fossil-fuel emission intensity, investment reallocation, and substitution towards renewable energy technologies. </w:t>
        </w:r>
      </w:ins>
    </w:p>
    <w:p w14:paraId="51A8CF62" w14:textId="77777777" w:rsidR="00C02B84" w:rsidRPr="00446DF3" w:rsidRDefault="00C02B84" w:rsidP="00A5230E">
      <w:pPr>
        <w:pStyle w:val="FirstParagraph"/>
        <w:numPr>
          <w:ilvl w:val="0"/>
          <w:numId w:val="9"/>
        </w:numPr>
        <w:spacing w:before="180" w:after="180" w:line="240" w:lineRule="auto"/>
        <w:rPr>
          <w:ins w:id="395" w:author="Heinisch, Katja" w:date="2026-07-27T09:22:00Z" w16du:dateUtc="2026-07-27T07:22:00Z"/>
          <w:rFonts w:ascii="Cambria" w:hAnsi="Cambria"/>
          <w:lang w:val="en-US"/>
        </w:rPr>
      </w:pPr>
      <w:ins w:id="396" w:author="Heinisch, Katja" w:date="2026-07-27T09:22:00Z" w16du:dateUtc="2026-07-27T07:22:00Z">
        <w:r w:rsidRPr="00446DF3">
          <w:rPr>
            <w:rFonts w:ascii="Cambria" w:hAnsi="Cambria"/>
            <w:b/>
            <w:bCs/>
            <w:lang w:val="en-US"/>
          </w:rPr>
          <w:t>NZ_constInt</w:t>
        </w:r>
        <w:r w:rsidRPr="00446DF3">
          <w:rPr>
            <w:rFonts w:ascii="Cambria" w:hAnsi="Cambria"/>
            <w:lang w:val="en-US"/>
          </w:rPr>
          <w:t xml:space="preserve"> constrains improvements in fossil-fuel emission intensity while leaving all remaining adjustment channels available. Comparing this scenario with the unconstrained Net-Zero case isolates the economic contribution of technological improvements that reduce emissions per unit of fossil-energy output. </w:t>
        </w:r>
      </w:ins>
    </w:p>
    <w:p w14:paraId="5428C714" w14:textId="77777777" w:rsidR="00C02B84" w:rsidRPr="00446DF3" w:rsidRDefault="00C02B84" w:rsidP="00A5230E">
      <w:pPr>
        <w:pStyle w:val="FirstParagraph"/>
        <w:numPr>
          <w:ilvl w:val="0"/>
          <w:numId w:val="9"/>
        </w:numPr>
        <w:spacing w:before="180" w:after="180" w:line="240" w:lineRule="auto"/>
        <w:rPr>
          <w:ins w:id="397" w:author="Heinisch, Katja" w:date="2026-07-27T09:22:00Z" w16du:dateUtc="2026-07-27T07:22:00Z"/>
          <w:rFonts w:ascii="Cambria" w:hAnsi="Cambria"/>
          <w:lang w:val="en-US"/>
        </w:rPr>
      </w:pPr>
      <w:ins w:id="398" w:author="Heinisch, Katja" w:date="2026-07-27T09:22:00Z" w16du:dateUtc="2026-07-27T07:22:00Z">
        <w:r w:rsidRPr="00446DF3">
          <w:rPr>
            <w:rFonts w:ascii="Cambria" w:hAnsi="Cambria"/>
            <w:b/>
            <w:bCs/>
            <w:lang w:val="en-US"/>
          </w:rPr>
          <w:t>NZ_constEEInt</w:t>
        </w:r>
        <w:r w:rsidRPr="00446DF3">
          <w:rPr>
            <w:rFonts w:ascii="Cambria" w:hAnsi="Cambria"/>
            <w:lang w:val="en-US"/>
          </w:rPr>
          <w:t xml:space="preserve"> constrains both emission-intensity improvements and energy-efficiency gains. Consequently, adjustment to the emissions cap must occur primarily through higher carbon prices, larger structural changes in production, accelerated renewable investment, and reductions in fossil-energy use. This scenario therefore represents an upper-bound estimate of adjustment costs under limited technological progress</w:t>
        </w:r>
      </w:ins>
    </w:p>
    <w:p w14:paraId="66CFF1A9" w14:textId="48AE2F79" w:rsidR="001314FA" w:rsidRPr="00C9711D" w:rsidRDefault="001314FA" w:rsidP="001314FA">
      <w:pPr>
        <w:pStyle w:val="IWHFlietext"/>
        <w:rPr>
          <w:lang w:val="en-US"/>
        </w:rPr>
      </w:pPr>
      <w:r w:rsidRPr="00C9711D">
        <w:rPr>
          <w:lang w:val="en-US"/>
        </w:rPr>
        <w:t>Constrained variants (</w:t>
      </w:r>
      <w:r w:rsidRPr="00C9711D">
        <w:rPr>
          <w:rStyle w:val="VerbatimChar"/>
          <w:rFonts w:eastAsiaTheme="minorHAnsi"/>
          <w:lang w:val="en-US"/>
        </w:rPr>
        <w:t>NZ_constInt</w:t>
      </w:r>
      <w:r w:rsidRPr="00C9711D">
        <w:rPr>
          <w:lang w:val="en-US"/>
        </w:rPr>
        <w:t xml:space="preserve">: fossil emission intensity held fixed; </w:t>
      </w:r>
      <w:r w:rsidRPr="00C9711D">
        <w:rPr>
          <w:rStyle w:val="VerbatimChar"/>
          <w:rFonts w:eastAsiaTheme="minorHAnsi"/>
          <w:lang w:val="en-US"/>
        </w:rPr>
        <w:t>NZ_constEEInt</w:t>
      </w:r>
      <w:r w:rsidRPr="00C9711D">
        <w:rPr>
          <w:lang w:val="en-US"/>
        </w:rPr>
        <w:t xml:space="preserve">: energy efficiency </w:t>
      </w:r>
      <w:r w:rsidRPr="00C9711D">
        <w:rPr>
          <w:i/>
          <w:iCs/>
          <w:lang w:val="en-US"/>
        </w:rPr>
        <w:t>and</w:t>
      </w:r>
      <w:r w:rsidRPr="00C9711D">
        <w:rPr>
          <w:lang w:val="en-US"/>
        </w:rPr>
        <w:t xml:space="preserve"> emission intensity both held fixed) isolate how much of the adjustment burden would fall on carbon pricing, sectoral reallocation, and accelerated renewable deployment if fuel-switching and efficiency channels were unavailable — an upper bound on adjustment cost under limited technological learning.</w:t>
      </w:r>
    </w:p>
    <w:p w14:paraId="5AA30054" w14:textId="77777777" w:rsidR="00C02B84" w:rsidRPr="00C9711D" w:rsidRDefault="00C02B84" w:rsidP="00C9711D">
      <w:pPr>
        <w:pStyle w:val="IWHFlietext"/>
        <w:rPr>
          <w:ins w:id="399" w:author="Heinisch, Katja" w:date="2026-07-27T09:22:00Z" w16du:dateUtc="2026-07-27T07:22:00Z"/>
          <w:lang w:val="en-US"/>
        </w:rPr>
      </w:pPr>
      <w:ins w:id="400" w:author="Heinisch, Katja" w:date="2026-07-27T09:22:00Z" w16du:dateUtc="2026-07-27T07:22:00Z">
        <w:r w:rsidRPr="00C9711D">
          <w:rPr>
            <w:lang w:val="en-US"/>
          </w:rPr>
          <w:t>This decomposition framework provides considerably greater insight than a simple comparison between a baseline and a single Net-Zero scenario. Rather than reporting only the aggregate cost of decarbonisation, it identifies the principal economic adjustment channels through which the transition is achieved and quantifies their relative importance. The approach therefore strengthens the interpretation of subsequent simulation results and supports more targeted policy conclusions regarding technology deployment, efficiency improvements, and carbon pricing.</w:t>
        </w:r>
      </w:ins>
    </w:p>
    <w:p w14:paraId="3A507946" w14:textId="77777777" w:rsidR="00C02B84" w:rsidRPr="00C9711D" w:rsidRDefault="00C02B84" w:rsidP="00C9711D">
      <w:pPr>
        <w:pStyle w:val="IWHFlietext"/>
        <w:rPr>
          <w:ins w:id="401" w:author="Heinisch, Katja" w:date="2026-07-27T09:22:00Z" w16du:dateUtc="2026-07-27T07:22:00Z"/>
          <w:lang w:val="en-US"/>
        </w:rPr>
      </w:pPr>
      <w:ins w:id="402" w:author="Heinisch, Katja" w:date="2026-07-27T09:22:00Z" w16du:dateUtc="2026-07-27T07:22:00Z">
        <w:r w:rsidRPr="00C9711D">
          <w:rPr>
            <w:lang w:val="en-US"/>
          </w:rPr>
          <w:t>Finally, the constrained scenarios should not be interpreted as realistic policy pathways. Instead, they represent analytical counterfactuals designed to isolate individual adjustment mechanisms within an otherwise identical economic environment. Their primary purpose is methodological: to improve understanding of the transmission channels through which climate policy affects production, investment, household welfare, public finances, and long-run economic growth</w:t>
        </w:r>
      </w:ins>
    </w:p>
    <w:p w14:paraId="2754CFF3" w14:textId="77777777" w:rsidR="00C02B84" w:rsidRPr="00C9711D" w:rsidRDefault="00C02B84" w:rsidP="0075749F">
      <w:pPr>
        <w:pStyle w:val="Textkrper"/>
        <w:rPr>
          <w:ins w:id="403" w:author="Heinisch, Katja" w:date="2026-07-27T09:22:00Z" w16du:dateUtc="2026-07-27T07:22:00Z"/>
          <w:lang w:val="en-US"/>
        </w:rPr>
      </w:pPr>
    </w:p>
    <w:p w14:paraId="5276D5A8" w14:textId="14F465EC" w:rsidR="001314FA" w:rsidRPr="00C9711D" w:rsidRDefault="001314FA" w:rsidP="002A4BF9">
      <w:pPr>
        <w:pStyle w:val="berschrift2"/>
        <w:rPr>
          <w:lang w:val="en-US"/>
        </w:rPr>
      </w:pPr>
      <w:bookmarkStart w:id="404" w:name="_Toc235867073"/>
      <w:bookmarkStart w:id="405" w:name="Xe6d80d663ecbf19c0eec5ad71d2b38134d3bfff"/>
      <w:bookmarkStart w:id="406" w:name="_Toc236050667"/>
      <w:bookmarkEnd w:id="386"/>
      <w:r w:rsidRPr="00C9711D">
        <w:rPr>
          <w:lang w:val="en-US"/>
        </w:rPr>
        <w:lastRenderedPageBreak/>
        <w:t>Green finance as a reduced-form cost-of-capital shock</w:t>
      </w:r>
      <w:bookmarkEnd w:id="404"/>
      <w:bookmarkEnd w:id="406"/>
    </w:p>
    <w:p w14:paraId="2EFA8CDA" w14:textId="77777777" w:rsidR="00B6307E" w:rsidRPr="00C9711D" w:rsidRDefault="00B6307E" w:rsidP="00C9711D">
      <w:pPr>
        <w:pStyle w:val="IWHFlietext"/>
        <w:rPr>
          <w:ins w:id="407" w:author="Heinisch, Katja" w:date="2026-07-27T09:22:00Z" w16du:dateUtc="2026-07-27T07:22:00Z"/>
          <w:lang w:val="en-US"/>
        </w:rPr>
      </w:pPr>
      <w:ins w:id="408" w:author="Heinisch, Katja" w:date="2026-07-27T09:22:00Z" w16du:dateUtc="2026-07-27T07:22:00Z">
        <w:r w:rsidRPr="00C9711D">
          <w:rPr>
            <w:lang w:val="en-US"/>
          </w:rPr>
          <w:t>Financing conditions play a central role in determining the pace and cost of the energy transition. Renewable energy technologies are typically characterised by high upfront capital requirements and relatively low operating costs, making investment decisions particularly sensitive to the cost of capital. Consequently, policies that improve access to affordable finance can accelerate renewable deployment even in the absence of additional technology improvements or direct investment subsidies.</w:t>
        </w:r>
      </w:ins>
    </w:p>
    <w:p w14:paraId="33EF7223" w14:textId="4127FA95" w:rsidR="001314FA" w:rsidRPr="00C9711D" w:rsidRDefault="001314FA" w:rsidP="001314FA">
      <w:pPr>
        <w:pStyle w:val="IWHFlietext"/>
        <w:rPr>
          <w:lang w:val="en-US"/>
        </w:rPr>
      </w:pPr>
      <w:r w:rsidRPr="00C9711D">
        <w:rPr>
          <w:lang w:val="en-US"/>
        </w:rPr>
        <w:t xml:space="preserve">Green finance instruments (concessional loans, blended finance, green bonds, guarantees) are </w:t>
      </w:r>
      <w:r w:rsidRPr="00C9711D">
        <w:rPr>
          <w:b/>
          <w:bCs/>
          <w:lang w:val="en-US"/>
        </w:rPr>
        <w:t>not modeled as named balance-sheet items.</w:t>
      </w:r>
      <w:r w:rsidRPr="00C9711D">
        <w:rPr>
          <w:lang w:val="en-US"/>
        </w:rPr>
        <w:t xml:space="preserve"> </w:t>
      </w:r>
      <w:ins w:id="409" w:author="Heinisch, Katja" w:date="2026-07-27T09:22:00Z" w16du:dateUtc="2026-07-27T07:22:00Z">
        <w:r w:rsidR="00B6307E" w:rsidRPr="00C9711D">
          <w:rPr>
            <w:lang w:val="en-US"/>
          </w:rPr>
          <w:t xml:space="preserve">Hence, rather than modelling individual financial instruments explicitly, DGE-METRIC represents green finance through a </w:t>
        </w:r>
        <w:r w:rsidR="00B6307E" w:rsidRPr="00C9711D">
          <w:rPr>
            <w:b/>
            <w:bCs/>
            <w:lang w:val="en-US"/>
          </w:rPr>
          <w:t>reduced-form cost-of-capital shock</w:t>
        </w:r>
        <w:r w:rsidR="00B6307E" w:rsidRPr="00C9711D">
          <w:rPr>
            <w:lang w:val="en-US"/>
          </w:rPr>
          <w:t>.</w:t>
        </w:r>
      </w:ins>
      <w:del w:id="410" w:author="Heinisch, Katja" w:date="2026-07-27T09:22:00Z" w16du:dateUtc="2026-07-27T07:22:00Z">
        <w:r w:rsidRPr="00C9711D">
          <w:rPr>
            <w:lang w:val="en-US"/>
          </w:rPr>
          <w:delText>They enter through reduced-form channels</w:delText>
        </w:r>
      </w:del>
      <w:del w:id="411" w:author="Heinisch, Katja" w:date="2026-07-27T13:24:00Z" w16du:dateUtc="2026-07-27T11:24:00Z">
        <w:r w:rsidRPr="00C9711D" w:rsidDel="00483BED">
          <w:rPr>
            <w:lang w:val="en-US"/>
          </w:rPr>
          <w:delText>:</w:delText>
        </w:r>
      </w:del>
    </w:p>
    <w:p w14:paraId="101250DC" w14:textId="53F1B67D" w:rsidR="00327FD3" w:rsidRDefault="00327FD3" w:rsidP="00327FD3">
      <w:pPr>
        <w:pStyle w:val="Beschriftung"/>
        <w:keepNext/>
      </w:pPr>
      <w:bookmarkStart w:id="412" w:name="_Toc236050752"/>
      <w:r>
        <w:t xml:space="preserve">Table </w:t>
      </w:r>
      <w:fldSimple w:instr=" SEQ Table \* ARABIC ">
        <w:r w:rsidR="00446DF3">
          <w:rPr>
            <w:noProof/>
          </w:rPr>
          <w:t>4</w:t>
        </w:r>
        <w:bookmarkEnd w:id="412"/>
      </w:fldSimple>
      <w:ins w:id="413" w:author="Heinisch, Katja" w:date="2026-07-27T13:25:00Z" w16du:dateUtc="2026-07-27T11:25:00Z">
        <w:r w:rsidR="0030577A">
          <w:t xml:space="preserve">: </w:t>
        </w:r>
      </w:ins>
      <w:ins w:id="414" w:author="Heinisch, Katja" w:date="2026-07-27T13:26:00Z">
        <w:r w:rsidR="0030577A" w:rsidRPr="0030577A">
          <w:t>Green Finance Transmission Channels</w:t>
        </w:r>
      </w:ins>
    </w:p>
    <w:p w14:paraId="03FA75F8" w14:textId="77777777" w:rsidR="001314FA" w:rsidRDefault="001314FA" w:rsidP="001314FA">
      <w:pPr>
        <w:pStyle w:val="Textkrper"/>
        <w:rPr>
          <w:lang w:val="en-US"/>
        </w:rPr>
      </w:pPr>
      <w:r w:rsidRPr="00C9711D">
        <w:rPr>
          <w:noProof/>
          <w:lang w:val="en-US"/>
        </w:rPr>
        <w:drawing>
          <wp:inline distT="0" distB="0" distL="0" distR="0" wp14:anchorId="5C49508C" wp14:editId="03A3FA82">
            <wp:extent cx="5334000" cy="2108893"/>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C:\Users\schul\Documents\GitHub\DGE-METRIC\.tmp\technical_report_build\tables\table-04.png"/>
                    <pic:cNvPicPr>
                      <a:picLocks noChangeAspect="1" noChangeArrowheads="1"/>
                    </pic:cNvPicPr>
                  </pic:nvPicPr>
                  <pic:blipFill>
                    <a:blip r:embed="rId34"/>
                    <a:stretch>
                      <a:fillRect/>
                    </a:stretch>
                  </pic:blipFill>
                  <pic:spPr bwMode="auto">
                    <a:xfrm>
                      <a:off x="0" y="0"/>
                      <a:ext cx="5334000" cy="2108893"/>
                    </a:xfrm>
                    <a:prstGeom prst="rect">
                      <a:avLst/>
                    </a:prstGeom>
                    <a:noFill/>
                    <a:ln w="9525">
                      <a:noFill/>
                      <a:headEnd/>
                      <a:tailEnd/>
                    </a:ln>
                  </pic:spPr>
                </pic:pic>
              </a:graphicData>
            </a:graphic>
          </wp:inline>
        </w:drawing>
      </w:r>
    </w:p>
    <w:p w14:paraId="66BB9613" w14:textId="55092BEA" w:rsidR="00327FD3" w:rsidRPr="00C9711D" w:rsidRDefault="00327FD3" w:rsidP="001314FA">
      <w:pPr>
        <w:pStyle w:val="Textkrper"/>
        <w:rPr>
          <w:lang w:val="en-US"/>
        </w:rPr>
      </w:pPr>
      <w:r>
        <w:rPr>
          <w:lang w:val="en-US"/>
        </w:rPr>
        <w:t>Source: Own depiction.</w:t>
      </w:r>
    </w:p>
    <w:p w14:paraId="3A06102E" w14:textId="77777777" w:rsidR="00327FD3" w:rsidRDefault="001314FA" w:rsidP="001314FA">
      <w:pPr>
        <w:pStyle w:val="IWHFlietext"/>
        <w:rPr>
          <w:lang w:val="en-US"/>
        </w:rPr>
      </w:pPr>
      <w:r w:rsidRPr="00C9711D">
        <w:rPr>
          <w:lang w:val="en-US"/>
        </w:rPr>
        <w:t>Three financing architectures (</w:t>
      </w:r>
      <w:r w:rsidRPr="00C9711D">
        <w:rPr>
          <w:rStyle w:val="VerbatimChar"/>
          <w:rFonts w:eastAsiaTheme="minorHAnsi"/>
          <w:lang w:val="en-US"/>
        </w:rPr>
        <w:t>GF_A</w:t>
      </w:r>
      <w:r w:rsidRPr="00C9711D">
        <w:rPr>
          <w:lang w:val="en-US"/>
        </w:rPr>
        <w:t xml:space="preserve"> balanced, </w:t>
      </w:r>
      <w:r w:rsidRPr="00C9711D">
        <w:rPr>
          <w:rStyle w:val="VerbatimChar"/>
          <w:rFonts w:eastAsiaTheme="minorHAnsi"/>
          <w:lang w:val="en-US"/>
        </w:rPr>
        <w:t>GF_B</w:t>
      </w:r>
      <w:r w:rsidRPr="00C9711D">
        <w:rPr>
          <w:lang w:val="en-US"/>
        </w:rPr>
        <w:t xml:space="preserve"> market-led, </w:t>
      </w:r>
      <w:r w:rsidRPr="00C9711D">
        <w:rPr>
          <w:rStyle w:val="VerbatimChar"/>
          <w:rFonts w:eastAsiaTheme="minorHAnsi"/>
          <w:lang w:val="en-US"/>
        </w:rPr>
        <w:t>GF_C</w:t>
      </w:r>
      <w:r w:rsidRPr="00C9711D">
        <w:rPr>
          <w:lang w:val="en-US"/>
        </w:rPr>
        <w:t xml:space="preserve"> public-led) are distinguished by their Weighted Average Cost of Finance (WACF: 6.43%, 7.37%, 5.07% respectively), each run against both the PDP8 and Net-Zero baselines. </w:t>
      </w:r>
    </w:p>
    <w:p w14:paraId="3A8C68FC" w14:textId="5BE6A2F2" w:rsidR="001314FA" w:rsidRPr="00C9711D" w:rsidRDefault="001314FA" w:rsidP="001314FA">
      <w:pPr>
        <w:pStyle w:val="IWHFlietext"/>
        <w:rPr>
          <w:lang w:val="en-US"/>
        </w:rPr>
      </w:pPr>
      <w:r w:rsidRPr="00C9711D">
        <w:rPr>
          <w:b/>
          <w:bCs/>
          <w:lang w:val="en-US"/>
        </w:rPr>
        <w:t>Modeling implication:</w:t>
      </w:r>
      <w:r w:rsidRPr="00C9711D">
        <w:rPr>
          <w:lang w:val="en-US"/>
        </w:rPr>
        <w:t xml:space="preserve"> results should be read as an upper bound on what a given financing architecture can achieve if fully deployed — the model cannot verify whether the assumed cost reductions are institutionally achievable at scale (see </w:t>
      </w:r>
      <w:hyperlink r:id="rId35">
        <w:r w:rsidRPr="00C9711D">
          <w:rPr>
            <w:rStyle w:val="Hyperlink"/>
            <w:lang w:val="en-US"/>
          </w:rPr>
          <w:t>finance_instruments_comments_feasibility.md</w:t>
        </w:r>
      </w:hyperlink>
      <w:r w:rsidRPr="00C9711D">
        <w:rPr>
          <w:lang w:val="en-US"/>
        </w:rPr>
        <w:t>).</w:t>
      </w:r>
    </w:p>
    <w:p w14:paraId="023B3F8D" w14:textId="12F121DB" w:rsidR="00B6307E" w:rsidRPr="00C9711D" w:rsidRDefault="00B6307E" w:rsidP="00C9711D">
      <w:pPr>
        <w:pStyle w:val="IWHFlietext"/>
        <w:rPr>
          <w:ins w:id="415" w:author="Heinisch, Katja" w:date="2026-07-27T09:22:00Z" w16du:dateUtc="2026-07-27T07:22:00Z"/>
          <w:lang w:val="en-US"/>
        </w:rPr>
      </w:pPr>
      <w:ins w:id="416" w:author="Heinisch, Katja" w:date="2026-07-27T09:22:00Z" w16du:dateUtc="2026-07-27T07:22:00Z">
        <w:r w:rsidRPr="00C9711D">
          <w:rPr>
            <w:lang w:val="en-US"/>
          </w:rPr>
          <w:t>The green-finance scenarios are implemented both as standalone policy experiments and in combination with the Net-Zero pathway. Standalone scenarios quantify the economic benefits of improved financing conditions under the baseline transition trajectory, whereas the combined scenarios evaluate the extent to which lower financing costs reduce the macroeconomic adjustment required to achieve Vietnam's long-term emissions objectives. Comparing these two sets of simulations provides insight into the interaction between climate policy and financial-market conditions and illustrates how improved access to affordable capital can facilitate a more cost-effective transition.</w:t>
        </w:r>
      </w:ins>
    </w:p>
    <w:p w14:paraId="37A466BC" w14:textId="7C3C0F0B" w:rsidR="001314FA" w:rsidRPr="00C9711D" w:rsidRDefault="001314FA" w:rsidP="002A4BF9">
      <w:pPr>
        <w:pStyle w:val="berschrift2"/>
        <w:rPr>
          <w:lang w:val="en-US"/>
        </w:rPr>
      </w:pPr>
      <w:bookmarkStart w:id="417" w:name="_Toc235867074"/>
      <w:bookmarkStart w:id="418" w:name="X73c42a78e25097ec8ad4528e35af46c41adef01"/>
      <w:bookmarkStart w:id="419" w:name="_Toc236050668"/>
      <w:bookmarkEnd w:id="405"/>
      <w:r w:rsidRPr="00C9711D">
        <w:rPr>
          <w:lang w:val="en-US"/>
        </w:rPr>
        <w:lastRenderedPageBreak/>
        <w:t xml:space="preserve">Operational status vs. scenario </w:t>
      </w:r>
      <w:commentRangeStart w:id="420"/>
      <w:r w:rsidRPr="00C9711D">
        <w:rPr>
          <w:lang w:val="en-US"/>
        </w:rPr>
        <w:t>capability</w:t>
      </w:r>
      <w:bookmarkEnd w:id="417"/>
      <w:bookmarkEnd w:id="419"/>
      <w:commentRangeEnd w:id="420"/>
      <w:r w:rsidR="00327FD3" w:rsidRPr="00C9711D">
        <w:rPr>
          <w:rStyle w:val="Kommentarzeichen"/>
          <w:sz w:val="24"/>
          <w:szCs w:val="26"/>
          <w:lang w:val="en-US"/>
        </w:rPr>
        <w:commentReference w:id="420"/>
      </w:r>
    </w:p>
    <w:p w14:paraId="3906164F" w14:textId="6B79DE64" w:rsidR="001314FA" w:rsidRPr="00C9711D" w:rsidRDefault="001314FA" w:rsidP="001314FA">
      <w:pPr>
        <w:pStyle w:val="IWHFlietext"/>
        <w:rPr>
          <w:lang w:val="en-US"/>
        </w:rPr>
      </w:pPr>
      <w:r w:rsidRPr="00C9711D">
        <w:rPr>
          <w:b/>
          <w:bCs/>
          <w:lang w:val="en-US"/>
        </w:rPr>
        <w:t>A scenario being defined in the model does not mean it runs by default.</w:t>
      </w:r>
      <w:r w:rsidRPr="00C9711D">
        <w:rPr>
          <w:lang w:val="en-US"/>
        </w:rPr>
        <w:t xml:space="preserve"> </w:t>
      </w:r>
      <w:r w:rsidRPr="00C9711D">
        <w:rPr>
          <w:rStyle w:val="VerbatimChar"/>
          <w:rFonts w:eastAsiaTheme="minorHAnsi"/>
          <w:lang w:val="en-US"/>
        </w:rPr>
        <w:t>RunSimulations.m</w:t>
      </w:r>
      <w:r w:rsidRPr="00C9711D">
        <w:rPr>
          <w:lang w:val="en-US"/>
        </w:rPr>
        <w:t xml:space="preserve"> only executes </w:t>
      </w:r>
      <w:r w:rsidRPr="00C9711D">
        <w:rPr>
          <w:rStyle w:val="VerbatimChar"/>
          <w:rFonts w:eastAsiaTheme="minorHAnsi"/>
          <w:lang w:val="en-US"/>
        </w:rPr>
        <w:t>activeScenarioGroups = {'Reference'}</w:t>
      </w:r>
      <w:r w:rsidRPr="00C9711D">
        <w:rPr>
          <w:lang w:val="en-US"/>
        </w:rPr>
        <w:t xml:space="preserve"> out of the box, and within that group only </w:t>
      </w:r>
      <w:r w:rsidRPr="00C9711D">
        <w:rPr>
          <w:rStyle w:val="VerbatimChar"/>
          <w:rFonts w:eastAsiaTheme="minorHAnsi"/>
          <w:lang w:val="en-US"/>
        </w:rPr>
        <w:t>Baseline</w:t>
      </w:r>
      <w:r w:rsidRPr="00C9711D">
        <w:rPr>
          <w:lang w:val="en-US"/>
        </w:rPr>
        <w:t xml:space="preserve"> is uncommented. The Green Finance groups (</w:t>
      </w:r>
      <w:r w:rsidRPr="00C9711D">
        <w:rPr>
          <w:rStyle w:val="VerbatimChar"/>
          <w:rFonts w:eastAsiaTheme="minorHAnsi"/>
          <w:lang w:val="en-US"/>
        </w:rPr>
        <w:t>GF_PDP8</w:t>
      </w:r>
      <w:r w:rsidRPr="00C9711D">
        <w:rPr>
          <w:lang w:val="en-US"/>
        </w:rPr>
        <w:t xml:space="preserve">, </w:t>
      </w:r>
      <w:r w:rsidRPr="00C9711D">
        <w:rPr>
          <w:rStyle w:val="VerbatimChar"/>
          <w:rFonts w:eastAsiaTheme="minorHAnsi"/>
          <w:lang w:val="en-US"/>
        </w:rPr>
        <w:t>GF_NZ</w:t>
      </w:r>
      <w:r w:rsidRPr="00C9711D">
        <w:rPr>
          <w:lang w:val="en-US"/>
        </w:rPr>
        <w:t xml:space="preserve">) are fully wired (scenario-switch logic uncommented) but excluded from the default active set; several </w:t>
      </w:r>
      <w:r w:rsidRPr="00C9711D">
        <w:rPr>
          <w:rStyle w:val="VerbatimChar"/>
          <w:rFonts w:eastAsiaTheme="minorHAnsi"/>
          <w:lang w:val="en-US"/>
        </w:rPr>
        <w:t>EE</w:t>
      </w:r>
      <w:r w:rsidRPr="00C9711D">
        <w:rPr>
          <w:lang w:val="en-US"/>
        </w:rPr>
        <w:t xml:space="preserve"> and </w:t>
      </w:r>
      <w:r w:rsidRPr="00C9711D">
        <w:rPr>
          <w:rStyle w:val="VerbatimChar"/>
          <w:rFonts w:eastAsiaTheme="minorHAnsi"/>
          <w:lang w:val="en-US"/>
        </w:rPr>
        <w:t>NZ_Sensitivity</w:t>
      </w:r>
      <w:r w:rsidRPr="00C9711D">
        <w:rPr>
          <w:lang w:val="en-US"/>
        </w:rPr>
        <w:t xml:space="preserve"> scenario names are individually commented out. Reproducing a specific published result requires knowing exactly which </w:t>
      </w:r>
      <w:r w:rsidRPr="00C9711D">
        <w:rPr>
          <w:rStyle w:val="VerbatimChar"/>
          <w:rFonts w:eastAsiaTheme="minorHAnsi"/>
          <w:lang w:val="en-US"/>
        </w:rPr>
        <w:t>activeScenarioGroups</w:t>
      </w:r>
      <w:r w:rsidRPr="00C9711D">
        <w:rPr>
          <w:lang w:val="en-US"/>
        </w:rPr>
        <w:t xml:space="preserve"> (or </w:t>
      </w:r>
      <w:r w:rsidRPr="00C9711D">
        <w:rPr>
          <w:rStyle w:val="VerbatimChar"/>
          <w:rFonts w:eastAsiaTheme="minorHAnsi"/>
          <w:lang w:val="en-US"/>
        </w:rPr>
        <w:t>DGE_SCENARIO_GROUPS</w:t>
      </w:r>
      <w:r w:rsidRPr="00C9711D">
        <w:rPr>
          <w:lang w:val="en-US"/>
        </w:rPr>
        <w:t xml:space="preserve"> environment variable) configuration produced it — see </w:t>
      </w:r>
      <w:ins w:id="421" w:author="Heinisch, Katja" w:date="2026-07-27T09:22:00Z" w16du:dateUtc="2026-07-27T07:22:00Z">
        <w:r w:rsidR="00A5230E" w:rsidRPr="00C9711D">
          <w:rPr>
            <w:lang w:val="en-US"/>
          </w:rPr>
          <w:fldChar w:fldCharType="begin"/>
        </w:r>
        <w:r w:rsidR="003C44CA" w:rsidRPr="00C9711D">
          <w:rPr>
            <w:lang w:val="en-US"/>
          </w:rPr>
          <w:instrText xml:space="preserve">HYPERLINK "C:\\Users\\nbKDL\\running.md" \l "scenario-groups" \h </w:instrText>
        </w:r>
        <w:r w:rsidR="00A5230E" w:rsidRPr="00C9711D">
          <w:rPr>
            <w:lang w:val="en-US"/>
          </w:rPr>
        </w:r>
        <w:r w:rsidR="00A5230E" w:rsidRPr="00C9711D">
          <w:rPr>
            <w:lang w:val="en-US"/>
          </w:rPr>
          <w:fldChar w:fldCharType="separate"/>
        </w:r>
        <w:r w:rsidR="00A5230E" w:rsidRPr="00C9711D">
          <w:rPr>
            <w:rStyle w:val="Hyperlink"/>
            <w:lang w:val="en-US"/>
          </w:rPr>
          <w:t>running.md</w:t>
        </w:r>
        <w:r w:rsidR="00A5230E" w:rsidRPr="00C9711D">
          <w:rPr>
            <w:lang w:val="en-US"/>
          </w:rPr>
          <w:fldChar w:fldCharType="end"/>
        </w:r>
      </w:ins>
      <w:del w:id="422" w:author="Heinisch, Katja" w:date="2026-07-27T09:22:00Z" w16du:dateUtc="2026-07-27T07:22:00Z">
        <w:r w:rsidRPr="00C9711D">
          <w:rPr>
            <w:lang w:val="en-US"/>
          </w:rPr>
          <w:fldChar w:fldCharType="begin"/>
        </w:r>
        <w:r w:rsidRPr="00C9711D">
          <w:rPr>
            <w:lang w:val="en-US"/>
          </w:rPr>
          <w:delInstrText>HYPERLINK "../running.md" \l "scenario-groups" \h</w:delInstrText>
        </w:r>
        <w:r w:rsidRPr="00C9711D">
          <w:rPr>
            <w:lang w:val="en-US"/>
          </w:rPr>
        </w:r>
        <w:r w:rsidRPr="00C9711D">
          <w:rPr>
            <w:lang w:val="en-US"/>
          </w:rPr>
          <w:fldChar w:fldCharType="separate"/>
        </w:r>
        <w:r w:rsidRPr="00C9711D">
          <w:rPr>
            <w:rStyle w:val="Hyperlink"/>
            <w:lang w:val="en-US"/>
          </w:rPr>
          <w:delText>running.md</w:delText>
        </w:r>
        <w:r w:rsidRPr="00C9711D">
          <w:rPr>
            <w:lang w:val="en-US"/>
          </w:rPr>
          <w:fldChar w:fldCharType="end"/>
        </w:r>
      </w:del>
      <w:r w:rsidRPr="00C9711D">
        <w:rPr>
          <w:lang w:val="en-US"/>
        </w:rPr>
        <w:t xml:space="preserve"> and </w:t>
      </w:r>
      <w:hyperlink r:id="rId36" w:anchor="reproducibility">
        <w:r w:rsidRPr="00C9711D">
          <w:rPr>
            <w:rStyle w:val="Hyperlink"/>
            <w:lang w:val="en-US"/>
          </w:rPr>
          <w:t>scenario.md</w:t>
        </w:r>
      </w:hyperlink>
      <w:r w:rsidRPr="00C9711D">
        <w:rPr>
          <w:lang w:val="en-US"/>
        </w:rPr>
        <w:t>.</w:t>
      </w:r>
    </w:p>
    <w:p w14:paraId="3992B0A3" w14:textId="3D5581CA" w:rsidR="001314FA" w:rsidRPr="00C9711D" w:rsidRDefault="001314FA" w:rsidP="002A4BF9">
      <w:pPr>
        <w:pStyle w:val="berschrift2"/>
        <w:rPr>
          <w:lang w:val="en-US"/>
        </w:rPr>
      </w:pPr>
      <w:bookmarkStart w:id="423" w:name="_Toc235867075"/>
      <w:bookmarkStart w:id="424" w:name="ee-scenario-reporting-figures"/>
      <w:bookmarkStart w:id="425" w:name="_Toc236050669"/>
      <w:bookmarkEnd w:id="418"/>
      <w:r w:rsidRPr="00C9711D">
        <w:rPr>
          <w:lang w:val="en-US"/>
        </w:rPr>
        <w:t xml:space="preserve">EE scenario reporting </w:t>
      </w:r>
      <w:commentRangeStart w:id="426"/>
      <w:r w:rsidRPr="00C9711D">
        <w:rPr>
          <w:lang w:val="en-US"/>
        </w:rPr>
        <w:t>figures</w:t>
      </w:r>
      <w:bookmarkEnd w:id="423"/>
      <w:bookmarkEnd w:id="425"/>
      <w:commentRangeEnd w:id="426"/>
      <w:r w:rsidR="00327FD3" w:rsidRPr="00C9711D">
        <w:rPr>
          <w:rStyle w:val="Kommentarzeichen"/>
          <w:sz w:val="24"/>
          <w:szCs w:val="26"/>
          <w:lang w:val="en-US"/>
        </w:rPr>
        <w:commentReference w:id="426"/>
      </w:r>
    </w:p>
    <w:p w14:paraId="35FAD502" w14:textId="77777777" w:rsidR="00C02B84" w:rsidRPr="00C9711D" w:rsidRDefault="00C02B84" w:rsidP="00C9711D">
      <w:pPr>
        <w:pStyle w:val="IWHFlietext"/>
        <w:rPr>
          <w:ins w:id="427" w:author="Heinisch, Katja" w:date="2026-07-27T09:22:00Z" w16du:dateUtc="2026-07-27T07:22:00Z"/>
          <w:lang w:val="en-US"/>
        </w:rPr>
      </w:pPr>
      <w:ins w:id="428" w:author="Heinisch, Katja" w:date="2026-07-27T09:22:00Z" w16du:dateUtc="2026-07-27T07:22:00Z">
        <w:r w:rsidRPr="00C9711D">
          <w:rPr>
            <w:lang w:val="en-US"/>
          </w:rPr>
          <w:t>Whereas the Net-Zero scenarios presented in the previous section isolate the economic mechanisms through which emissions reductions are achieved, the scenarios described here examine how alternative rates of energy efficiency improvement influence energy demand, investment requirements, emissions, and overall macroeconomic performance.</w:t>
        </w:r>
      </w:ins>
    </w:p>
    <w:p w14:paraId="2F1601E7" w14:textId="0EC0F166" w:rsidR="00C02B84" w:rsidRPr="00C9711D" w:rsidRDefault="00C02B84" w:rsidP="00C9711D">
      <w:pPr>
        <w:pStyle w:val="IWHFlietext"/>
        <w:rPr>
          <w:ins w:id="429" w:author="Heinisch, Katja" w:date="2026-07-27T09:22:00Z" w16du:dateUtc="2026-07-27T07:22:00Z"/>
          <w:lang w:val="en-US"/>
        </w:rPr>
      </w:pPr>
      <w:ins w:id="430" w:author="Heinisch, Katja" w:date="2026-07-27T09:22:00Z" w16du:dateUtc="2026-07-27T07:22:00Z">
        <w:r w:rsidRPr="00C9711D">
          <w:rPr>
            <w:lang w:val="en-US"/>
          </w:rPr>
          <w:t>Improving energy efficiency reduces the amount of energy required to produce a given level of economic output. Within DGE-METRIC, these improvements lower intermediate energy demand across production sectors and households, thereby reducing emissions, alleviating pressure on electricity generation capacity, and moderating the investment required to satisfy future energy demand. Because these effects propagate throughout the economy via changes in production costs, household expenditure, international competitiveness, and capital accumulation, the model provides a comprehensive assessment of both the direct and indirect economic benefits of energy efficiency policies.</w:t>
        </w:r>
      </w:ins>
    </w:p>
    <w:p w14:paraId="135AE132" w14:textId="77777777" w:rsidR="00B6307E" w:rsidRPr="00C9711D" w:rsidRDefault="00B6307E" w:rsidP="00B6307E">
      <w:pPr>
        <w:pStyle w:val="Textkrper"/>
        <w:rPr>
          <w:ins w:id="431" w:author="Heinisch, Katja" w:date="2026-07-27T09:22:00Z" w16du:dateUtc="2026-07-27T07:22:00Z"/>
          <w:b/>
          <w:bCs/>
          <w:lang w:val="en-US"/>
        </w:rPr>
      </w:pPr>
      <w:ins w:id="432" w:author="Heinisch, Katja" w:date="2026-07-27T09:22:00Z" w16du:dateUtc="2026-07-27T07:22:00Z">
        <w:r w:rsidRPr="00C9711D">
          <w:rPr>
            <w:b/>
            <w:bCs/>
            <w:lang w:val="en-US"/>
          </w:rPr>
          <w:t>EE_PDP8</w:t>
        </w:r>
      </w:ins>
    </w:p>
    <w:p w14:paraId="207E05DF" w14:textId="77777777" w:rsidR="00B6307E" w:rsidRPr="00C9711D" w:rsidRDefault="00B6307E" w:rsidP="00C9711D">
      <w:pPr>
        <w:pStyle w:val="IWHFlietext"/>
        <w:rPr>
          <w:ins w:id="433" w:author="Heinisch, Katja" w:date="2026-07-27T09:22:00Z" w16du:dateUtc="2026-07-27T07:22:00Z"/>
          <w:lang w:val="en-US"/>
        </w:rPr>
      </w:pPr>
      <w:ins w:id="434" w:author="Heinisch, Katja" w:date="2026-07-27T09:22:00Z" w16du:dateUtc="2026-07-27T07:22:00Z">
        <w:r w:rsidRPr="00C9711D">
          <w:rPr>
            <w:lang w:val="en-US"/>
          </w:rPr>
          <w:t xml:space="preserve">The </w:t>
        </w:r>
        <w:r w:rsidRPr="00C9711D">
          <w:rPr>
            <w:b/>
            <w:bCs/>
            <w:lang w:val="en-US"/>
          </w:rPr>
          <w:t>EE_PDP8</w:t>
        </w:r>
        <w:r w:rsidRPr="00C9711D">
          <w:rPr>
            <w:lang w:val="en-US"/>
          </w:rPr>
          <w:t xml:space="preserve"> scenario adopts the energy efficiency trajectory embedded in the revised Power Development Plan VIII (PDP8). This scenario represents the reference efficiency pathway used in the government's long-term electricity planning and provides the benchmark against which more ambitious efficiency policies are evaluated. Improvements in energy intensity reduce electricity demand growth while maintaining consistency with the broader assumptions underlying the baseline transition pathway.</w:t>
        </w:r>
      </w:ins>
    </w:p>
    <w:p w14:paraId="1DB3F329" w14:textId="77777777" w:rsidR="00B6307E" w:rsidRPr="00C9711D" w:rsidRDefault="00B6307E" w:rsidP="00B6307E">
      <w:pPr>
        <w:pStyle w:val="Textkrper"/>
        <w:rPr>
          <w:ins w:id="435" w:author="Heinisch, Katja" w:date="2026-07-27T09:22:00Z" w16du:dateUtc="2026-07-27T07:22:00Z"/>
          <w:b/>
          <w:bCs/>
          <w:lang w:val="en-US"/>
        </w:rPr>
      </w:pPr>
      <w:ins w:id="436" w:author="Heinisch, Katja" w:date="2026-07-27T09:22:00Z" w16du:dateUtc="2026-07-27T07:22:00Z">
        <w:r w:rsidRPr="00C9711D">
          <w:rPr>
            <w:b/>
            <w:bCs/>
            <w:lang w:val="en-US"/>
          </w:rPr>
          <w:t>EE_Directive10</w:t>
        </w:r>
      </w:ins>
    </w:p>
    <w:p w14:paraId="1B8439BF" w14:textId="77777777" w:rsidR="00B6307E" w:rsidRPr="00C9711D" w:rsidRDefault="00B6307E" w:rsidP="00C9711D">
      <w:pPr>
        <w:pStyle w:val="IWHFlietext"/>
        <w:rPr>
          <w:ins w:id="437" w:author="Heinisch, Katja" w:date="2026-07-27T09:22:00Z" w16du:dateUtc="2026-07-27T07:22:00Z"/>
          <w:lang w:val="en-US"/>
        </w:rPr>
      </w:pPr>
      <w:ins w:id="438" w:author="Heinisch, Katja" w:date="2026-07-27T09:22:00Z" w16du:dateUtc="2026-07-27T07:22:00Z">
        <w:r w:rsidRPr="00C9711D">
          <w:rPr>
            <w:lang w:val="en-US"/>
          </w:rPr>
          <w:t xml:space="preserve">The </w:t>
        </w:r>
        <w:r w:rsidRPr="00C9711D">
          <w:rPr>
            <w:b/>
            <w:bCs/>
            <w:lang w:val="en-US"/>
          </w:rPr>
          <w:t>EE_Directive10</w:t>
        </w:r>
        <w:r w:rsidRPr="00C9711D">
          <w:rPr>
            <w:lang w:val="en-US"/>
          </w:rPr>
          <w:t xml:space="preserve"> scenario represents an accelerated improvement in energy efficiency consistent with the objectives of Directive No. 10 and related national energy-efficiency policies. Relative to the PDP8 pathway, this scenario assumes stronger reductions in energy intensity, leading to lower final energy demand, reduced fossil-fuel consumption, and a corresponding decline in greenhouse gas emissions.</w:t>
        </w:r>
      </w:ins>
    </w:p>
    <w:p w14:paraId="3AA823A9" w14:textId="77777777" w:rsidR="00B6307E" w:rsidRPr="00C9711D" w:rsidRDefault="00B6307E" w:rsidP="00C9711D">
      <w:pPr>
        <w:pStyle w:val="IWHFlietext"/>
        <w:rPr>
          <w:ins w:id="439" w:author="Heinisch, Katja" w:date="2026-07-27T09:22:00Z" w16du:dateUtc="2026-07-27T07:22:00Z"/>
          <w:lang w:val="en-US"/>
        </w:rPr>
      </w:pPr>
      <w:ins w:id="440" w:author="Heinisch, Katja" w:date="2026-07-27T09:22:00Z" w16du:dateUtc="2026-07-27T07:22:00Z">
        <w:r w:rsidRPr="00C9711D">
          <w:rPr>
            <w:lang w:val="en-US"/>
          </w:rPr>
          <w:t>By lowering future electricity demand, enhanced efficiency also reduces the investment required for generation capacity expansion and network development. Consequently, this scenario illustrates how demand-side measures can complement supply-side decarbonisation policies by lowering the overall cost of the energy transition.</w:t>
        </w:r>
      </w:ins>
    </w:p>
    <w:p w14:paraId="5F6CEAFA" w14:textId="77777777" w:rsidR="00B6307E" w:rsidRPr="00C9711D" w:rsidRDefault="00B6307E" w:rsidP="00B6307E">
      <w:pPr>
        <w:pStyle w:val="Textkrper"/>
        <w:rPr>
          <w:ins w:id="441" w:author="Heinisch, Katja" w:date="2026-07-27T09:22:00Z" w16du:dateUtc="2026-07-27T07:22:00Z"/>
          <w:b/>
          <w:bCs/>
          <w:lang w:val="en-US"/>
        </w:rPr>
      </w:pPr>
      <w:ins w:id="442" w:author="Heinisch, Katja" w:date="2026-07-27T09:22:00Z" w16du:dateUtc="2026-07-27T07:22:00Z">
        <w:r w:rsidRPr="00C9711D">
          <w:rPr>
            <w:b/>
            <w:bCs/>
            <w:lang w:val="en-US"/>
          </w:rPr>
          <w:lastRenderedPageBreak/>
          <w:t>EE_PDP8_PV_BESS</w:t>
        </w:r>
      </w:ins>
    </w:p>
    <w:p w14:paraId="707F57D4" w14:textId="77777777" w:rsidR="00B6307E" w:rsidRPr="00C9711D" w:rsidRDefault="00B6307E" w:rsidP="00C9711D">
      <w:pPr>
        <w:pStyle w:val="IWHFlietext"/>
        <w:rPr>
          <w:ins w:id="443" w:author="Heinisch, Katja" w:date="2026-07-27T09:22:00Z" w16du:dateUtc="2026-07-27T07:22:00Z"/>
          <w:lang w:val="en-US"/>
        </w:rPr>
      </w:pPr>
      <w:ins w:id="444" w:author="Heinisch, Katja" w:date="2026-07-27T09:22:00Z" w16du:dateUtc="2026-07-27T07:22:00Z">
        <w:r w:rsidRPr="00C9711D">
          <w:rPr>
            <w:lang w:val="en-US"/>
          </w:rPr>
          <w:t xml:space="preserve">The </w:t>
        </w:r>
        <w:r w:rsidRPr="00C9711D">
          <w:rPr>
            <w:b/>
            <w:bCs/>
            <w:lang w:val="en-US"/>
          </w:rPr>
          <w:t>EE_PDP8_PV_BESS</w:t>
        </w:r>
        <w:r w:rsidRPr="00C9711D">
          <w:rPr>
            <w:lang w:val="en-US"/>
          </w:rPr>
          <w:t xml:space="preserve"> scenario extends the PDP8 efficiency pathway by incorporating distributed photovoltaic (PV) systems together with battery energy storage systems (BESS). In addition to reducing overall electricity demand through improved efficiency, this scenario increases decentralised renewable electricity generation and enables greater temporal flexibility in electricity consumption through local energy storage.</w:t>
        </w:r>
      </w:ins>
    </w:p>
    <w:p w14:paraId="60594624" w14:textId="77777777" w:rsidR="00B6307E" w:rsidRPr="00C9711D" w:rsidRDefault="00B6307E" w:rsidP="00C9711D">
      <w:pPr>
        <w:pStyle w:val="IWHFlietext"/>
        <w:rPr>
          <w:ins w:id="445" w:author="Heinisch, Katja" w:date="2026-07-27T09:22:00Z" w16du:dateUtc="2026-07-27T07:22:00Z"/>
          <w:lang w:val="en-US"/>
        </w:rPr>
      </w:pPr>
      <w:ins w:id="446" w:author="Heinisch, Katja" w:date="2026-07-27T09:22:00Z" w16du:dateUtc="2026-07-27T07:22:00Z">
        <w:r w:rsidRPr="00C9711D">
          <w:rPr>
            <w:lang w:val="en-US"/>
          </w:rPr>
          <w:t>The inclusion of distributed PV and battery storage modifies both electricity demand and supply. Self-generation reduces demand for grid-supplied electricity, while battery storage allows renewable generation to be shifted across time, reducing curtailment and improving system utilisation. Within the model, these changes influence generation requirements, investment patterns, wholesale electricity demand, and the broader allocation of capital across the economy.</w:t>
        </w:r>
      </w:ins>
    </w:p>
    <w:p w14:paraId="5BE4C318" w14:textId="77777777" w:rsidR="00B6307E" w:rsidRPr="00C9711D" w:rsidRDefault="00B6307E" w:rsidP="00C9711D">
      <w:pPr>
        <w:pStyle w:val="IWHFlietext"/>
        <w:rPr>
          <w:ins w:id="447" w:author="Heinisch, Katja" w:date="2026-07-27T09:22:00Z" w16du:dateUtc="2026-07-27T07:22:00Z"/>
          <w:lang w:val="en-US"/>
        </w:rPr>
      </w:pPr>
      <w:ins w:id="448" w:author="Heinisch, Katja" w:date="2026-07-27T09:22:00Z" w16du:dateUtc="2026-07-27T07:22:00Z">
        <w:r w:rsidRPr="00C9711D">
          <w:rPr>
            <w:lang w:val="en-US"/>
          </w:rPr>
          <w:t xml:space="preserve">Where applicable, additional </w:t>
        </w:r>
        <w:r w:rsidRPr="00C9711D">
          <w:rPr>
            <w:b/>
            <w:bCs/>
            <w:lang w:val="en-US"/>
          </w:rPr>
          <w:t>NoBESS</w:t>
        </w:r>
        <w:r w:rsidRPr="00C9711D">
          <w:rPr>
            <w:lang w:val="en-US"/>
          </w:rPr>
          <w:t xml:space="preserve"> variants isolate the contribution of battery storage by comparing otherwise identical distributed photovoltaic systems with and without storage capacity. These comparisons quantify the incremental economic value of storage technologies within the broader energy transition.</w:t>
        </w:r>
      </w:ins>
    </w:p>
    <w:p w14:paraId="46C8341F" w14:textId="51BCC19B" w:rsidR="00B6307E" w:rsidRPr="00C9711D" w:rsidRDefault="00B6307E" w:rsidP="00C9711D">
      <w:pPr>
        <w:pStyle w:val="IWHFlietext"/>
        <w:rPr>
          <w:ins w:id="449" w:author="Heinisch, Katja" w:date="2026-07-27T09:22:00Z" w16du:dateUtc="2026-07-27T07:22:00Z"/>
          <w:lang w:val="en-US"/>
        </w:rPr>
      </w:pPr>
      <w:ins w:id="450" w:author="Heinisch, Katja" w:date="2026-07-27T09:22:00Z" w16du:dateUtc="2026-07-27T07:22:00Z">
        <w:r w:rsidRPr="00C9711D">
          <w:rPr>
            <w:lang w:val="en-US"/>
          </w:rPr>
          <w:t>Comparisons across these scenarios therefore quantify the incremental macroeconomic benefits associated with stronger improvements in energy efficiency and distributed renewable technologies. The resulting differences in economic growth, investment requirements, electricity demand, emissions, and household welfare provide an integrated assessment of the extent to which demand-side measures can reduce the overall cost of Vietnam's energy transition.</w:t>
        </w:r>
      </w:ins>
    </w:p>
    <w:p w14:paraId="4B8F322F" w14:textId="0C213B15" w:rsidR="001314FA" w:rsidRPr="00C9711D" w:rsidRDefault="001314FA" w:rsidP="00C9711D">
      <w:pPr>
        <w:pStyle w:val="IWHFlietext"/>
        <w:rPr>
          <w:lang w:val="en-US"/>
        </w:rPr>
      </w:pPr>
      <w:r w:rsidRPr="00C9711D">
        <w:rPr>
          <w:lang w:val="en-US"/>
        </w:rPr>
        <w:t xml:space="preserve">The script </w:t>
      </w:r>
      <w:r w:rsidRPr="00C9711D">
        <w:rPr>
          <w:rStyle w:val="VerbatimChar"/>
          <w:rFonts w:eastAsiaTheme="minorHAnsi"/>
          <w:lang w:val="en-US"/>
        </w:rPr>
        <w:t>scripts/reporting/GenerateEESimulationResultsFigures.m</w:t>
      </w:r>
      <w:r w:rsidRPr="00C9711D">
        <w:rPr>
          <w:lang w:val="en-US"/>
        </w:rPr>
        <w:t xml:space="preserve"> exports scenario-comparison figures to </w:t>
      </w:r>
      <w:r w:rsidRPr="00C9711D">
        <w:rPr>
          <w:rStyle w:val="VerbatimChar"/>
          <w:rFonts w:eastAsiaTheme="minorHAnsi"/>
          <w:lang w:val="en-US"/>
        </w:rPr>
        <w:t>docs/figures/EE_Simulation_Results/</w:t>
      </w:r>
      <w:r w:rsidRPr="00C9711D">
        <w:rPr>
          <w:lang w:val="en-US"/>
        </w:rPr>
        <w:t>. This subsection reports only deviation-versus-Baseline diagnostics</w:t>
      </w:r>
      <w:r w:rsidR="00446DF3">
        <w:rPr>
          <w:lang w:val="en-US"/>
        </w:rPr>
        <w:t xml:space="preserve"> (</w:t>
      </w:r>
      <w:r w:rsidR="00446DF3">
        <w:rPr>
          <w:lang w:val="en-US"/>
        </w:rPr>
        <w:fldChar w:fldCharType="begin"/>
      </w:r>
      <w:r w:rsidR="00446DF3">
        <w:rPr>
          <w:lang w:val="en-US"/>
        </w:rPr>
        <w:instrText xml:space="preserve"> REF _Ref236050361 \h </w:instrText>
      </w:r>
      <w:r w:rsidR="00446DF3">
        <w:rPr>
          <w:lang w:val="en-US"/>
        </w:rPr>
      </w:r>
      <w:r w:rsidR="00446DF3">
        <w:rPr>
          <w:lang w:val="en-US"/>
        </w:rPr>
        <w:fldChar w:fldCharType="separate"/>
      </w:r>
      <w:r w:rsidR="00446DF3">
        <w:t xml:space="preserve">Figure </w:t>
      </w:r>
      <w:r w:rsidR="00446DF3">
        <w:rPr>
          <w:noProof/>
        </w:rPr>
        <w:t>7</w:t>
      </w:r>
      <w:r w:rsidR="00446DF3">
        <w:rPr>
          <w:lang w:val="en-US"/>
        </w:rPr>
        <w:fldChar w:fldCharType="end"/>
      </w:r>
      <w:r w:rsidR="00446DF3">
        <w:rPr>
          <w:lang w:val="en-US"/>
        </w:rPr>
        <w:t xml:space="preserve"> - </w:t>
      </w:r>
      <w:ins w:id="451" w:author="Heinisch, Katja" w:date="2026-07-27T13:27:00Z" w16du:dateUtc="2026-07-27T11:27:00Z">
        <w:r w:rsidR="008073E7">
          <w:rPr>
            <w:lang w:val="en-US"/>
          </w:rPr>
          <w:fldChar w:fldCharType="begin"/>
        </w:r>
        <w:r w:rsidR="008073E7">
          <w:rPr>
            <w:lang w:val="en-US"/>
          </w:rPr>
          <w:instrText xml:space="preserve"> REF _Ref236051267 \h </w:instrText>
        </w:r>
        <w:r w:rsidR="008073E7">
          <w:rPr>
            <w:lang w:val="en-US"/>
          </w:rPr>
        </w:r>
        <w:r w:rsidR="008073E7">
          <w:rPr>
            <w:lang w:val="en-US"/>
          </w:rPr>
          <w:fldChar w:fldCharType="separate"/>
        </w:r>
        <w:r w:rsidR="008073E7">
          <w:t xml:space="preserve">Figure </w:t>
        </w:r>
        <w:r w:rsidR="008073E7">
          <w:rPr>
            <w:noProof/>
          </w:rPr>
          <w:t>13</w:t>
        </w:r>
        <w:r w:rsidR="008073E7">
          <w:rPr>
            <w:lang w:val="en-US"/>
          </w:rPr>
          <w:fldChar w:fldCharType="end"/>
        </w:r>
        <w:r w:rsidR="008073E7">
          <w:rPr>
            <w:lang w:val="en-US"/>
          </w:rPr>
          <w:t>).</w:t>
        </w:r>
      </w:ins>
    </w:p>
    <w:p w14:paraId="7EA88A9C" w14:textId="77777777" w:rsidR="00327FD3" w:rsidRDefault="001314FA" w:rsidP="00327FD3">
      <w:pPr>
        <w:pStyle w:val="CaptionedFigure"/>
      </w:pPr>
      <w:r w:rsidRPr="00C9711D">
        <w:rPr>
          <w:noProof/>
          <w:lang w:val="en-US"/>
        </w:rPr>
        <w:lastRenderedPageBreak/>
        <w:drawing>
          <wp:inline distT="0" distB="0" distL="0" distR="0" wp14:anchorId="44CDF311" wp14:editId="2BF2A29A">
            <wp:extent cx="5334000" cy="3054408"/>
            <wp:effectExtent l="0" t="0" r="0" b="0"/>
            <wp:docPr id="99" name="Picture" descr="Energy intensity deviation vs baseline"/>
            <wp:cNvGraphicFramePr/>
            <a:graphic xmlns:a="http://schemas.openxmlformats.org/drawingml/2006/main">
              <a:graphicData uri="http://schemas.openxmlformats.org/drawingml/2006/picture">
                <pic:pic xmlns:pic="http://schemas.openxmlformats.org/drawingml/2006/picture">
                  <pic:nvPicPr>
                    <pic:cNvPr id="100" name="Picture" descr="../figures/EE_Simulation_Results/Energy_Intensity_Deviation_vs_Baseline.png"/>
                    <pic:cNvPicPr>
                      <a:picLocks noChangeAspect="1" noChangeArrowheads="1"/>
                    </pic:cNvPicPr>
                  </pic:nvPicPr>
                  <pic:blipFill>
                    <a:blip r:embed="rId37"/>
                    <a:stretch>
                      <a:fillRect/>
                    </a:stretch>
                  </pic:blipFill>
                  <pic:spPr bwMode="auto">
                    <a:xfrm>
                      <a:off x="0" y="0"/>
                      <a:ext cx="5334000" cy="3054408"/>
                    </a:xfrm>
                    <a:prstGeom prst="rect">
                      <a:avLst/>
                    </a:prstGeom>
                    <a:noFill/>
                    <a:ln w="9525">
                      <a:noFill/>
                      <a:headEnd/>
                      <a:tailEnd/>
                    </a:ln>
                  </pic:spPr>
                </pic:pic>
              </a:graphicData>
            </a:graphic>
          </wp:inline>
        </w:drawing>
      </w:r>
    </w:p>
    <w:p w14:paraId="6525E1B1" w14:textId="4ADCE1B2" w:rsidR="001314FA" w:rsidRPr="00C9711D" w:rsidRDefault="00327FD3" w:rsidP="00327FD3">
      <w:pPr>
        <w:pStyle w:val="Beschriftung"/>
        <w:rPr>
          <w:lang w:val="en-US"/>
        </w:rPr>
      </w:pPr>
      <w:bookmarkStart w:id="452" w:name="_Ref236050361"/>
      <w:bookmarkStart w:id="453" w:name="_Toc236050722"/>
      <w:r>
        <w:t xml:space="preserve">Figure </w:t>
      </w:r>
      <w:fldSimple w:instr=" SEQ Figure \* ARABIC ">
        <w:r w:rsidR="00577A64">
          <w:rPr>
            <w:noProof/>
          </w:rPr>
          <w:t>7</w:t>
        </w:r>
      </w:fldSimple>
      <w:bookmarkEnd w:id="452"/>
      <w:r>
        <w:t>:</w:t>
      </w:r>
      <w:r w:rsidR="001314FA" w:rsidRPr="00C9711D">
        <w:rPr>
          <w:lang w:val="en-US"/>
        </w:rPr>
        <w:t xml:space="preserve"> Energy-intensity deviation of EE scenarios from the Baseline.</w:t>
      </w:r>
      <w:bookmarkEnd w:id="453"/>
    </w:p>
    <w:p w14:paraId="79503424"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Values are index-point deviations from the Baseline energy-intensity index (base year 2026). Negative values indicate improved energy efficiency relative to Baseline.</w:t>
      </w:r>
    </w:p>
    <w:p w14:paraId="14ED380D"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431588A8" w14:textId="77777777" w:rsidR="00327FD3" w:rsidRDefault="001314FA" w:rsidP="00327FD3">
      <w:pPr>
        <w:pStyle w:val="CaptionedFigure"/>
      </w:pPr>
      <w:r w:rsidRPr="00C9711D">
        <w:rPr>
          <w:noProof/>
          <w:lang w:val="en-US"/>
        </w:rPr>
        <w:drawing>
          <wp:inline distT="0" distB="0" distL="0" distR="0" wp14:anchorId="1654B61B" wp14:editId="4ADADA36">
            <wp:extent cx="5334000" cy="3021572"/>
            <wp:effectExtent l="0" t="0" r="0" b="0"/>
            <wp:docPr id="102" name="Picture" descr="Government consumption share deviation vs baseline (5-year average)"/>
            <wp:cNvGraphicFramePr/>
            <a:graphic xmlns:a="http://schemas.openxmlformats.org/drawingml/2006/main">
              <a:graphicData uri="http://schemas.openxmlformats.org/drawingml/2006/picture">
                <pic:pic xmlns:pic="http://schemas.openxmlformats.org/drawingml/2006/picture">
                  <pic:nvPicPr>
                    <pic:cNvPr id="103" name="Picture" descr="../figures/EE_Simulation_Results/Government_Consumption_Share_Deviation_vs_Baseline_5Y_Average.png"/>
                    <pic:cNvPicPr>
                      <a:picLocks noChangeAspect="1" noChangeArrowheads="1"/>
                    </pic:cNvPicPr>
                  </pic:nvPicPr>
                  <pic:blipFill>
                    <a:blip r:embed="rId38"/>
                    <a:stretch>
                      <a:fillRect/>
                    </a:stretch>
                  </pic:blipFill>
                  <pic:spPr bwMode="auto">
                    <a:xfrm>
                      <a:off x="0" y="0"/>
                      <a:ext cx="5334000" cy="3021572"/>
                    </a:xfrm>
                    <a:prstGeom prst="rect">
                      <a:avLst/>
                    </a:prstGeom>
                    <a:noFill/>
                    <a:ln w="9525">
                      <a:noFill/>
                      <a:headEnd/>
                      <a:tailEnd/>
                    </a:ln>
                  </pic:spPr>
                </pic:pic>
              </a:graphicData>
            </a:graphic>
          </wp:inline>
        </w:drawing>
      </w:r>
    </w:p>
    <w:p w14:paraId="5E1E4542" w14:textId="7CBBA7CF" w:rsidR="001314FA" w:rsidRPr="00C9711D" w:rsidRDefault="00327FD3" w:rsidP="00327FD3">
      <w:pPr>
        <w:pStyle w:val="Beschriftung"/>
        <w:rPr>
          <w:lang w:val="en-US"/>
        </w:rPr>
      </w:pPr>
      <w:bookmarkStart w:id="454" w:name="_Toc236050723"/>
      <w:r>
        <w:t xml:space="preserve">Figure </w:t>
      </w:r>
      <w:fldSimple w:instr=" SEQ Figure \* ARABIC ">
        <w:r w:rsidR="00577A64">
          <w:rPr>
            <w:noProof/>
          </w:rPr>
          <w:t>8</w:t>
        </w:r>
      </w:fldSimple>
      <w:r>
        <w:t>:</w:t>
      </w:r>
      <w:r>
        <w:rPr>
          <w:lang w:val="en-US"/>
        </w:rPr>
        <w:t xml:space="preserve"> </w:t>
      </w:r>
      <w:r w:rsidR="001314FA" w:rsidRPr="00C9711D">
        <w:rPr>
          <w:lang w:val="en-US"/>
        </w:rPr>
        <w:t>Government consumption share deviation versus Baseline (5-year average</w:t>
      </w:r>
      <w:del w:id="455" w:author="Heinisch, Katja" w:date="2026-07-27T12:45:00Z" w16du:dateUtc="2026-07-27T10:45:00Z">
        <w:r w:rsidR="001314FA" w:rsidRPr="00C9711D" w:rsidDel="00327FD3">
          <w:rPr>
            <w:lang w:val="en-US"/>
          </w:rPr>
          <w:delText xml:space="preserve"> bar chart</w:delText>
        </w:r>
      </w:del>
      <w:r w:rsidR="001314FA" w:rsidRPr="00C9711D">
        <w:rPr>
          <w:lang w:val="en-US"/>
        </w:rPr>
        <w:t>).</w:t>
      </w:r>
      <w:bookmarkEnd w:id="454"/>
    </w:p>
    <w:p w14:paraId="4A53EBE3"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government consumption share of GDP (</w:t>
      </w:r>
      <w:r w:rsidRPr="00C9711D">
        <w:rPr>
          <w:rStyle w:val="VerbatimChar"/>
          <w:rFonts w:eastAsiaTheme="minorHAnsi"/>
          <w:lang w:val="en-US"/>
        </w:rPr>
        <w:t>pp of GDP</w:t>
      </w:r>
      <w:r w:rsidRPr="00C9711D">
        <w:rPr>
          <w:lang w:val="en-US"/>
        </w:rPr>
        <w:t>) by 5-year block, showing persistent fiscal-demand composition differences relative to Baseline.</w:t>
      </w:r>
    </w:p>
    <w:p w14:paraId="108D476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16BF432A" w14:textId="77777777" w:rsidR="00327FD3" w:rsidRDefault="001314FA" w:rsidP="00327FD3">
      <w:pPr>
        <w:pStyle w:val="CaptionedFigure"/>
      </w:pPr>
      <w:r w:rsidRPr="00C9711D">
        <w:rPr>
          <w:noProof/>
          <w:lang w:val="en-US"/>
        </w:rPr>
        <w:lastRenderedPageBreak/>
        <w:drawing>
          <wp:inline distT="0" distB="0" distL="0" distR="0" wp14:anchorId="48F2307E" wp14:editId="0E3B3AAD">
            <wp:extent cx="5334000" cy="3021572"/>
            <wp:effectExtent l="0" t="0" r="0" b="0"/>
            <wp:docPr id="105" name="Picture" descr="Housing investment share deviation vs baseline (5-year average)"/>
            <wp:cNvGraphicFramePr/>
            <a:graphic xmlns:a="http://schemas.openxmlformats.org/drawingml/2006/main">
              <a:graphicData uri="http://schemas.openxmlformats.org/drawingml/2006/picture">
                <pic:pic xmlns:pic="http://schemas.openxmlformats.org/drawingml/2006/picture">
                  <pic:nvPicPr>
                    <pic:cNvPr id="106" name="Picture" descr="../figures/EE_Simulation_Results/Housing_Investment_Share_Deviation_vs_Baseline_5Y_Average.png"/>
                    <pic:cNvPicPr>
                      <a:picLocks noChangeAspect="1" noChangeArrowheads="1"/>
                    </pic:cNvPicPr>
                  </pic:nvPicPr>
                  <pic:blipFill>
                    <a:blip r:embed="rId39"/>
                    <a:stretch>
                      <a:fillRect/>
                    </a:stretch>
                  </pic:blipFill>
                  <pic:spPr bwMode="auto">
                    <a:xfrm>
                      <a:off x="0" y="0"/>
                      <a:ext cx="5334000" cy="3021572"/>
                    </a:xfrm>
                    <a:prstGeom prst="rect">
                      <a:avLst/>
                    </a:prstGeom>
                    <a:noFill/>
                    <a:ln w="9525">
                      <a:noFill/>
                      <a:headEnd/>
                      <a:tailEnd/>
                    </a:ln>
                  </pic:spPr>
                </pic:pic>
              </a:graphicData>
            </a:graphic>
          </wp:inline>
        </w:drawing>
      </w:r>
    </w:p>
    <w:p w14:paraId="6D5CA97F" w14:textId="1786CEA8" w:rsidR="001314FA" w:rsidRPr="00C9711D" w:rsidRDefault="00327FD3" w:rsidP="00327FD3">
      <w:pPr>
        <w:pStyle w:val="Beschriftung"/>
        <w:rPr>
          <w:lang w:val="en-US"/>
        </w:rPr>
      </w:pPr>
      <w:bookmarkStart w:id="456" w:name="_Toc236050724"/>
      <w:r>
        <w:t xml:space="preserve">Figure </w:t>
      </w:r>
      <w:fldSimple w:instr=" SEQ Figure \* ARABIC ">
        <w:r w:rsidR="00577A64">
          <w:rPr>
            <w:noProof/>
          </w:rPr>
          <w:t>9</w:t>
        </w:r>
      </w:fldSimple>
      <w:r>
        <w:t xml:space="preserve">: </w:t>
      </w:r>
      <w:r w:rsidR="001314FA" w:rsidRPr="00C9711D">
        <w:rPr>
          <w:lang w:val="en-US"/>
        </w:rPr>
        <w:t>Housing investment share deviation versus Baseline (5-year average</w:t>
      </w:r>
      <w:del w:id="457" w:author="Heinisch, Katja" w:date="2026-07-27T12:45:00Z" w16du:dateUtc="2026-07-27T10:45:00Z">
        <w:r w:rsidR="001314FA" w:rsidRPr="00C9711D" w:rsidDel="00327FD3">
          <w:rPr>
            <w:lang w:val="en-US"/>
          </w:rPr>
          <w:delText xml:space="preserve"> bar chart</w:delText>
        </w:r>
      </w:del>
      <w:r w:rsidR="001314FA" w:rsidRPr="00C9711D">
        <w:rPr>
          <w:lang w:val="en-US"/>
        </w:rPr>
        <w:t>).</w:t>
      </w:r>
      <w:bookmarkEnd w:id="456"/>
    </w:p>
    <w:p w14:paraId="16DF5032"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housing investment share of GDP (</w:t>
      </w:r>
      <w:r w:rsidRPr="00C9711D">
        <w:rPr>
          <w:rStyle w:val="VerbatimChar"/>
          <w:rFonts w:eastAsiaTheme="minorHAnsi"/>
          <w:lang w:val="en-US"/>
        </w:rPr>
        <w:t>pp of GDP</w:t>
      </w:r>
      <w:r w:rsidRPr="00C9711D">
        <w:rPr>
          <w:lang w:val="en-US"/>
        </w:rPr>
        <w:t>) by 5-year block, highlighting medium-term allocation differences versus Baseline.</w:t>
      </w:r>
    </w:p>
    <w:p w14:paraId="101446BD"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216A4C52" w14:textId="77777777" w:rsidR="00327FD3" w:rsidRDefault="001314FA" w:rsidP="00327FD3">
      <w:pPr>
        <w:pStyle w:val="CaptionedFigure"/>
      </w:pPr>
      <w:r w:rsidRPr="00C9711D">
        <w:rPr>
          <w:noProof/>
          <w:lang w:val="en-US"/>
        </w:rPr>
        <w:drawing>
          <wp:inline distT="0" distB="0" distL="0" distR="0" wp14:anchorId="1146BDB7" wp14:editId="61E8D82A">
            <wp:extent cx="5334000" cy="3065277"/>
            <wp:effectExtent l="0" t="0" r="0" b="0"/>
            <wp:docPr id="108" name="Picture" descr="Net exports share deviation vs baseline (5-year average)"/>
            <wp:cNvGraphicFramePr/>
            <a:graphic xmlns:a="http://schemas.openxmlformats.org/drawingml/2006/main">
              <a:graphicData uri="http://schemas.openxmlformats.org/drawingml/2006/picture">
                <pic:pic xmlns:pic="http://schemas.openxmlformats.org/drawingml/2006/picture">
                  <pic:nvPicPr>
                    <pic:cNvPr id="109" name="Picture" descr="../figures/EE_Simulation_Results/Net_Exports_Share_Deviation_vs_Baseline_5Y_Average.png"/>
                    <pic:cNvPicPr>
                      <a:picLocks noChangeAspect="1" noChangeArrowheads="1"/>
                    </pic:cNvPicPr>
                  </pic:nvPicPr>
                  <pic:blipFill>
                    <a:blip r:embed="rId40"/>
                    <a:stretch>
                      <a:fillRect/>
                    </a:stretch>
                  </pic:blipFill>
                  <pic:spPr bwMode="auto">
                    <a:xfrm>
                      <a:off x="0" y="0"/>
                      <a:ext cx="5334000" cy="3065277"/>
                    </a:xfrm>
                    <a:prstGeom prst="rect">
                      <a:avLst/>
                    </a:prstGeom>
                    <a:noFill/>
                    <a:ln w="9525">
                      <a:noFill/>
                      <a:headEnd/>
                      <a:tailEnd/>
                    </a:ln>
                  </pic:spPr>
                </pic:pic>
              </a:graphicData>
            </a:graphic>
          </wp:inline>
        </w:drawing>
      </w:r>
    </w:p>
    <w:p w14:paraId="244BF1AB" w14:textId="2DCCC178" w:rsidR="001314FA" w:rsidRPr="00C9711D" w:rsidRDefault="00327FD3" w:rsidP="00327FD3">
      <w:pPr>
        <w:pStyle w:val="Beschriftung"/>
        <w:rPr>
          <w:lang w:val="en-US"/>
        </w:rPr>
      </w:pPr>
      <w:bookmarkStart w:id="458" w:name="_Toc236050725"/>
      <w:r>
        <w:t xml:space="preserve">Figure </w:t>
      </w:r>
      <w:fldSimple w:instr=" SEQ Figure \* ARABIC ">
        <w:r w:rsidR="00577A64">
          <w:rPr>
            <w:noProof/>
          </w:rPr>
          <w:t>10</w:t>
        </w:r>
      </w:fldSimple>
      <w:r>
        <w:t>:</w:t>
      </w:r>
      <w:r>
        <w:rPr>
          <w:lang w:val="en-US"/>
        </w:rPr>
        <w:t xml:space="preserve"> </w:t>
      </w:r>
      <w:r w:rsidR="001314FA" w:rsidRPr="00C9711D">
        <w:rPr>
          <w:lang w:val="en-US"/>
        </w:rPr>
        <w:t>Net exports share deviation versus Baseline (5-year average</w:t>
      </w:r>
      <w:del w:id="459"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58"/>
    </w:p>
    <w:p w14:paraId="1082F68E"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net-exports-share deviation (</w:t>
      </w:r>
      <w:r w:rsidRPr="00C9711D">
        <w:rPr>
          <w:rStyle w:val="VerbatimChar"/>
          <w:rFonts w:eastAsiaTheme="minorHAnsi"/>
          <w:lang w:val="en-US"/>
        </w:rPr>
        <w:t>pp of GDP</w:t>
      </w:r>
      <w:r w:rsidRPr="00C9711D">
        <w:rPr>
          <w:lang w:val="en-US"/>
        </w:rPr>
        <w:t>) by 5-year block, summarizing sustained external-balance differences under each EE scenario.</w:t>
      </w:r>
    </w:p>
    <w:p w14:paraId="0B39595D"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1ACE74B2" w14:textId="77777777" w:rsidR="00327FD3" w:rsidRDefault="001314FA" w:rsidP="00327FD3">
      <w:pPr>
        <w:pStyle w:val="CaptionedFigure"/>
      </w:pPr>
      <w:r w:rsidRPr="00C9711D">
        <w:rPr>
          <w:noProof/>
          <w:lang w:val="en-US"/>
        </w:rPr>
        <w:lastRenderedPageBreak/>
        <w:drawing>
          <wp:inline distT="0" distB="0" distL="0" distR="0" wp14:anchorId="3CB9B66C" wp14:editId="3B982E0B">
            <wp:extent cx="5334000" cy="3065277"/>
            <wp:effectExtent l="0" t="0" r="0" b="0"/>
            <wp:docPr id="111" name="Picture" descr="GDP level deviation vs baseline (5-year average)"/>
            <wp:cNvGraphicFramePr/>
            <a:graphic xmlns:a="http://schemas.openxmlformats.org/drawingml/2006/main">
              <a:graphicData uri="http://schemas.openxmlformats.org/drawingml/2006/picture">
                <pic:pic xmlns:pic="http://schemas.openxmlformats.org/drawingml/2006/picture">
                  <pic:nvPicPr>
                    <pic:cNvPr id="112" name="Picture" descr="../figures/EE_Simulation_Results/GDP_Level_Deviation_vs_Baseline_5Y_Average.png"/>
                    <pic:cNvPicPr>
                      <a:picLocks noChangeAspect="1" noChangeArrowheads="1"/>
                    </pic:cNvPicPr>
                  </pic:nvPicPr>
                  <pic:blipFill>
                    <a:blip r:embed="rId41"/>
                    <a:stretch>
                      <a:fillRect/>
                    </a:stretch>
                  </pic:blipFill>
                  <pic:spPr bwMode="auto">
                    <a:xfrm>
                      <a:off x="0" y="0"/>
                      <a:ext cx="5334000" cy="3065277"/>
                    </a:xfrm>
                    <a:prstGeom prst="rect">
                      <a:avLst/>
                    </a:prstGeom>
                    <a:noFill/>
                    <a:ln w="9525">
                      <a:noFill/>
                      <a:headEnd/>
                      <a:tailEnd/>
                    </a:ln>
                  </pic:spPr>
                </pic:pic>
              </a:graphicData>
            </a:graphic>
          </wp:inline>
        </w:drawing>
      </w:r>
    </w:p>
    <w:p w14:paraId="1141B9BA" w14:textId="5A76E747" w:rsidR="001314FA" w:rsidRPr="00C9711D" w:rsidRDefault="00327FD3" w:rsidP="00327FD3">
      <w:pPr>
        <w:pStyle w:val="Beschriftung"/>
        <w:rPr>
          <w:lang w:val="en-US"/>
        </w:rPr>
      </w:pPr>
      <w:bookmarkStart w:id="460" w:name="_Toc236050726"/>
      <w:r>
        <w:t xml:space="preserve">Figure </w:t>
      </w:r>
      <w:fldSimple w:instr=" SEQ Figure \* ARABIC ">
        <w:r w:rsidR="00577A64">
          <w:rPr>
            <w:noProof/>
          </w:rPr>
          <w:t>11</w:t>
        </w:r>
      </w:fldSimple>
      <w:r>
        <w:t xml:space="preserve">: </w:t>
      </w:r>
      <w:r w:rsidR="001314FA" w:rsidRPr="00C9711D">
        <w:rPr>
          <w:lang w:val="en-US"/>
        </w:rPr>
        <w:t>GDP level deviation versus Baseline across EE scenarios (5-year average</w:t>
      </w:r>
      <w:del w:id="461" w:author="Heinisch, Katja" w:date="2026-07-27T12:45:00Z" w16du:dateUtc="2026-07-27T10:45:00Z">
        <w:r w:rsidR="001314FA" w:rsidRPr="00C9711D" w:rsidDel="00327FD3">
          <w:rPr>
            <w:lang w:val="en-US"/>
          </w:rPr>
          <w:delText xml:space="preserve"> bar chart</w:delText>
        </w:r>
      </w:del>
      <w:r w:rsidR="001314FA" w:rsidRPr="00C9711D">
        <w:rPr>
          <w:lang w:val="en-US"/>
        </w:rPr>
        <w:t>).</w:t>
      </w:r>
      <w:bookmarkEnd w:id="460"/>
    </w:p>
    <w:p w14:paraId="217ED23D"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show average GDP-level deviation (percent) from Baseline by 5-year block, highlighting medium-run macro effects of each EE pathway.</w:t>
      </w:r>
    </w:p>
    <w:p w14:paraId="19543472"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65D92DCA" w14:textId="77777777" w:rsidR="00446DF3" w:rsidRDefault="001314FA" w:rsidP="00446DF3">
      <w:pPr>
        <w:pStyle w:val="CaptionedFigure"/>
      </w:pPr>
      <w:r w:rsidRPr="00C9711D">
        <w:rPr>
          <w:noProof/>
          <w:lang w:val="en-US"/>
        </w:rPr>
        <w:drawing>
          <wp:inline distT="0" distB="0" distL="0" distR="0" wp14:anchorId="582B298C" wp14:editId="0AE5B9A1">
            <wp:extent cx="5334000" cy="3021572"/>
            <wp:effectExtent l="0" t="0" r="0" b="0"/>
            <wp:docPr id="114" name="Picture" descr="Consumption share deviation vs baseline (5-year average)"/>
            <wp:cNvGraphicFramePr/>
            <a:graphic xmlns:a="http://schemas.openxmlformats.org/drawingml/2006/main">
              <a:graphicData uri="http://schemas.openxmlformats.org/drawingml/2006/picture">
                <pic:pic xmlns:pic="http://schemas.openxmlformats.org/drawingml/2006/picture">
                  <pic:nvPicPr>
                    <pic:cNvPr id="115" name="Picture" descr="../figures/EE_Simulation_Results/Consumption_Share_Deviation_vs_Baseline_5Y_Average.png"/>
                    <pic:cNvPicPr>
                      <a:picLocks noChangeAspect="1" noChangeArrowheads="1"/>
                    </pic:cNvPicPr>
                  </pic:nvPicPr>
                  <pic:blipFill>
                    <a:blip r:embed="rId42"/>
                    <a:stretch>
                      <a:fillRect/>
                    </a:stretch>
                  </pic:blipFill>
                  <pic:spPr bwMode="auto">
                    <a:xfrm>
                      <a:off x="0" y="0"/>
                      <a:ext cx="5334000" cy="3021572"/>
                    </a:xfrm>
                    <a:prstGeom prst="rect">
                      <a:avLst/>
                    </a:prstGeom>
                    <a:noFill/>
                    <a:ln w="9525">
                      <a:noFill/>
                      <a:headEnd/>
                      <a:tailEnd/>
                    </a:ln>
                  </pic:spPr>
                </pic:pic>
              </a:graphicData>
            </a:graphic>
          </wp:inline>
        </w:drawing>
      </w:r>
    </w:p>
    <w:p w14:paraId="2844DEAE" w14:textId="52597400" w:rsidR="001314FA" w:rsidRPr="00C9711D" w:rsidRDefault="00446DF3" w:rsidP="00446DF3">
      <w:pPr>
        <w:pStyle w:val="Beschriftung"/>
        <w:rPr>
          <w:lang w:val="en-US"/>
        </w:rPr>
      </w:pPr>
      <w:bookmarkStart w:id="462" w:name="_Toc236050727"/>
      <w:r>
        <w:t xml:space="preserve">Figure </w:t>
      </w:r>
      <w:fldSimple w:instr=" SEQ Figure \* ARABIC ">
        <w:r w:rsidR="00577A64">
          <w:rPr>
            <w:noProof/>
          </w:rPr>
          <w:t>12</w:t>
        </w:r>
      </w:fldSimple>
      <w:r>
        <w:t xml:space="preserve">: </w:t>
      </w:r>
      <w:r w:rsidR="001314FA" w:rsidRPr="00C9711D">
        <w:rPr>
          <w:lang w:val="en-US"/>
        </w:rPr>
        <w:t>Consumption share deviation versus Baseline across EE scenarios (5-year average</w:t>
      </w:r>
      <w:del w:id="463"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62"/>
    </w:p>
    <w:p w14:paraId="751F8363"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consumption share of GDP (</w:t>
      </w:r>
      <w:r w:rsidRPr="00C9711D">
        <w:rPr>
          <w:rStyle w:val="VerbatimChar"/>
          <w:rFonts w:eastAsiaTheme="minorHAnsi"/>
          <w:lang w:val="en-US"/>
        </w:rPr>
        <w:t>pp of GDP</w:t>
      </w:r>
      <w:r w:rsidRPr="00C9711D">
        <w:rPr>
          <w:lang w:val="en-US"/>
        </w:rPr>
        <w:t>) for each 5-year block, allowing direct comparison of household-demand reallocation under alternative EE scenarios.</w:t>
      </w:r>
    </w:p>
    <w:p w14:paraId="5500666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2941B81" w14:textId="77777777" w:rsidR="00446DF3" w:rsidRDefault="001314FA" w:rsidP="00446DF3">
      <w:pPr>
        <w:pStyle w:val="CaptionedFigure"/>
      </w:pPr>
      <w:r w:rsidRPr="00C9711D">
        <w:rPr>
          <w:noProof/>
          <w:lang w:val="en-US"/>
        </w:rPr>
        <w:lastRenderedPageBreak/>
        <w:drawing>
          <wp:inline distT="0" distB="0" distL="0" distR="0" wp14:anchorId="2A0EF9D5" wp14:editId="1B931787">
            <wp:extent cx="5334000" cy="3048592"/>
            <wp:effectExtent l="0" t="0" r="0" b="0"/>
            <wp:docPr id="117" name="Picture" descr="Investment share deviation vs baseline (5-year average)"/>
            <wp:cNvGraphicFramePr/>
            <a:graphic xmlns:a="http://schemas.openxmlformats.org/drawingml/2006/main">
              <a:graphicData uri="http://schemas.openxmlformats.org/drawingml/2006/picture">
                <pic:pic xmlns:pic="http://schemas.openxmlformats.org/drawingml/2006/picture">
                  <pic:nvPicPr>
                    <pic:cNvPr id="118" name="Picture" descr="../figures/EE_Simulation_Results/Investment_Share_Deviation_vs_Baseline_5Y_Average.png"/>
                    <pic:cNvPicPr>
                      <a:picLocks noChangeAspect="1" noChangeArrowheads="1"/>
                    </pic:cNvPicPr>
                  </pic:nvPicPr>
                  <pic:blipFill>
                    <a:blip r:embed="rId43"/>
                    <a:stretch>
                      <a:fillRect/>
                    </a:stretch>
                  </pic:blipFill>
                  <pic:spPr bwMode="auto">
                    <a:xfrm>
                      <a:off x="0" y="0"/>
                      <a:ext cx="5334000" cy="3048592"/>
                    </a:xfrm>
                    <a:prstGeom prst="rect">
                      <a:avLst/>
                    </a:prstGeom>
                    <a:noFill/>
                    <a:ln w="9525">
                      <a:noFill/>
                      <a:headEnd/>
                      <a:tailEnd/>
                    </a:ln>
                  </pic:spPr>
                </pic:pic>
              </a:graphicData>
            </a:graphic>
          </wp:inline>
        </w:drawing>
      </w:r>
    </w:p>
    <w:p w14:paraId="185C2D16" w14:textId="2F685FE1" w:rsidR="001314FA" w:rsidRPr="00C9711D" w:rsidRDefault="00446DF3" w:rsidP="00446DF3">
      <w:pPr>
        <w:pStyle w:val="Beschriftung"/>
        <w:rPr>
          <w:lang w:val="en-US"/>
        </w:rPr>
      </w:pPr>
      <w:bookmarkStart w:id="464" w:name="_Toc236050728"/>
      <w:bookmarkStart w:id="465" w:name="_Ref236051267"/>
      <w:r>
        <w:t xml:space="preserve">Figure </w:t>
      </w:r>
      <w:fldSimple w:instr=" SEQ Figure \* ARABIC ">
        <w:r w:rsidR="00577A64">
          <w:rPr>
            <w:noProof/>
          </w:rPr>
          <w:t>13</w:t>
        </w:r>
      </w:fldSimple>
      <w:bookmarkEnd w:id="465"/>
      <w:r>
        <w:t xml:space="preserve">: </w:t>
      </w:r>
      <w:r w:rsidR="001314FA" w:rsidRPr="00C9711D">
        <w:rPr>
          <w:lang w:val="en-US"/>
        </w:rPr>
        <w:t>Investment share deviation versus Baseline across EE scenarios (5-year average</w:t>
      </w:r>
      <w:del w:id="466"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64"/>
    </w:p>
    <w:p w14:paraId="233A54C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investment share of GDP (</w:t>
      </w:r>
      <w:r w:rsidRPr="00C9711D">
        <w:rPr>
          <w:rStyle w:val="VerbatimChar"/>
          <w:rFonts w:eastAsiaTheme="minorHAnsi"/>
          <w:lang w:val="en-US"/>
        </w:rPr>
        <w:t>pp of GDP</w:t>
      </w:r>
      <w:r w:rsidRPr="00C9711D">
        <w:rPr>
          <w:lang w:val="en-US"/>
        </w:rPr>
        <w:t>) by 5-year block and summarize the medium-term capital-allocation response in each EE pathway.</w:t>
      </w:r>
    </w:p>
    <w:p w14:paraId="0FD3EB9B"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scripts/reporting/GenerateEESimulationResultsFigures.m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0025673" w14:textId="51ACD8F0" w:rsidR="001314FA" w:rsidRPr="00C9711D" w:rsidRDefault="001314FA" w:rsidP="002A4BF9">
      <w:pPr>
        <w:pStyle w:val="berschrift2"/>
        <w:rPr>
          <w:lang w:val="en-US"/>
        </w:rPr>
      </w:pPr>
      <w:bookmarkStart w:id="467" w:name="_Toc235867076"/>
      <w:bookmarkStart w:id="468" w:name="green-finance-scenario-reporting-figures"/>
      <w:bookmarkStart w:id="469" w:name="_Toc236050670"/>
      <w:bookmarkEnd w:id="424"/>
      <w:r w:rsidRPr="00C9711D">
        <w:rPr>
          <w:lang w:val="en-US"/>
        </w:rPr>
        <w:t>Green finance scenario reporting figures</w:t>
      </w:r>
      <w:bookmarkEnd w:id="467"/>
      <w:bookmarkEnd w:id="469"/>
    </w:p>
    <w:p w14:paraId="04BB5C03" w14:textId="77777777" w:rsidR="001314FA" w:rsidRPr="00C9711D" w:rsidRDefault="001314FA" w:rsidP="001314FA">
      <w:pPr>
        <w:pStyle w:val="IWHFlietext"/>
        <w:rPr>
          <w:lang w:val="en-US"/>
        </w:rPr>
      </w:pPr>
      <w:r w:rsidRPr="00C9711D">
        <w:rPr>
          <w:lang w:val="en-US"/>
        </w:rPr>
        <w:t xml:space="preserve">The script </w:t>
      </w:r>
      <w:r w:rsidRPr="00C9711D">
        <w:rPr>
          <w:rStyle w:val="VerbatimChar"/>
          <w:rFonts w:eastAsiaTheme="minorHAnsi"/>
          <w:lang w:val="en-US"/>
        </w:rPr>
        <w:t>scripts/reporting/GenerateFinanceSimulationResultsFigures.m</w:t>
      </w:r>
      <w:r w:rsidRPr="00C9711D">
        <w:rPr>
          <w:lang w:val="en-US"/>
        </w:rPr>
        <w:t xml:space="preserve"> exports scenario-comparison figures to </w:t>
      </w:r>
      <w:r w:rsidRPr="00C9711D">
        <w:rPr>
          <w:rStyle w:val="VerbatimChar"/>
          <w:rFonts w:eastAsiaTheme="minorHAnsi"/>
          <w:lang w:val="en-US"/>
        </w:rPr>
        <w:t>docs/figures/Finance_Simulation_Results/</w:t>
      </w:r>
      <w:r w:rsidRPr="00C9711D">
        <w:rPr>
          <w:lang w:val="en-US"/>
        </w:rPr>
        <w:t>. This subsection reports only deviation-versus-Baseline diagnostics, using 5-year average bar charts.</w:t>
      </w:r>
    </w:p>
    <w:p w14:paraId="748951EA" w14:textId="77777777" w:rsidR="00446DF3" w:rsidRDefault="001314FA" w:rsidP="00446DF3">
      <w:pPr>
        <w:pStyle w:val="CaptionedFigure"/>
      </w:pPr>
      <w:r w:rsidRPr="00C9711D">
        <w:rPr>
          <w:noProof/>
          <w:lang w:val="en-US"/>
        </w:rPr>
        <w:drawing>
          <wp:inline distT="0" distB="0" distL="0" distR="0" wp14:anchorId="74FA63E4" wp14:editId="44D71777">
            <wp:extent cx="5334000" cy="2928112"/>
            <wp:effectExtent l="0" t="0" r="0" b="0"/>
            <wp:docPr id="121" name="Picture" descr="GDP growth deviation vs baseline (5-year average)"/>
            <wp:cNvGraphicFramePr/>
            <a:graphic xmlns:a="http://schemas.openxmlformats.org/drawingml/2006/main">
              <a:graphicData uri="http://schemas.openxmlformats.org/drawingml/2006/picture">
                <pic:pic xmlns:pic="http://schemas.openxmlformats.org/drawingml/2006/picture">
                  <pic:nvPicPr>
                    <pic:cNvPr id="122" name="Picture" descr="../figures/Finance_Simulation_Results/GDP_Growth_Deviation_vs_Baseline_5Y_Average.png"/>
                    <pic:cNvPicPr>
                      <a:picLocks noChangeAspect="1" noChangeArrowheads="1"/>
                    </pic:cNvPicPr>
                  </pic:nvPicPr>
                  <pic:blipFill>
                    <a:blip r:embed="rId44"/>
                    <a:stretch>
                      <a:fillRect/>
                    </a:stretch>
                  </pic:blipFill>
                  <pic:spPr bwMode="auto">
                    <a:xfrm>
                      <a:off x="0" y="0"/>
                      <a:ext cx="5334000" cy="2928112"/>
                    </a:xfrm>
                    <a:prstGeom prst="rect">
                      <a:avLst/>
                    </a:prstGeom>
                    <a:noFill/>
                    <a:ln w="9525">
                      <a:noFill/>
                      <a:headEnd/>
                      <a:tailEnd/>
                    </a:ln>
                  </pic:spPr>
                </pic:pic>
              </a:graphicData>
            </a:graphic>
          </wp:inline>
        </w:drawing>
      </w:r>
    </w:p>
    <w:p w14:paraId="0BC66466" w14:textId="1527A06E" w:rsidR="001314FA" w:rsidRPr="00C9711D" w:rsidRDefault="00446DF3" w:rsidP="00446DF3">
      <w:pPr>
        <w:pStyle w:val="Beschriftung"/>
        <w:rPr>
          <w:lang w:val="en-US"/>
        </w:rPr>
      </w:pPr>
      <w:bookmarkStart w:id="470" w:name="_Toc236050729"/>
      <w:r>
        <w:t xml:space="preserve">Figure </w:t>
      </w:r>
      <w:fldSimple w:instr=" SEQ Figure \* ARABIC ">
        <w:r w:rsidR="00577A64">
          <w:rPr>
            <w:noProof/>
          </w:rPr>
          <w:t>14</w:t>
        </w:r>
      </w:fldSimple>
      <w:r>
        <w:t xml:space="preserve">: </w:t>
      </w:r>
      <w:r w:rsidR="001314FA" w:rsidRPr="00C9711D">
        <w:rPr>
          <w:lang w:val="en-US"/>
        </w:rPr>
        <w:t>GDP growth deviation versus Baseline across green-finance scenarios (5-year average</w:t>
      </w:r>
      <w:del w:id="471"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70"/>
    </w:p>
    <w:p w14:paraId="55065E04"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lastRenderedPageBreak/>
        <w:t>Note: Bars show the average deviation in annual GDP growth (percentage points) from Baseline by 5-year block, comparing how financing architectures alter the medium-run growth profile.</w:t>
      </w:r>
    </w:p>
    <w:p w14:paraId="7051ABC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6FA5A9DC" w14:textId="77777777" w:rsidR="00446DF3" w:rsidRDefault="001314FA" w:rsidP="00446DF3">
      <w:pPr>
        <w:pStyle w:val="CaptionedFigure"/>
      </w:pPr>
      <w:r w:rsidRPr="00C9711D">
        <w:rPr>
          <w:noProof/>
          <w:lang w:val="en-US"/>
        </w:rPr>
        <w:drawing>
          <wp:inline distT="0" distB="0" distL="0" distR="0" wp14:anchorId="0AAC10F7" wp14:editId="06139A51">
            <wp:extent cx="5334000" cy="2958542"/>
            <wp:effectExtent l="0" t="0" r="0" b="0"/>
            <wp:docPr id="124" name="Picture" descr="GDP level deviation vs baseline (5-year average)"/>
            <wp:cNvGraphicFramePr/>
            <a:graphic xmlns:a="http://schemas.openxmlformats.org/drawingml/2006/main">
              <a:graphicData uri="http://schemas.openxmlformats.org/drawingml/2006/picture">
                <pic:pic xmlns:pic="http://schemas.openxmlformats.org/drawingml/2006/picture">
                  <pic:nvPicPr>
                    <pic:cNvPr id="125" name="Picture" descr="../figures/Finance_Simulation_Results/GDP_Level_Deviation_vs_Baseline_5Y_Average.png"/>
                    <pic:cNvPicPr>
                      <a:picLocks noChangeAspect="1" noChangeArrowheads="1"/>
                    </pic:cNvPicPr>
                  </pic:nvPicPr>
                  <pic:blipFill>
                    <a:blip r:embed="rId45"/>
                    <a:stretch>
                      <a:fillRect/>
                    </a:stretch>
                  </pic:blipFill>
                  <pic:spPr bwMode="auto">
                    <a:xfrm>
                      <a:off x="0" y="0"/>
                      <a:ext cx="5334000" cy="2958542"/>
                    </a:xfrm>
                    <a:prstGeom prst="rect">
                      <a:avLst/>
                    </a:prstGeom>
                    <a:noFill/>
                    <a:ln w="9525">
                      <a:noFill/>
                      <a:headEnd/>
                      <a:tailEnd/>
                    </a:ln>
                  </pic:spPr>
                </pic:pic>
              </a:graphicData>
            </a:graphic>
          </wp:inline>
        </w:drawing>
      </w:r>
    </w:p>
    <w:p w14:paraId="52FD1405" w14:textId="17310E78" w:rsidR="001314FA" w:rsidRPr="00C9711D" w:rsidRDefault="00446DF3" w:rsidP="00446DF3">
      <w:pPr>
        <w:pStyle w:val="Beschriftung"/>
        <w:rPr>
          <w:lang w:val="en-US"/>
        </w:rPr>
      </w:pPr>
      <w:bookmarkStart w:id="472" w:name="_Toc236050730"/>
      <w:r>
        <w:t xml:space="preserve">Figure </w:t>
      </w:r>
      <w:fldSimple w:instr=" SEQ Figure \* ARABIC ">
        <w:r w:rsidR="00577A64">
          <w:rPr>
            <w:noProof/>
          </w:rPr>
          <w:t>15</w:t>
        </w:r>
      </w:fldSimple>
      <w:r>
        <w:rPr>
          <w:lang w:val="en-US"/>
        </w:rPr>
        <w:t>:</w:t>
      </w:r>
      <w:r w:rsidR="001314FA" w:rsidRPr="00C9711D">
        <w:rPr>
          <w:lang w:val="en-US"/>
        </w:rPr>
        <w:t xml:space="preserve"> GDP level deviation versus Baseline across green-finance scenarios (5-year average</w:t>
      </w:r>
      <w:del w:id="473"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72"/>
    </w:p>
    <w:p w14:paraId="51F5D7F6"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show average percent deviations of GDP level from Baseline by 5-year block and capture cumulative macro effects of financing conditions.</w:t>
      </w:r>
    </w:p>
    <w:p w14:paraId="5F6AD188"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27D4D8F" w14:textId="77777777" w:rsidR="00577A64" w:rsidRDefault="001314FA" w:rsidP="00577A64">
      <w:pPr>
        <w:pStyle w:val="CaptionedFigure"/>
      </w:pPr>
      <w:r w:rsidRPr="00C9711D">
        <w:rPr>
          <w:noProof/>
          <w:lang w:val="en-US"/>
        </w:rPr>
        <w:drawing>
          <wp:inline distT="0" distB="0" distL="0" distR="0" wp14:anchorId="3913CCF3" wp14:editId="47AA509B">
            <wp:extent cx="5334000" cy="2926996"/>
            <wp:effectExtent l="0" t="0" r="0" b="0"/>
            <wp:docPr id="127" name="Picture" descr="Consumption share deviation vs baseline (5-year average)"/>
            <wp:cNvGraphicFramePr/>
            <a:graphic xmlns:a="http://schemas.openxmlformats.org/drawingml/2006/main">
              <a:graphicData uri="http://schemas.openxmlformats.org/drawingml/2006/picture">
                <pic:pic xmlns:pic="http://schemas.openxmlformats.org/drawingml/2006/picture">
                  <pic:nvPicPr>
                    <pic:cNvPr id="128" name="Picture" descr="../figures/Finance_Simulation_Results/Consumption_Share_Deviation_vs_Baseline_5Y_Average.png"/>
                    <pic:cNvPicPr>
                      <a:picLocks noChangeAspect="1" noChangeArrowheads="1"/>
                    </pic:cNvPicPr>
                  </pic:nvPicPr>
                  <pic:blipFill>
                    <a:blip r:embed="rId46"/>
                    <a:stretch>
                      <a:fillRect/>
                    </a:stretch>
                  </pic:blipFill>
                  <pic:spPr bwMode="auto">
                    <a:xfrm>
                      <a:off x="0" y="0"/>
                      <a:ext cx="5334000" cy="2926996"/>
                    </a:xfrm>
                    <a:prstGeom prst="rect">
                      <a:avLst/>
                    </a:prstGeom>
                    <a:noFill/>
                    <a:ln w="9525">
                      <a:noFill/>
                      <a:headEnd/>
                      <a:tailEnd/>
                    </a:ln>
                  </pic:spPr>
                </pic:pic>
              </a:graphicData>
            </a:graphic>
          </wp:inline>
        </w:drawing>
      </w:r>
    </w:p>
    <w:p w14:paraId="477CECCF" w14:textId="4F9B2B71" w:rsidR="001314FA" w:rsidRPr="00C9711D" w:rsidRDefault="00577A64" w:rsidP="00577A64">
      <w:pPr>
        <w:pStyle w:val="Beschriftung"/>
        <w:rPr>
          <w:lang w:val="en-US"/>
        </w:rPr>
      </w:pPr>
      <w:bookmarkStart w:id="474" w:name="_Toc236050731"/>
      <w:r>
        <w:t xml:space="preserve">Figure </w:t>
      </w:r>
      <w:fldSimple w:instr=" SEQ Figure \* ARABIC ">
        <w:r>
          <w:rPr>
            <w:noProof/>
          </w:rPr>
          <w:t>16</w:t>
        </w:r>
      </w:fldSimple>
      <w:r>
        <w:rPr>
          <w:lang w:val="en-US"/>
        </w:rPr>
        <w:t>:</w:t>
      </w:r>
      <w:r w:rsidR="001314FA" w:rsidRPr="00C9711D">
        <w:rPr>
          <w:lang w:val="en-US"/>
        </w:rPr>
        <w:t xml:space="preserve"> Consumption share deviation versus Baseline across green-finance scenarios (5-year average</w:t>
      </w:r>
      <w:del w:id="475"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74"/>
    </w:p>
    <w:p w14:paraId="1E95ACA6"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private-consumption share of GDP (</w:t>
      </w:r>
      <w:r w:rsidRPr="00C9711D">
        <w:rPr>
          <w:rStyle w:val="VerbatimChar"/>
          <w:rFonts w:eastAsiaTheme="minorHAnsi"/>
          <w:lang w:val="en-US"/>
        </w:rPr>
        <w:t>pp of GDP</w:t>
      </w:r>
      <w:r w:rsidRPr="00C9711D">
        <w:rPr>
          <w:lang w:val="en-US"/>
        </w:rPr>
        <w:t>) by 5-year block.</w:t>
      </w:r>
    </w:p>
    <w:p w14:paraId="6F0D21E9"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lastRenderedPageBreak/>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37B20AB1" w14:textId="77777777" w:rsidR="00577A64" w:rsidRDefault="001314FA" w:rsidP="00577A64">
      <w:pPr>
        <w:pStyle w:val="CaptionedFigure"/>
      </w:pPr>
      <w:r w:rsidRPr="00C9711D">
        <w:rPr>
          <w:noProof/>
          <w:lang w:val="en-US"/>
        </w:rPr>
        <w:drawing>
          <wp:inline distT="0" distB="0" distL="0" distR="0" wp14:anchorId="6BE32B57" wp14:editId="05028B11">
            <wp:extent cx="5334000" cy="2957404"/>
            <wp:effectExtent l="0" t="0" r="0" b="0"/>
            <wp:docPr id="130" name="Picture" descr="Investment share deviation vs baseline (5-year average)"/>
            <wp:cNvGraphicFramePr/>
            <a:graphic xmlns:a="http://schemas.openxmlformats.org/drawingml/2006/main">
              <a:graphicData uri="http://schemas.openxmlformats.org/drawingml/2006/picture">
                <pic:pic xmlns:pic="http://schemas.openxmlformats.org/drawingml/2006/picture">
                  <pic:nvPicPr>
                    <pic:cNvPr id="131" name="Picture" descr="../figures/Finance_Simulation_Results/Investment_Share_Deviation_vs_Baseline_5Y_Average.png"/>
                    <pic:cNvPicPr>
                      <a:picLocks noChangeAspect="1" noChangeArrowheads="1"/>
                    </pic:cNvPicPr>
                  </pic:nvPicPr>
                  <pic:blipFill>
                    <a:blip r:embed="rId47"/>
                    <a:stretch>
                      <a:fillRect/>
                    </a:stretch>
                  </pic:blipFill>
                  <pic:spPr bwMode="auto">
                    <a:xfrm>
                      <a:off x="0" y="0"/>
                      <a:ext cx="5334000" cy="2957404"/>
                    </a:xfrm>
                    <a:prstGeom prst="rect">
                      <a:avLst/>
                    </a:prstGeom>
                    <a:noFill/>
                    <a:ln w="9525">
                      <a:noFill/>
                      <a:headEnd/>
                      <a:tailEnd/>
                    </a:ln>
                  </pic:spPr>
                </pic:pic>
              </a:graphicData>
            </a:graphic>
          </wp:inline>
        </w:drawing>
      </w:r>
    </w:p>
    <w:p w14:paraId="35BE9B94" w14:textId="301A836C" w:rsidR="001314FA" w:rsidRPr="00C9711D" w:rsidRDefault="00577A64" w:rsidP="00577A64">
      <w:pPr>
        <w:pStyle w:val="Beschriftung"/>
        <w:rPr>
          <w:lang w:val="en-US"/>
        </w:rPr>
      </w:pPr>
      <w:bookmarkStart w:id="476" w:name="_Toc236050732"/>
      <w:r>
        <w:t xml:space="preserve">Figure </w:t>
      </w:r>
      <w:fldSimple w:instr=" SEQ Figure \* ARABIC ">
        <w:r>
          <w:rPr>
            <w:noProof/>
          </w:rPr>
          <w:t>17</w:t>
        </w:r>
      </w:fldSimple>
      <w:r>
        <w:t>:</w:t>
      </w:r>
      <w:r w:rsidR="001314FA" w:rsidRPr="00C9711D">
        <w:rPr>
          <w:lang w:val="en-US"/>
        </w:rPr>
        <w:t xml:space="preserve"> Investment share deviation versus Baseline across green-finance scenarios (5-year average</w:t>
      </w:r>
      <w:del w:id="477"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76"/>
    </w:p>
    <w:p w14:paraId="6C634046"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investment share of GDP (</w:t>
      </w:r>
      <w:r w:rsidRPr="00C9711D">
        <w:rPr>
          <w:rStyle w:val="VerbatimChar"/>
          <w:rFonts w:eastAsiaTheme="minorHAnsi"/>
          <w:lang w:val="en-US"/>
        </w:rPr>
        <w:t>pp of GDP</w:t>
      </w:r>
      <w:r w:rsidRPr="00C9711D">
        <w:rPr>
          <w:lang w:val="en-US"/>
        </w:rPr>
        <w:t>) by 5-year block, indicating medium-run capital-allocation shifts.</w:t>
      </w:r>
    </w:p>
    <w:p w14:paraId="36A5B085"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1CDC016" w14:textId="77777777" w:rsidR="00577A64" w:rsidRDefault="001314FA" w:rsidP="00577A64">
      <w:pPr>
        <w:pStyle w:val="CaptionedFigure"/>
      </w:pPr>
      <w:r w:rsidRPr="00C9711D">
        <w:rPr>
          <w:noProof/>
          <w:lang w:val="en-US"/>
        </w:rPr>
        <w:drawing>
          <wp:inline distT="0" distB="0" distL="0" distR="0" wp14:anchorId="4D9DB25D" wp14:editId="35D0738D">
            <wp:extent cx="5334000" cy="2957404"/>
            <wp:effectExtent l="0" t="0" r="0" b="0"/>
            <wp:docPr id="133" name="Picture" descr="Government consumption share deviation vs baseline (5-year average)"/>
            <wp:cNvGraphicFramePr/>
            <a:graphic xmlns:a="http://schemas.openxmlformats.org/drawingml/2006/main">
              <a:graphicData uri="http://schemas.openxmlformats.org/drawingml/2006/picture">
                <pic:pic xmlns:pic="http://schemas.openxmlformats.org/drawingml/2006/picture">
                  <pic:nvPicPr>
                    <pic:cNvPr id="134" name="Picture" descr="../figures/Finance_Simulation_Results/Government_Consumption_Share_Deviation_vs_Baseline_5Y_Average.png"/>
                    <pic:cNvPicPr>
                      <a:picLocks noChangeAspect="1" noChangeArrowheads="1"/>
                    </pic:cNvPicPr>
                  </pic:nvPicPr>
                  <pic:blipFill>
                    <a:blip r:embed="rId48"/>
                    <a:stretch>
                      <a:fillRect/>
                    </a:stretch>
                  </pic:blipFill>
                  <pic:spPr bwMode="auto">
                    <a:xfrm>
                      <a:off x="0" y="0"/>
                      <a:ext cx="5334000" cy="2957404"/>
                    </a:xfrm>
                    <a:prstGeom prst="rect">
                      <a:avLst/>
                    </a:prstGeom>
                    <a:noFill/>
                    <a:ln w="9525">
                      <a:noFill/>
                      <a:headEnd/>
                      <a:tailEnd/>
                    </a:ln>
                  </pic:spPr>
                </pic:pic>
              </a:graphicData>
            </a:graphic>
          </wp:inline>
        </w:drawing>
      </w:r>
    </w:p>
    <w:p w14:paraId="06EBAC49" w14:textId="6CB0AF1A" w:rsidR="001314FA" w:rsidRPr="00C9711D" w:rsidRDefault="00577A64" w:rsidP="00577A64">
      <w:pPr>
        <w:pStyle w:val="Beschriftung"/>
        <w:rPr>
          <w:lang w:val="en-US"/>
        </w:rPr>
      </w:pPr>
      <w:bookmarkStart w:id="478" w:name="_Toc236050733"/>
      <w:r>
        <w:t xml:space="preserve">Figure </w:t>
      </w:r>
      <w:fldSimple w:instr=" SEQ Figure \* ARABIC ">
        <w:r>
          <w:rPr>
            <w:noProof/>
          </w:rPr>
          <w:t>18</w:t>
        </w:r>
      </w:fldSimple>
      <w:r>
        <w:rPr>
          <w:lang w:val="en-US"/>
        </w:rPr>
        <w:t>:</w:t>
      </w:r>
      <w:r w:rsidR="001314FA" w:rsidRPr="00C9711D">
        <w:rPr>
          <w:lang w:val="en-US"/>
        </w:rPr>
        <w:t>Government consumption share deviation versus Baseline across green-finance scenarios (5-year average</w:t>
      </w:r>
      <w:del w:id="479"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78"/>
    </w:p>
    <w:p w14:paraId="1A3D1462"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government consumption share of GDP (</w:t>
      </w:r>
      <w:r w:rsidRPr="00C9711D">
        <w:rPr>
          <w:rStyle w:val="VerbatimChar"/>
          <w:rFonts w:eastAsiaTheme="minorHAnsi"/>
          <w:lang w:val="en-US"/>
        </w:rPr>
        <w:t>pp of GDP</w:t>
      </w:r>
      <w:r w:rsidRPr="00C9711D">
        <w:rPr>
          <w:lang w:val="en-US"/>
        </w:rPr>
        <w:t>) by 5-year block.</w:t>
      </w:r>
    </w:p>
    <w:p w14:paraId="3443BF5B"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7838ADD" w14:textId="77777777" w:rsidR="00577A64" w:rsidRDefault="001314FA" w:rsidP="00577A64">
      <w:pPr>
        <w:pStyle w:val="CaptionedFigure"/>
      </w:pPr>
      <w:r w:rsidRPr="00C9711D">
        <w:rPr>
          <w:noProof/>
          <w:lang w:val="en-US"/>
        </w:rPr>
        <w:lastRenderedPageBreak/>
        <w:drawing>
          <wp:inline distT="0" distB="0" distL="0" distR="0" wp14:anchorId="18EDB2EE" wp14:editId="71F60B9B">
            <wp:extent cx="5334000" cy="2926996"/>
            <wp:effectExtent l="0" t="0" r="0" b="0"/>
            <wp:docPr id="136" name="Picture" descr="Housing investment share deviation vs baseline (5-year average)"/>
            <wp:cNvGraphicFramePr/>
            <a:graphic xmlns:a="http://schemas.openxmlformats.org/drawingml/2006/main">
              <a:graphicData uri="http://schemas.openxmlformats.org/drawingml/2006/picture">
                <pic:pic xmlns:pic="http://schemas.openxmlformats.org/drawingml/2006/picture">
                  <pic:nvPicPr>
                    <pic:cNvPr id="137" name="Picture" descr="../figures/Finance_Simulation_Results/Housing_Investment_Share_Deviation_vs_Baseline_5Y_Average.png"/>
                    <pic:cNvPicPr>
                      <a:picLocks noChangeAspect="1" noChangeArrowheads="1"/>
                    </pic:cNvPicPr>
                  </pic:nvPicPr>
                  <pic:blipFill>
                    <a:blip r:embed="rId49"/>
                    <a:stretch>
                      <a:fillRect/>
                    </a:stretch>
                  </pic:blipFill>
                  <pic:spPr bwMode="auto">
                    <a:xfrm>
                      <a:off x="0" y="0"/>
                      <a:ext cx="5334000" cy="2926996"/>
                    </a:xfrm>
                    <a:prstGeom prst="rect">
                      <a:avLst/>
                    </a:prstGeom>
                    <a:noFill/>
                    <a:ln w="9525">
                      <a:noFill/>
                      <a:headEnd/>
                      <a:tailEnd/>
                    </a:ln>
                  </pic:spPr>
                </pic:pic>
              </a:graphicData>
            </a:graphic>
          </wp:inline>
        </w:drawing>
      </w:r>
    </w:p>
    <w:p w14:paraId="0818A0B1" w14:textId="2CA15FB4" w:rsidR="001314FA" w:rsidRPr="00C9711D" w:rsidRDefault="00577A64" w:rsidP="00577A64">
      <w:pPr>
        <w:pStyle w:val="Beschriftung"/>
        <w:rPr>
          <w:lang w:val="en-US"/>
        </w:rPr>
      </w:pPr>
      <w:bookmarkStart w:id="480" w:name="_Toc236050734"/>
      <w:r>
        <w:t xml:space="preserve">Figure </w:t>
      </w:r>
      <w:fldSimple w:instr=" SEQ Figure \* ARABIC ">
        <w:r>
          <w:rPr>
            <w:noProof/>
          </w:rPr>
          <w:t>19</w:t>
        </w:r>
      </w:fldSimple>
      <w:r>
        <w:rPr>
          <w:lang w:val="en-US"/>
        </w:rPr>
        <w:t>:</w:t>
      </w:r>
      <w:r w:rsidR="001314FA" w:rsidRPr="00C9711D">
        <w:rPr>
          <w:lang w:val="en-US"/>
        </w:rPr>
        <w:t xml:space="preserve"> Housing investment share deviation versus Baseline across green-finance scenarios (5-year average</w:t>
      </w:r>
      <w:del w:id="481"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80"/>
    </w:p>
    <w:p w14:paraId="33D95595"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housing investment share of GDP (</w:t>
      </w:r>
      <w:r w:rsidRPr="00C9711D">
        <w:rPr>
          <w:rStyle w:val="VerbatimChar"/>
          <w:rFonts w:eastAsiaTheme="minorHAnsi"/>
          <w:lang w:val="en-US"/>
        </w:rPr>
        <w:t>pp of GDP</w:t>
      </w:r>
      <w:r w:rsidRPr="00C9711D">
        <w:rPr>
          <w:lang w:val="en-US"/>
        </w:rPr>
        <w:t>) by 5-year block.</w:t>
      </w:r>
    </w:p>
    <w:p w14:paraId="33B50035"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35F27852" w14:textId="77777777" w:rsidR="00577A64" w:rsidRDefault="001314FA" w:rsidP="00577A64">
      <w:pPr>
        <w:pStyle w:val="CaptionedFigure"/>
      </w:pPr>
      <w:r w:rsidRPr="00C9711D">
        <w:rPr>
          <w:noProof/>
          <w:lang w:val="en-US"/>
        </w:rPr>
        <w:drawing>
          <wp:inline distT="0" distB="0" distL="0" distR="0" wp14:anchorId="07282D87" wp14:editId="2B673D08">
            <wp:extent cx="5334000" cy="2976876"/>
            <wp:effectExtent l="0" t="0" r="0" b="0"/>
            <wp:docPr id="139" name="Picture" descr="Net exports share deviation vs baseline (5-year average)"/>
            <wp:cNvGraphicFramePr/>
            <a:graphic xmlns:a="http://schemas.openxmlformats.org/drawingml/2006/main">
              <a:graphicData uri="http://schemas.openxmlformats.org/drawingml/2006/picture">
                <pic:pic xmlns:pic="http://schemas.openxmlformats.org/drawingml/2006/picture">
                  <pic:nvPicPr>
                    <pic:cNvPr id="140" name="Picture" descr="../figures/Finance_Simulation_Results/Net_Exports_Share_Deviation_vs_Baseline_5Y_Average.png"/>
                    <pic:cNvPicPr>
                      <a:picLocks noChangeAspect="1" noChangeArrowheads="1"/>
                    </pic:cNvPicPr>
                  </pic:nvPicPr>
                  <pic:blipFill>
                    <a:blip r:embed="rId50"/>
                    <a:stretch>
                      <a:fillRect/>
                    </a:stretch>
                  </pic:blipFill>
                  <pic:spPr bwMode="auto">
                    <a:xfrm>
                      <a:off x="0" y="0"/>
                      <a:ext cx="5334000" cy="2976876"/>
                    </a:xfrm>
                    <a:prstGeom prst="rect">
                      <a:avLst/>
                    </a:prstGeom>
                    <a:noFill/>
                    <a:ln w="9525">
                      <a:noFill/>
                      <a:headEnd/>
                      <a:tailEnd/>
                    </a:ln>
                  </pic:spPr>
                </pic:pic>
              </a:graphicData>
            </a:graphic>
          </wp:inline>
        </w:drawing>
      </w:r>
    </w:p>
    <w:p w14:paraId="39168E80" w14:textId="51E74FC9" w:rsidR="001314FA" w:rsidRPr="00C9711D" w:rsidRDefault="00577A64" w:rsidP="00577A64">
      <w:pPr>
        <w:pStyle w:val="Beschriftung"/>
        <w:rPr>
          <w:lang w:val="en-US"/>
        </w:rPr>
      </w:pPr>
      <w:bookmarkStart w:id="482" w:name="_Toc236050735"/>
      <w:r>
        <w:t xml:space="preserve">Figure </w:t>
      </w:r>
      <w:fldSimple w:instr=" SEQ Figure \* ARABIC ">
        <w:r>
          <w:rPr>
            <w:noProof/>
          </w:rPr>
          <w:t>20</w:t>
        </w:r>
      </w:fldSimple>
      <w:r>
        <w:rPr>
          <w:lang w:val="en-US"/>
        </w:rPr>
        <w:t>:</w:t>
      </w:r>
      <w:r w:rsidR="001314FA" w:rsidRPr="00C9711D">
        <w:rPr>
          <w:lang w:val="en-US"/>
        </w:rPr>
        <w:t>Net exports share deviation versus Baseline across green-finance scenarios (5-year average</w:t>
      </w:r>
      <w:del w:id="483"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82"/>
    </w:p>
    <w:p w14:paraId="3165937A"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 in net exports share of GDP (</w:t>
      </w:r>
      <w:r w:rsidRPr="00C9711D">
        <w:rPr>
          <w:rStyle w:val="VerbatimChar"/>
          <w:rFonts w:eastAsiaTheme="minorHAnsi"/>
          <w:lang w:val="en-US"/>
        </w:rPr>
        <w:t>pp of GDP</w:t>
      </w:r>
      <w:r w:rsidRPr="00C9711D">
        <w:rPr>
          <w:lang w:val="en-US"/>
        </w:rPr>
        <w:t>) by 5-year block, summarizing external-balance effects.</w:t>
      </w:r>
    </w:p>
    <w:p w14:paraId="20D77408"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3F388166" w14:textId="77777777" w:rsidR="00577A64" w:rsidRDefault="001314FA" w:rsidP="00577A64">
      <w:pPr>
        <w:pStyle w:val="CaptionedFigure"/>
      </w:pPr>
      <w:r w:rsidRPr="00C9711D">
        <w:rPr>
          <w:noProof/>
          <w:lang w:val="en-US"/>
        </w:rPr>
        <w:lastRenderedPageBreak/>
        <w:drawing>
          <wp:inline distT="0" distB="0" distL="0" distR="0" wp14:anchorId="329D1D18" wp14:editId="5071FC9B">
            <wp:extent cx="5334000" cy="2958542"/>
            <wp:effectExtent l="0" t="0" r="0" b="0"/>
            <wp:docPr id="142" name="Picture" descr="WACC renewables deviation vs baseline (5-year average)"/>
            <wp:cNvGraphicFramePr/>
            <a:graphic xmlns:a="http://schemas.openxmlformats.org/drawingml/2006/main">
              <a:graphicData uri="http://schemas.openxmlformats.org/drawingml/2006/picture">
                <pic:pic xmlns:pic="http://schemas.openxmlformats.org/drawingml/2006/picture">
                  <pic:nvPicPr>
                    <pic:cNvPr id="143" name="Picture" descr="../figures/Finance_Simulation_Results/WACC_Renewables_Deviation_vs_Baseline_5Y_Average.png"/>
                    <pic:cNvPicPr>
                      <a:picLocks noChangeAspect="1" noChangeArrowheads="1"/>
                    </pic:cNvPicPr>
                  </pic:nvPicPr>
                  <pic:blipFill>
                    <a:blip r:embed="rId51"/>
                    <a:stretch>
                      <a:fillRect/>
                    </a:stretch>
                  </pic:blipFill>
                  <pic:spPr bwMode="auto">
                    <a:xfrm>
                      <a:off x="0" y="0"/>
                      <a:ext cx="5334000" cy="2958542"/>
                    </a:xfrm>
                    <a:prstGeom prst="rect">
                      <a:avLst/>
                    </a:prstGeom>
                    <a:noFill/>
                    <a:ln w="9525">
                      <a:noFill/>
                      <a:headEnd/>
                      <a:tailEnd/>
                    </a:ln>
                  </pic:spPr>
                </pic:pic>
              </a:graphicData>
            </a:graphic>
          </wp:inline>
        </w:drawing>
      </w:r>
    </w:p>
    <w:p w14:paraId="34459839" w14:textId="5314117A" w:rsidR="001314FA" w:rsidRPr="00C9711D" w:rsidRDefault="00577A64" w:rsidP="00577A64">
      <w:pPr>
        <w:pStyle w:val="Beschriftung"/>
        <w:rPr>
          <w:lang w:val="en-US"/>
        </w:rPr>
      </w:pPr>
      <w:bookmarkStart w:id="484" w:name="_Toc236050736"/>
      <w:r>
        <w:t xml:space="preserve">Figure </w:t>
      </w:r>
      <w:fldSimple w:instr=" SEQ Figure \* ARABIC ">
        <w:r>
          <w:rPr>
            <w:noProof/>
          </w:rPr>
          <w:t>21</w:t>
        </w:r>
      </w:fldSimple>
      <w:r>
        <w:t xml:space="preserve">: </w:t>
      </w:r>
      <w:r w:rsidR="001314FA" w:rsidRPr="00C9711D">
        <w:rPr>
          <w:lang w:val="en-US"/>
        </w:rPr>
        <w:t>Renewable-energy WACC deviation versus Baseline across green-finance scenarios (5-year average</w:t>
      </w:r>
      <w:del w:id="485" w:author="Heinisch, Katja" w:date="2026-07-27T12:46:00Z" w16du:dateUtc="2026-07-27T10:46:00Z">
        <w:r w:rsidR="001314FA" w:rsidRPr="00C9711D" w:rsidDel="00327FD3">
          <w:rPr>
            <w:lang w:val="en-US"/>
          </w:rPr>
          <w:delText xml:space="preserve"> bar chart</w:delText>
        </w:r>
      </w:del>
      <w:r w:rsidR="001314FA" w:rsidRPr="00C9711D">
        <w:rPr>
          <w:lang w:val="en-US"/>
        </w:rPr>
        <w:t>).</w:t>
      </w:r>
      <w:bookmarkEnd w:id="484"/>
    </w:p>
    <w:p w14:paraId="6CED8A1C"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Note: Bars report average deviations in renewable weighted average cost of capital (percentage points) from Baseline by 5-year block, summarizing the financial-channel intensity of each policy package.</w:t>
      </w:r>
    </w:p>
    <w:p w14:paraId="6FD85858" w14:textId="77777777" w:rsidR="001314FA" w:rsidRPr="00C9711D" w:rsidRDefault="001314FA" w:rsidP="002C3A6E">
      <w:pPr>
        <w:pStyle w:val="IWHKastenQuellen"/>
        <w:pBdr>
          <w:top w:val="none" w:sz="0" w:space="0" w:color="auto"/>
          <w:left w:val="none" w:sz="0" w:space="0" w:color="auto"/>
          <w:bottom w:val="none" w:sz="0" w:space="0" w:color="auto"/>
          <w:right w:val="none" w:sz="0" w:space="0" w:color="auto"/>
        </w:pBdr>
        <w:shd w:val="clear" w:color="auto" w:fill="auto"/>
        <w:rPr>
          <w:lang w:val="en-US"/>
        </w:rPr>
      </w:pPr>
      <w:r w:rsidRPr="00C9711D">
        <w:rPr>
          <w:lang w:val="en-US"/>
        </w:rPr>
        <w:t xml:space="preserve">Source: Generated by </w:t>
      </w:r>
      <w:r w:rsidRPr="00C9711D">
        <w:rPr>
          <w:rStyle w:val="VerbatimChar"/>
          <w:rFonts w:eastAsiaTheme="minorHAnsi"/>
          <w:lang w:val="en-US"/>
        </w:rPr>
        <w:t>scripts/reporting/GenerateFinanceSimulationResultsFigures.m</w:t>
      </w:r>
      <w:r w:rsidRPr="00C9711D">
        <w:rPr>
          <w:lang w:val="en-US"/>
        </w:rPr>
        <w:t xml:space="preserve"> from scenario output CSV files in </w:t>
      </w:r>
      <w:r w:rsidRPr="00C9711D">
        <w:rPr>
          <w:rStyle w:val="VerbatimChar"/>
          <w:rFonts w:eastAsiaTheme="minorHAnsi"/>
          <w:lang w:val="en-US"/>
        </w:rPr>
        <w:t>ExcelFiles/Output/</w:t>
      </w:r>
      <w:r w:rsidRPr="00C9711D">
        <w:rPr>
          <w:lang w:val="en-US"/>
        </w:rPr>
        <w:t>.</w:t>
      </w:r>
    </w:p>
    <w:p w14:paraId="59C211B1" w14:textId="43EF57B4" w:rsidR="001314FA" w:rsidRPr="00C9711D" w:rsidRDefault="001314FA" w:rsidP="001314FA">
      <w:pPr>
        <w:rPr>
          <w:lang w:val="en-US"/>
        </w:rPr>
      </w:pPr>
    </w:p>
    <w:p w14:paraId="052D9888" w14:textId="4E79D088" w:rsidR="001314FA" w:rsidRPr="00C9711D" w:rsidRDefault="001314FA" w:rsidP="00752B43">
      <w:pPr>
        <w:pStyle w:val="berschrift1"/>
        <w:rPr>
          <w:lang w:val="en-US"/>
        </w:rPr>
      </w:pPr>
      <w:bookmarkStart w:id="486" w:name="_Toc235867077"/>
      <w:bookmarkStart w:id="487" w:name="X917a9e9d69098b06ad33813d9c5b77af0bb3ff0"/>
      <w:bookmarkStart w:id="488" w:name="_Toc236050671"/>
      <w:bookmarkEnd w:id="366"/>
      <w:bookmarkEnd w:id="468"/>
      <w:r w:rsidRPr="00C9711D">
        <w:rPr>
          <w:lang w:val="en-US"/>
        </w:rPr>
        <w:t>Limitations, Implementation Risks, and Interpretation Guidance</w:t>
      </w:r>
      <w:bookmarkEnd w:id="486"/>
      <w:bookmarkEnd w:id="488"/>
    </w:p>
    <w:p w14:paraId="41415C18" w14:textId="77777777" w:rsidR="001314FA" w:rsidRPr="001D3462" w:rsidRDefault="00A04CB2" w:rsidP="001314FA">
      <w:pPr>
        <w:pStyle w:val="IWHFlietext"/>
        <w:rPr>
          <w:rFonts w:asciiTheme="majorHAnsi" w:hAnsiTheme="majorHAnsi"/>
          <w:lang w:val="en-US"/>
        </w:rPr>
      </w:pPr>
      <w:ins w:id="489" w:author="Heinisch, Katja" w:date="2026-07-27T09:22:00Z" w16du:dateUtc="2026-07-27T07:22:00Z">
        <w:r w:rsidRPr="00C9711D">
          <w:rPr>
            <w:lang w:val="en-US"/>
          </w:rPr>
          <w:t xml:space="preserve">Like all quantitative policy models, DGE-METRIC provides a simplified representation of a complex economic system. The framework is designed to evaluate the economy-wide implications of alternative energy-transition policies while maintaining internal consistency, computational tractability, and transparency. Consequently, several modelling assumptions should be considered when interpreting the simulation results. </w:t>
        </w:r>
      </w:ins>
      <w:r w:rsidR="001314FA" w:rsidRPr="00C9711D">
        <w:rPr>
          <w:lang w:val="en-US"/>
        </w:rPr>
        <w:t>This section summarizes recurrent implementation risks and interpretation constraints that have caused incorrect results or wasted debugging time in practice. It should be treated as a pr</w:t>
      </w:r>
      <w:r w:rsidR="001314FA" w:rsidRPr="001D3462">
        <w:rPr>
          <w:rFonts w:asciiTheme="majorHAnsi" w:hAnsiTheme="majorHAnsi"/>
          <w:lang w:val="en-US"/>
        </w:rPr>
        <w:t>e-publication quality-control checklist.</w:t>
      </w:r>
    </w:p>
    <w:p w14:paraId="0376D186" w14:textId="77777777" w:rsidR="001314FA" w:rsidRPr="001D3462" w:rsidRDefault="001314FA" w:rsidP="00A5230E">
      <w:pPr>
        <w:pStyle w:val="Compact"/>
        <w:numPr>
          <w:ilvl w:val="0"/>
          <w:numId w:val="6"/>
        </w:numPr>
        <w:rPr>
          <w:rFonts w:asciiTheme="majorHAnsi" w:hAnsiTheme="majorHAnsi"/>
          <w:lang w:val="en-US"/>
        </w:rPr>
      </w:pPr>
      <w:r w:rsidRPr="001D3462">
        <w:rPr>
          <w:rStyle w:val="VerbatimChar"/>
          <w:rFonts w:asciiTheme="majorHAnsi" w:eastAsiaTheme="minorHAnsi" w:hAnsiTheme="majorHAnsi"/>
          <w:b/>
          <w:bCs/>
          <w:lang w:val="en-US"/>
        </w:rPr>
        <w:t>fval_vec_11</w:t>
      </w:r>
      <w:r w:rsidRPr="001D3462">
        <w:rPr>
          <w:rFonts w:asciiTheme="majorHAnsi" w:hAnsiTheme="majorHAnsi"/>
          <w:b/>
          <w:bCs/>
          <w:lang w:val="en-US"/>
        </w:rPr>
        <w:t xml:space="preserve"> is load-bearing.</w:t>
      </w:r>
      <w:r w:rsidRPr="001D3462">
        <w:rPr>
          <w:rFonts w:asciiTheme="majorHAnsi" w:hAnsiTheme="majorHAnsi"/>
          <w:lang w:val="en-US"/>
        </w:rPr>
        <w:t xml:space="preserve"> Never remove it from </w:t>
      </w:r>
      <w:r w:rsidRPr="001D3462">
        <w:rPr>
          <w:rStyle w:val="VerbatimChar"/>
          <w:rFonts w:asciiTheme="majorHAnsi" w:eastAsiaTheme="minorHAnsi" w:hAnsiTheme="majorHAnsi"/>
          <w:lang w:val="en-US"/>
        </w:rPr>
        <w:t>evaluate_capital_steady_state_residuals.m</w:t>
      </w:r>
      <w:r w:rsidRPr="001D3462">
        <w:rPr>
          <w:rFonts w:asciiTheme="majorHAnsi" w:hAnsiTheme="majorHAnsi"/>
          <w:lang w:val="en-US"/>
        </w:rPr>
        <w:t xml:space="preserve"> (§5.2). Deleting it makes the hybrid steady state underdetermined.</w:t>
      </w:r>
    </w:p>
    <w:p w14:paraId="0050BC21" w14:textId="77777777" w:rsidR="001314FA" w:rsidRPr="001D3462"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Energy-efficiency variable shape.</w:t>
      </w:r>
      <w:r w:rsidRPr="001D3462">
        <w:rPr>
          <w:rFonts w:asciiTheme="majorHAnsi" w:hAnsiTheme="majorHAnsi"/>
          <w:lang w:val="en-US"/>
        </w:rPr>
        <w:t xml:space="preserve"> Two shapes exist in this codebase’s history — legacy regional </w:t>
      </w:r>
      <w:r w:rsidRPr="001D3462">
        <w:rPr>
          <w:rStyle w:val="VerbatimChar"/>
          <w:rFonts w:asciiTheme="majorHAnsi" w:eastAsiaTheme="minorHAnsi" w:hAnsiTheme="majorHAnsi"/>
          <w:lang w:val="en-US"/>
        </w:rPr>
        <w:t>EE_1</w:t>
      </w:r>
      <w:r w:rsidRPr="001D3462">
        <w:rPr>
          <w:rFonts w:asciiTheme="majorHAnsi" w:hAnsiTheme="majorHAnsi"/>
          <w:lang w:val="en-US"/>
        </w:rPr>
        <w:t>/</w:t>
      </w:r>
      <w:r w:rsidRPr="001D3462">
        <w:rPr>
          <w:rStyle w:val="VerbatimChar"/>
          <w:rFonts w:asciiTheme="majorHAnsi" w:eastAsiaTheme="minorHAnsi" w:hAnsiTheme="majorHAnsi"/>
          <w:lang w:val="en-US"/>
        </w:rPr>
        <w:t>exo_EE_1</w:t>
      </w:r>
      <w:r w:rsidRPr="001D3462">
        <w:rPr>
          <w:rFonts w:asciiTheme="majorHAnsi" w:hAnsiTheme="majorHAnsi"/>
          <w:lang w:val="en-US"/>
        </w:rPr>
        <w:t xml:space="preserve"> and a sector-specific refactor </w:t>
      </w:r>
      <w:r w:rsidRPr="001D3462">
        <w:rPr>
          <w:rStyle w:val="VerbatimChar"/>
          <w:rFonts w:asciiTheme="majorHAnsi" w:eastAsiaTheme="minorHAnsi" w:hAnsiTheme="majorHAnsi"/>
          <w:lang w:val="en-US"/>
        </w:rPr>
        <w:t>EE_sec_reg</w:t>
      </w:r>
      <w:r w:rsidRPr="001D3462">
        <w:rPr>
          <w:rFonts w:asciiTheme="majorHAnsi" w:hAnsiTheme="majorHAnsi"/>
          <w:lang w:val="en-US"/>
        </w:rPr>
        <w:t>/</w:t>
      </w:r>
      <w:r w:rsidRPr="001D3462">
        <w:rPr>
          <w:rStyle w:val="VerbatimChar"/>
          <w:rFonts w:asciiTheme="majorHAnsi" w:eastAsiaTheme="minorHAnsi" w:hAnsiTheme="majorHAnsi"/>
          <w:lang w:val="en-US"/>
        </w:rPr>
        <w:t>exo_EE_sec_reg</w:t>
      </w:r>
      <w:r w:rsidRPr="001D3462">
        <w:rPr>
          <w:rFonts w:asciiTheme="majorHAnsi" w:hAnsiTheme="majorHAnsi"/>
          <w:lang w:val="en-US"/>
        </w:rPr>
        <w:t xml:space="preserve">. As of this writing, </w:t>
      </w:r>
      <w:r w:rsidRPr="001D3462">
        <w:rPr>
          <w:rFonts w:asciiTheme="majorHAnsi" w:hAnsiTheme="majorHAnsi"/>
          <w:b/>
          <w:bCs/>
          <w:lang w:val="en-US"/>
        </w:rPr>
        <w:t xml:space="preserve">only the legacy regional shape is declared in </w:t>
      </w:r>
      <w:r w:rsidRPr="001D3462">
        <w:rPr>
          <w:rStyle w:val="VerbatimChar"/>
          <w:rFonts w:asciiTheme="majorHAnsi" w:eastAsiaTheme="minorHAnsi" w:hAnsiTheme="majorHAnsi"/>
          <w:b/>
          <w:bCs/>
          <w:lang w:val="en-US"/>
        </w:rPr>
        <w:t>ModFiles/</w:t>
      </w:r>
      <w:r w:rsidRPr="001D3462">
        <w:rPr>
          <w:rFonts w:asciiTheme="majorHAnsi" w:hAnsiTheme="majorHAnsi"/>
          <w:b/>
          <w:bCs/>
          <w:lang w:val="en-US"/>
        </w:rPr>
        <w:t>.</w:t>
      </w:r>
      <w:r w:rsidRPr="001D3462">
        <w:rPr>
          <w:rFonts w:asciiTheme="majorHAnsi" w:hAnsiTheme="majorHAnsi"/>
          <w:lang w:val="en-US"/>
        </w:rPr>
        <w:t xml:space="preserve"> Confirm with </w:t>
      </w:r>
      <w:r w:rsidRPr="001D3462">
        <w:rPr>
          <w:rStyle w:val="VerbatimChar"/>
          <w:rFonts w:asciiTheme="majorHAnsi" w:eastAsiaTheme="minorHAnsi" w:hAnsiTheme="majorHAnsi"/>
          <w:lang w:val="en-US"/>
        </w:rPr>
        <w:t>git grep -n "EE_.*_1"</w:t>
      </w:r>
      <w:r w:rsidRPr="001D3462">
        <w:rPr>
          <w:rFonts w:asciiTheme="majorHAnsi" w:hAnsiTheme="majorHAnsi"/>
          <w:lang w:val="en-US"/>
        </w:rPr>
        <w:t xml:space="preserve"> in </w:t>
      </w:r>
      <w:r w:rsidRPr="001D3462">
        <w:rPr>
          <w:rStyle w:val="VerbatimChar"/>
          <w:rFonts w:asciiTheme="majorHAnsi" w:eastAsiaTheme="minorHAnsi" w:hAnsiTheme="majorHAnsi"/>
          <w:lang w:val="en-US"/>
        </w:rPr>
        <w:t>ModFiles/</w:t>
      </w:r>
      <w:r w:rsidRPr="001D3462">
        <w:rPr>
          <w:rFonts w:asciiTheme="majorHAnsi" w:hAnsiTheme="majorHAnsi"/>
          <w:lang w:val="en-US"/>
        </w:rPr>
        <w:t xml:space="preserve"> before writing code that assumes either shape.</w:t>
      </w:r>
    </w:p>
    <w:p w14:paraId="344DE52D" w14:textId="169DD51D" w:rsidR="001314FA" w:rsidRPr="001D3462"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Perfect-foresight singularity under direct capital targeting.</w:t>
      </w:r>
      <w:r w:rsidRPr="001D3462">
        <w:rPr>
          <w:rFonts w:asciiTheme="majorHAnsi" w:hAnsiTheme="majorHAnsi"/>
          <w:lang w:val="en-US"/>
        </w:rPr>
        <w:t xml:space="preserve"> Pinning total sector capital </w:t>
      </w:r>
      <w:r w:rsidRPr="001D3462">
        <w:rPr>
          <w:rStyle w:val="VerbatimChar"/>
          <w:rFonts w:asciiTheme="majorHAnsi" w:eastAsiaTheme="minorHAnsi" w:hAnsiTheme="majorHAnsi"/>
          <w:lang w:val="en-US"/>
        </w:rPr>
        <w:t>K_t</w:t>
      </w:r>
      <w:r w:rsidRPr="001D3462">
        <w:rPr>
          <w:rFonts w:asciiTheme="majorHAnsi" w:hAnsiTheme="majorHAnsi"/>
          <w:lang w:val="en-US"/>
        </w:rPr>
        <w:t xml:space="preserve"> directly via a Dynare equation while the household Euler equation for </w:t>
      </w:r>
      <w:r w:rsidRPr="001D3462">
        <w:rPr>
          <w:rStyle w:val="VerbatimChar"/>
          <w:rFonts w:asciiTheme="majorHAnsi" w:eastAsiaTheme="minorHAnsi" w:hAnsiTheme="majorHAnsi"/>
          <w:lang w:val="en-US"/>
        </w:rPr>
        <w:t>I_(H,t)</w:t>
      </w:r>
      <w:r w:rsidRPr="001D3462">
        <w:rPr>
          <w:rFonts w:asciiTheme="majorHAnsi" w:hAnsiTheme="majorHAnsi"/>
          <w:lang w:val="en-US"/>
        </w:rPr>
        <w:t xml:space="preserve"> remains active produces a rank-deficient Jacobian (the Euler equation loses its degree of freedom once </w:t>
      </w:r>
      <w:r w:rsidRPr="001D3462">
        <w:rPr>
          <w:rStyle w:val="VerbatimChar"/>
          <w:rFonts w:asciiTheme="majorHAnsi" w:eastAsiaTheme="minorHAnsi" w:hAnsiTheme="majorHAnsi"/>
          <w:lang w:val="en-US"/>
        </w:rPr>
        <w:t>K_t = K_(H,t)+K_(G,t)+K_(FDI,t)</w:t>
      </w:r>
      <w:r w:rsidRPr="001D3462">
        <w:rPr>
          <w:rFonts w:asciiTheme="majorHAnsi" w:hAnsiTheme="majorHAnsi"/>
          <w:lang w:val="en-US"/>
        </w:rPr>
        <w:t xml:space="preserve"> is fixed and </w:t>
      </w:r>
      <w:r w:rsidRPr="001D3462">
        <w:rPr>
          <w:rStyle w:val="VerbatimChar"/>
          <w:rFonts w:asciiTheme="majorHAnsi" w:eastAsiaTheme="minorHAnsi" w:hAnsiTheme="majorHAnsi"/>
          <w:lang w:val="en-US"/>
        </w:rPr>
        <w:t>K_(G,t)</w:t>
      </w:r>
      <w:r w:rsidRPr="001D3462">
        <w:rPr>
          <w:rFonts w:asciiTheme="majorHAnsi" w:hAnsiTheme="majorHAnsi"/>
          <w:lang w:val="en-US"/>
        </w:rPr>
        <w:t xml:space="preserve"> is predetermined). The working pattern is to pin the </w:t>
      </w:r>
      <w:r w:rsidRPr="001D3462">
        <w:rPr>
          <w:rFonts w:asciiTheme="majorHAnsi" w:hAnsiTheme="majorHAnsi"/>
          <w:i/>
          <w:iCs/>
          <w:lang w:val="en-US"/>
        </w:rPr>
        <w:t>flow</w:t>
      </w:r>
      <w:r w:rsidRPr="001D3462">
        <w:rPr>
          <w:rFonts w:asciiTheme="majorHAnsi" w:hAnsiTheme="majorHAnsi"/>
          <w:lang w:val="en-US"/>
        </w:rPr>
        <w:t xml:space="preserve"> (insert a wedge into the Euler equation via </w:t>
      </w:r>
      <w:r w:rsidRPr="001D3462">
        <w:rPr>
          <w:rStyle w:val="VerbatimChar"/>
          <w:rFonts w:asciiTheme="majorHAnsi" w:eastAsiaTheme="minorHAnsi" w:hAnsiTheme="majorHAnsi"/>
          <w:lang w:val="en-US"/>
        </w:rPr>
        <w:t>exo_lTargetInv</w:t>
      </w:r>
      <w:r w:rsidRPr="001D3462">
        <w:rPr>
          <w:rFonts w:asciiTheme="majorHAnsi" w:hAnsiTheme="majorHAnsi"/>
          <w:lang w:val="en-US"/>
        </w:rPr>
        <w:t>/</w:t>
      </w:r>
      <w:r w:rsidRPr="001D3462">
        <w:rPr>
          <w:rStyle w:val="VerbatimChar"/>
          <w:rFonts w:asciiTheme="majorHAnsi" w:eastAsiaTheme="minorHAnsi" w:hAnsiTheme="majorHAnsi"/>
          <w:lang w:val="en-US"/>
        </w:rPr>
        <w:t>wedgeKE</w:t>
      </w:r>
      <w:r w:rsidRPr="001D3462">
        <w:rPr>
          <w:rFonts w:asciiTheme="majorHAnsi" w:hAnsiTheme="majorHAnsi"/>
          <w:lang w:val="en-US"/>
        </w:rPr>
        <w:t xml:space="preserve">) and let the stock </w:t>
      </w:r>
      <w:r w:rsidRPr="001D3462">
        <w:rPr>
          <w:rFonts w:asciiTheme="majorHAnsi" w:hAnsiTheme="majorHAnsi"/>
          <w:lang w:val="en-US"/>
        </w:rPr>
        <w:lastRenderedPageBreak/>
        <w:t xml:space="preserve">follow from the law of motion, not to pin the stock directly. See </w:t>
      </w:r>
      <w:hyperlink r:id="rId52">
        <w:r w:rsidRPr="001D3462">
          <w:rPr>
            <w:rStyle w:val="Hyperlink"/>
            <w:rFonts w:asciiTheme="majorHAnsi" w:hAnsiTheme="majorHAnsi"/>
            <w:lang w:val="en-US"/>
          </w:rPr>
          <w:t>implementation_plans/capital_targeting_trial_and_error.md</w:t>
        </w:r>
      </w:hyperlink>
      <w:r w:rsidRPr="001D3462">
        <w:rPr>
          <w:rFonts w:asciiTheme="majorHAnsi" w:hAnsiTheme="majorHAnsi"/>
          <w:lang w:val="en-US"/>
        </w:rPr>
        <w:t>.</w:t>
      </w:r>
    </w:p>
    <w:p w14:paraId="2B5DC91D" w14:textId="77777777" w:rsidR="001314FA" w:rsidRPr="001D3462"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Code defaults vs. active calibration can diverge by orders of magnitude</w:t>
      </w:r>
      <w:r w:rsidRPr="001D3462">
        <w:rPr>
          <w:rFonts w:asciiTheme="majorHAnsi" w:hAnsiTheme="majorHAnsi"/>
          <w:lang w:val="en-US"/>
        </w:rPr>
        <w:t xml:space="preserve"> (§4.4) — always confirm the workbook actually loaded for a given run before citing a structural parameter value.</w:t>
      </w:r>
    </w:p>
    <w:p w14:paraId="47F936A0" w14:textId="77777777" w:rsidR="001314FA" w:rsidRPr="001D3462"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Generated code is not source.</w:t>
      </w:r>
      <w:r w:rsidRPr="001D3462">
        <w:rPr>
          <w:rFonts w:asciiTheme="majorHAnsi" w:hAnsiTheme="majorHAnsi"/>
          <w:lang w:val="en-US"/>
        </w:rPr>
        <w:t xml:space="preserve"> </w:t>
      </w:r>
      <w:r w:rsidRPr="001D3462">
        <w:rPr>
          <w:rStyle w:val="VerbatimChar"/>
          <w:rFonts w:asciiTheme="majorHAnsi" w:eastAsiaTheme="minorHAnsi" w:hAnsiTheme="majorHAnsi"/>
          <w:lang w:val="en-US"/>
        </w:rPr>
        <w:t>+DGE_Model/</w:t>
      </w:r>
      <w:r w:rsidRPr="001D3462">
        <w:rPr>
          <w:rFonts w:asciiTheme="majorHAnsi" w:hAnsiTheme="majorHAnsi"/>
          <w:lang w:val="en-US"/>
        </w:rPr>
        <w:t xml:space="preserve">, </w:t>
      </w:r>
      <w:r w:rsidRPr="001D3462">
        <w:rPr>
          <w:rStyle w:val="VerbatimChar"/>
          <w:rFonts w:asciiTheme="majorHAnsi" w:eastAsiaTheme="minorHAnsi" w:hAnsiTheme="majorHAnsi"/>
          <w:lang w:val="en-US"/>
        </w:rPr>
        <w:t>DGE_Model/</w:t>
      </w:r>
      <w:r w:rsidRPr="001D3462">
        <w:rPr>
          <w:rFonts w:asciiTheme="majorHAnsi" w:hAnsiTheme="majorHAnsi"/>
          <w:lang w:val="en-US"/>
        </w:rPr>
        <w:t xml:space="preserve">, </w:t>
      </w:r>
      <w:r w:rsidRPr="001D3462">
        <w:rPr>
          <w:rStyle w:val="VerbatimChar"/>
          <w:rFonts w:asciiTheme="majorHAnsi" w:eastAsiaTheme="minorHAnsi" w:hAnsiTheme="majorHAnsi"/>
          <w:lang w:val="en-US"/>
        </w:rPr>
        <w:t>*_dynamic.m</w:t>
      </w:r>
      <w:r w:rsidRPr="001D3462">
        <w:rPr>
          <w:rFonts w:asciiTheme="majorHAnsi" w:hAnsiTheme="majorHAnsi"/>
          <w:lang w:val="en-US"/>
        </w:rPr>
        <w:t xml:space="preserve">, </w:t>
      </w:r>
      <w:r w:rsidRPr="001D3462">
        <w:rPr>
          <w:rStyle w:val="VerbatimChar"/>
          <w:rFonts w:asciiTheme="majorHAnsi" w:eastAsiaTheme="minorHAnsi" w:hAnsiTheme="majorHAnsi"/>
          <w:lang w:val="en-US"/>
        </w:rPr>
        <w:t>*_static.m</w:t>
      </w:r>
      <w:r w:rsidRPr="001D3462">
        <w:rPr>
          <w:rFonts w:asciiTheme="majorHAnsi" w:hAnsiTheme="majorHAnsi"/>
          <w:lang w:val="en-US"/>
        </w:rPr>
        <w:t xml:space="preserve"> are rebuilt by Dynare on every invocation. Never hand-edit them; the fix belongs in the </w:t>
      </w:r>
      <w:r w:rsidRPr="001D3462">
        <w:rPr>
          <w:rStyle w:val="VerbatimChar"/>
          <w:rFonts w:asciiTheme="majorHAnsi" w:eastAsiaTheme="minorHAnsi" w:hAnsiTheme="majorHAnsi"/>
          <w:lang w:val="en-US"/>
        </w:rPr>
        <w:t>.mod</w:t>
      </w:r>
      <w:r w:rsidRPr="001D3462">
        <w:rPr>
          <w:rFonts w:asciiTheme="majorHAnsi" w:hAnsiTheme="majorHAnsi"/>
          <w:lang w:val="en-US"/>
        </w:rPr>
        <w:t xml:space="preserve"> source.</w:t>
      </w:r>
    </w:p>
    <w:p w14:paraId="61C618C3" w14:textId="77777777" w:rsidR="00C70881" w:rsidRPr="001D3462" w:rsidRDefault="00A5230E" w:rsidP="00A5230E">
      <w:pPr>
        <w:pStyle w:val="Compact"/>
        <w:numPr>
          <w:ilvl w:val="0"/>
          <w:numId w:val="4"/>
        </w:numPr>
        <w:spacing w:line="240" w:lineRule="auto"/>
        <w:rPr>
          <w:ins w:id="490" w:author="Heinisch, Katja" w:date="2026-07-27T09:22:00Z" w16du:dateUtc="2026-07-27T07:22:00Z"/>
          <w:rFonts w:asciiTheme="majorHAnsi" w:hAnsiTheme="majorHAnsi"/>
          <w:lang w:val="en-US"/>
        </w:rPr>
      </w:pPr>
      <w:ins w:id="491" w:author="Heinisch, Katja" w:date="2026-07-27T09:22:00Z" w16du:dateUtc="2026-07-27T07:22:00Z">
        <w:r w:rsidRPr="001D3462">
          <w:rPr>
            <w:rFonts w:asciiTheme="majorHAnsi" w:hAnsiTheme="majorHAnsi"/>
            <w:b/>
            <w:bCs/>
            <w:lang w:val="en-US"/>
          </w:rPr>
          <w:t>Scenario “existing” ≠ scenario “running by default”</w:t>
        </w:r>
        <w:r w:rsidRPr="001D3462">
          <w:rPr>
            <w:rFonts w:asciiTheme="majorHAnsi" w:hAnsiTheme="majorHAnsi"/>
            <w:lang w:val="en-US"/>
          </w:rPr>
          <w:t xml:space="preserve"> (§6.4). Many scenario names in </w:t>
        </w:r>
        <w:r w:rsidRPr="001D3462">
          <w:rPr>
            <w:rStyle w:val="VerbatimChar"/>
            <w:rFonts w:asciiTheme="majorHAnsi" w:eastAsiaTheme="minorHAnsi" w:hAnsiTheme="majorHAnsi"/>
            <w:lang w:val="en-US"/>
          </w:rPr>
          <w:t>RunSimulations.m</w:t>
        </w:r>
        <w:r w:rsidRPr="001D3462">
          <w:rPr>
            <w:rFonts w:asciiTheme="majorHAnsi" w:hAnsiTheme="majorHAnsi"/>
            <w:lang w:val="en-US"/>
          </w:rPr>
          <w:t xml:space="preserve"> are commented out or excluded from </w:t>
        </w:r>
        <w:r w:rsidRPr="001D3462">
          <w:rPr>
            <w:rStyle w:val="VerbatimChar"/>
            <w:rFonts w:asciiTheme="majorHAnsi" w:eastAsiaTheme="minorHAnsi" w:hAnsiTheme="majorHAnsi"/>
            <w:lang w:val="en-US"/>
          </w:rPr>
          <w:t>activeScenarioGroups</w:t>
        </w:r>
        <w:r w:rsidRPr="001D3462">
          <w:rPr>
            <w:rFonts w:asciiTheme="majorHAnsi" w:hAnsiTheme="majorHAnsi"/>
            <w:lang w:val="en-US"/>
          </w:rPr>
          <w:t xml:space="preserve">; check before assuming a cited figure is reproducible from a plain </w:t>
        </w:r>
        <w:r w:rsidRPr="001D3462">
          <w:rPr>
            <w:rStyle w:val="VerbatimChar"/>
            <w:rFonts w:asciiTheme="majorHAnsi" w:eastAsiaTheme="minorHAnsi" w:hAnsiTheme="majorHAnsi"/>
            <w:lang w:val="en-US"/>
          </w:rPr>
          <w:t>RunSimulations</w:t>
        </w:r>
        <w:r w:rsidRPr="001D3462">
          <w:rPr>
            <w:rFonts w:asciiTheme="majorHAnsi" w:hAnsiTheme="majorHAnsi"/>
            <w:lang w:val="en-US"/>
          </w:rPr>
          <w:t xml:space="preserve"> call.</w:t>
        </w:r>
      </w:ins>
    </w:p>
    <w:p w14:paraId="3EB170D7" w14:textId="77777777" w:rsidR="001314FA" w:rsidRPr="001D3462"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What the model does not do</w:t>
      </w:r>
      <w:r w:rsidRPr="001D3462">
        <w:rPr>
          <w:rFonts w:asciiTheme="majorHAnsi" w:hAnsiTheme="majorHAnsi"/>
          <w:lang w:val="en-US"/>
        </w:rPr>
        <w:t xml:space="preserve"> (§2.2): no plant-level dispatch, no endogenous technology learning curves, no sub-national regions, no explicit financial-instrument balance sheets.</w:t>
      </w:r>
    </w:p>
    <w:p w14:paraId="3842C458" w14:textId="77777777" w:rsidR="001314FA" w:rsidRDefault="001314FA" w:rsidP="00A5230E">
      <w:pPr>
        <w:pStyle w:val="Compact"/>
        <w:numPr>
          <w:ilvl w:val="0"/>
          <w:numId w:val="6"/>
        </w:numPr>
        <w:rPr>
          <w:rFonts w:asciiTheme="majorHAnsi" w:hAnsiTheme="majorHAnsi"/>
          <w:lang w:val="en-US"/>
        </w:rPr>
      </w:pPr>
      <w:r w:rsidRPr="001D3462">
        <w:rPr>
          <w:rFonts w:asciiTheme="majorHAnsi" w:hAnsiTheme="majorHAnsi"/>
          <w:b/>
          <w:bCs/>
          <w:lang w:val="en-US"/>
        </w:rPr>
        <w:t xml:space="preserve">The exchange-rate variable </w:t>
      </w:r>
      <w:r w:rsidRPr="001D3462">
        <w:rPr>
          <w:rStyle w:val="VerbatimChar"/>
          <w:rFonts w:asciiTheme="majorHAnsi" w:eastAsiaTheme="minorHAnsi" w:hAnsiTheme="majorHAnsi"/>
          <w:b/>
          <w:bCs/>
          <w:lang w:val="en-US"/>
        </w:rPr>
        <w:t>s_reg</w:t>
      </w:r>
      <w:r w:rsidRPr="001D3462">
        <w:rPr>
          <w:rFonts w:asciiTheme="majorHAnsi" w:hAnsiTheme="majorHAnsi"/>
          <w:b/>
          <w:bCs/>
          <w:lang w:val="en-US"/>
        </w:rPr>
        <w:t xml:space="preserve"> is a closure device, not a full UIP nominal exchange rate</w:t>
      </w:r>
      <w:r w:rsidRPr="001D3462">
        <w:rPr>
          <w:rFonts w:asciiTheme="majorHAnsi" w:hAnsiTheme="majorHAnsi"/>
          <w:lang w:val="en-US"/>
        </w:rPr>
        <w:t xml:space="preserve"> (§3.7) — do not interpret its dynamics as a conventional exchange-rate block.</w:t>
      </w:r>
    </w:p>
    <w:p w14:paraId="521D209A" w14:textId="77777777" w:rsidR="00577A64" w:rsidRPr="001D3462" w:rsidRDefault="00577A64" w:rsidP="00577A64">
      <w:pPr>
        <w:pStyle w:val="Compact"/>
        <w:ind w:left="720"/>
        <w:rPr>
          <w:rFonts w:asciiTheme="majorHAnsi" w:hAnsiTheme="majorHAnsi"/>
          <w:lang w:val="en-US"/>
        </w:rPr>
      </w:pPr>
    </w:p>
    <w:p w14:paraId="01C9BA63" w14:textId="77777777" w:rsidR="001314FA" w:rsidRPr="00C9711D" w:rsidRDefault="001314FA" w:rsidP="00752B43">
      <w:pPr>
        <w:pStyle w:val="berschrift1"/>
        <w:rPr>
          <w:lang w:val="en-US"/>
        </w:rPr>
      </w:pPr>
      <w:bookmarkStart w:id="492" w:name="_Toc235867078"/>
      <w:bookmarkStart w:id="493" w:name="conclusion"/>
      <w:bookmarkStart w:id="494" w:name="_Toc236050672"/>
      <w:bookmarkEnd w:id="487"/>
      <w:r w:rsidRPr="00C9711D">
        <w:rPr>
          <w:lang w:val="en-US"/>
        </w:rPr>
        <w:t>Conclusion</w:t>
      </w:r>
      <w:bookmarkEnd w:id="492"/>
      <w:bookmarkEnd w:id="494"/>
    </w:p>
    <w:p w14:paraId="17DF1432" w14:textId="77777777" w:rsidR="00A04CB2" w:rsidRPr="00C9711D" w:rsidRDefault="00A04CB2" w:rsidP="00C9711D">
      <w:pPr>
        <w:pStyle w:val="IWHFlietext"/>
        <w:rPr>
          <w:ins w:id="495" w:author="Heinisch, Katja" w:date="2026-07-27T09:22:00Z" w16du:dateUtc="2026-07-27T07:22:00Z"/>
          <w:lang w:val="en-US"/>
        </w:rPr>
      </w:pPr>
      <w:ins w:id="496" w:author="Heinisch, Katja" w:date="2026-07-27T09:22:00Z" w16du:dateUtc="2026-07-27T07:22:00Z">
        <w:r w:rsidRPr="00C9711D">
          <w:rPr>
            <w:lang w:val="en-US"/>
          </w:rPr>
          <w:t xml:space="preserve">This report has presented </w:t>
        </w:r>
        <w:r w:rsidRPr="00C9711D">
          <w:rPr>
            <w:b/>
            <w:bCs/>
            <w:lang w:val="en-US"/>
          </w:rPr>
          <w:t>DGE-METRIC</w:t>
        </w:r>
        <w:r w:rsidRPr="00C9711D">
          <w:rPr>
            <w:lang w:val="en-US"/>
          </w:rPr>
          <w:t>, a dynamic general equilibrium framework developed to analyse the macroeconomic implications of Vietnam's long-term energy transition. The model integrates detailed representations of the energy sector within a forward-looking economic framework, enabling consistent evaluation of interactions among energy investment, production, household welfare, public finances, international trade, and greenhouse gas emissions. The modular architecture combines a transparent calibration methodology, deterministic perfect-foresight solution framework, and flexible scenario design to provide a reproducible platform for policy analysis.</w:t>
        </w:r>
      </w:ins>
    </w:p>
    <w:p w14:paraId="7B2B6FE6" w14:textId="77777777" w:rsidR="00A04CB2" w:rsidRPr="00C9711D" w:rsidRDefault="00A04CB2" w:rsidP="00C9711D">
      <w:pPr>
        <w:pStyle w:val="IWHFlietext"/>
        <w:rPr>
          <w:ins w:id="497" w:author="Heinisch, Katja" w:date="2026-07-27T09:22:00Z" w16du:dateUtc="2026-07-27T07:22:00Z"/>
          <w:lang w:val="en-US"/>
        </w:rPr>
      </w:pPr>
      <w:ins w:id="498" w:author="Heinisch, Katja" w:date="2026-07-27T09:22:00Z" w16du:dateUtc="2026-07-27T07:22:00Z">
        <w:r w:rsidRPr="00C9711D">
          <w:rPr>
            <w:lang w:val="en-US"/>
          </w:rPr>
          <w:t>The report has demonstrated the application of DGE-METRIC through a structured suite of policy scenarios, including the revised Power Development Plan VIII baseline, Net-Zero transition pathways, energy-efficiency policies, and green-finance interventions represented as reduced-form changes in the cost of capital. The nested scenario framework enables both comparison of alternative policy packages and decomposition of the principal economic adjustment mechanisms, allowing policymakers to distinguish the contributions of emissions constraints, technological improvements, and financing conditions to long-term economic outcomes.</w:t>
        </w:r>
      </w:ins>
    </w:p>
    <w:p w14:paraId="79069C99" w14:textId="77777777" w:rsidR="00A04CB2" w:rsidRPr="00C9711D" w:rsidRDefault="00A04CB2" w:rsidP="00C9711D">
      <w:pPr>
        <w:pStyle w:val="IWHFlietext"/>
        <w:rPr>
          <w:ins w:id="499" w:author="Heinisch, Katja" w:date="2026-07-27T09:22:00Z" w16du:dateUtc="2026-07-27T07:22:00Z"/>
          <w:lang w:val="en-US"/>
        </w:rPr>
      </w:pPr>
      <w:ins w:id="500" w:author="Heinisch, Katja" w:date="2026-07-27T09:22:00Z" w16du:dateUtc="2026-07-27T07:22:00Z">
        <w:r w:rsidRPr="00C9711D">
          <w:rPr>
            <w:lang w:val="en-US"/>
          </w:rPr>
          <w:t xml:space="preserve">Although the model abstracts from many engineering, financial, and institutional details, these simplifications are intentional. DGE-METRIC is designed to complement, rather than replace, engineering and sector-specific models by providing an economy-wide perspective on the consequences of energy-transition policies. Its principal strength lies in capturing the interactions between the energy sector and the broader economy within a consistent general equilibrium framework, thereby supporting evidence-based assessment of alternative policy pathways. </w:t>
        </w:r>
      </w:ins>
    </w:p>
    <w:p w14:paraId="608ED809" w14:textId="77777777" w:rsidR="005F674A" w:rsidRDefault="00A04CB2" w:rsidP="00577A64">
      <w:pPr>
        <w:pStyle w:val="IWHFlietext"/>
        <w:rPr>
          <w:lang w:val="en-US"/>
        </w:rPr>
      </w:pPr>
      <w:ins w:id="501" w:author="Heinisch, Katja" w:date="2026-07-27T09:22:00Z" w16du:dateUtc="2026-07-27T07:22:00Z">
        <w:r w:rsidRPr="00C9711D">
          <w:rPr>
            <w:lang w:val="en-US"/>
          </w:rPr>
          <w:t xml:space="preserve">While developed for Vietnam, the methodological architecture of DGE-METRIC is not country specific. </w:t>
        </w:r>
        <w:r w:rsidRPr="00577A64">
          <w:rPr>
            <w:lang w:val="en-US"/>
          </w:rPr>
          <w:t>The</w:t>
        </w:r>
        <w:r w:rsidRPr="00C9711D">
          <w:rPr>
            <w:lang w:val="en-US"/>
          </w:rPr>
          <w:t xml:space="preserve"> framework has been designed to support continued development as new data and policy priorities emerge. Future enhancements may include greater sectoral and regional detail, stochastic analysis, endogenous technological learning, and closer integration with engineering-based energy-</w:t>
        </w:r>
        <w:r w:rsidRPr="00577A64">
          <w:rPr>
            <w:lang w:val="en-US"/>
          </w:rPr>
          <w:t>system</w:t>
        </w:r>
        <w:r w:rsidRPr="00C9711D">
          <w:rPr>
            <w:lang w:val="en-US"/>
          </w:rPr>
          <w:t xml:space="preserve"> </w:t>
        </w:r>
        <w:r w:rsidRPr="00C9711D">
          <w:rPr>
            <w:lang w:val="en-US"/>
          </w:rPr>
          <w:lastRenderedPageBreak/>
          <w:t>models. As Vietnam advances towards its long-term climate and development objectives, DGE-METRIC provides a transparent, extensible, and reproducible analytical platform for evaluating the macroeconomic implications of energy-transition policies and informing evidence-based decision-making.</w:t>
        </w:r>
      </w:ins>
    </w:p>
    <w:p w14:paraId="3E29C0EC" w14:textId="77777777" w:rsidR="00577A64" w:rsidRDefault="00577A64" w:rsidP="00577A64">
      <w:pPr>
        <w:pStyle w:val="IWHFlietext"/>
        <w:rPr>
          <w:lang w:val="en-US"/>
        </w:rPr>
      </w:pPr>
    </w:p>
    <w:p w14:paraId="5057BA54" w14:textId="77777777" w:rsidR="00577A64" w:rsidRPr="00C9711D" w:rsidRDefault="00577A64" w:rsidP="00752B43">
      <w:pPr>
        <w:pStyle w:val="berschrift1"/>
        <w:numPr>
          <w:ilvl w:val="0"/>
          <w:numId w:val="0"/>
        </w:numPr>
        <w:rPr>
          <w:del w:id="502" w:author="Heinisch, Katja" w:date="2026-07-27T09:22:00Z" w16du:dateUtc="2026-07-27T07:22:00Z"/>
          <w:lang w:val="en-US"/>
        </w:rPr>
      </w:pPr>
    </w:p>
    <w:p w14:paraId="1998683A" w14:textId="77777777" w:rsidR="005F674A" w:rsidRPr="00C9711D" w:rsidRDefault="005F674A" w:rsidP="00752B43">
      <w:pPr>
        <w:pStyle w:val="berschrift1"/>
        <w:rPr>
          <w:lang w:val="en-US"/>
        </w:rPr>
      </w:pPr>
      <w:bookmarkStart w:id="503" w:name="the"/>
      <w:bookmarkStart w:id="504" w:name="_Toc236050673"/>
      <w:bookmarkEnd w:id="493"/>
      <w:r w:rsidRPr="00C9711D">
        <w:rPr>
          <w:lang w:val="en-US"/>
        </w:rPr>
        <w:t>References</w:t>
      </w:r>
      <w:bookmarkEnd w:id="504"/>
    </w:p>
    <w:p w14:paraId="392217F2" w14:textId="77777777" w:rsidR="001314FA" w:rsidRPr="00C9711D" w:rsidRDefault="001314FA" w:rsidP="005F674A">
      <w:pPr>
        <w:pStyle w:val="IWHFlietext"/>
        <w:rPr>
          <w:lang w:val="en-US"/>
        </w:rPr>
      </w:pPr>
      <w:bookmarkStart w:id="505" w:name="references"/>
      <w:bookmarkEnd w:id="503"/>
      <w:r w:rsidRPr="00C9711D">
        <w:rPr>
          <w:lang w:val="en-US"/>
        </w:rPr>
        <w:t>CITATION.cff (this repository) — canonical citation for the model: Schult, C. (2026). DGE-METRIC: Dynamic General Equilibrium for Macroeconomic Energy Transition Incorporating Carbon Markets. Halle Institute for Economic Research (IWH). https://github.com/schultkr/DGE-METRIC</w:t>
      </w:r>
    </w:p>
    <w:p w14:paraId="6BFD6652" w14:textId="77777777" w:rsidR="001314FA" w:rsidRPr="00C9711D" w:rsidRDefault="001314FA" w:rsidP="005F674A">
      <w:pPr>
        <w:pStyle w:val="IWHFlietext"/>
        <w:rPr>
          <w:lang w:val="en-US"/>
        </w:rPr>
      </w:pPr>
      <w:r w:rsidRPr="00C9711D">
        <w:rPr>
          <w:i/>
          <w:iCs/>
          <w:lang w:val="en-US"/>
        </w:rPr>
        <w:t xml:space="preserve">Schult, C. et al. (2025). </w:t>
      </w:r>
      <w:r w:rsidRPr="00C9711D">
        <w:rPr>
          <w:lang w:val="en-US"/>
        </w:rPr>
        <w:t>Investment Needs Assessment for Vietnam’s Energy Transition. IWH Policy Note. GIZ project “Support for Carbon Pricing and Green Finance in Vietnam.”</w:t>
      </w:r>
    </w:p>
    <w:p w14:paraId="734B3599" w14:textId="77777777" w:rsidR="001314FA" w:rsidRPr="00C9711D" w:rsidRDefault="001314FA" w:rsidP="005F674A">
      <w:pPr>
        <w:pStyle w:val="IWHFlietext"/>
        <w:rPr>
          <w:lang w:val="en-US"/>
        </w:rPr>
      </w:pPr>
      <w:r w:rsidRPr="00C9711D">
        <w:rPr>
          <w:i/>
          <w:iCs/>
          <w:lang w:val="en-US"/>
        </w:rPr>
        <w:t>Schult, C. et al. (2025)</w:t>
      </w:r>
      <w:r w:rsidRPr="00C9711D">
        <w:rPr>
          <w:lang w:val="en-US"/>
        </w:rPr>
        <w:t>. Financial Assessment Report: Green Finance Instruments for Vietnam’s PDP8. IWH Policy Note. GIZ project “Support for Carbon Pricing and Green Finance in Vietnam.”</w:t>
      </w:r>
    </w:p>
    <w:p w14:paraId="2754184F" w14:textId="77777777" w:rsidR="001314FA" w:rsidRPr="00C9711D" w:rsidRDefault="001314FA" w:rsidP="005F674A">
      <w:pPr>
        <w:pStyle w:val="IWHFlietext"/>
        <w:rPr>
          <w:lang w:val="en-US"/>
        </w:rPr>
      </w:pPr>
      <w:r w:rsidRPr="00C9711D">
        <w:rPr>
          <w:i/>
          <w:iCs/>
          <w:lang w:val="en-US"/>
        </w:rPr>
        <w:t>Vietnam Government</w:t>
      </w:r>
      <w:r w:rsidRPr="00C9711D">
        <w:rPr>
          <w:lang w:val="en-US"/>
        </w:rPr>
        <w:t>, Decision 500/QD-TTg (2023). Power Development Plan 8 (PDP8).</w:t>
      </w:r>
    </w:p>
    <w:p w14:paraId="60354D90" w14:textId="77777777" w:rsidR="001314FA" w:rsidRPr="00C9711D" w:rsidRDefault="001314FA" w:rsidP="005F674A">
      <w:pPr>
        <w:pStyle w:val="IWHFlietext"/>
        <w:rPr>
          <w:lang w:val="en-US"/>
        </w:rPr>
      </w:pPr>
      <w:r w:rsidRPr="00C9711D">
        <w:rPr>
          <w:i/>
          <w:iCs/>
          <w:lang w:val="en-US"/>
        </w:rPr>
        <w:t>General Statistics Office of Vietnam (NSO)</w:t>
      </w:r>
      <w:r w:rsidRPr="00C9711D">
        <w:rPr>
          <w:lang w:val="en-US"/>
        </w:rPr>
        <w:t>. Input-Output Table 2019.</w:t>
      </w:r>
    </w:p>
    <w:p w14:paraId="77ED765C" w14:textId="77777777" w:rsidR="001314FA" w:rsidRPr="00C9711D" w:rsidRDefault="001314FA" w:rsidP="005F674A">
      <w:pPr>
        <w:pStyle w:val="IWHFlietext"/>
        <w:rPr>
          <w:lang w:val="en-US"/>
        </w:rPr>
      </w:pPr>
      <w:r w:rsidRPr="00C9711D">
        <w:rPr>
          <w:i/>
          <w:iCs/>
          <w:lang w:val="en-US"/>
        </w:rPr>
        <w:t xml:space="preserve">IEA. </w:t>
      </w:r>
      <w:r w:rsidRPr="00C9711D">
        <w:rPr>
          <w:lang w:val="en-US"/>
        </w:rPr>
        <w:t>World Energy Outlook 2025.</w:t>
      </w:r>
    </w:p>
    <w:p w14:paraId="6BE29A96" w14:textId="77777777" w:rsidR="001314FA" w:rsidRPr="00C9711D" w:rsidRDefault="001314FA" w:rsidP="005F674A">
      <w:pPr>
        <w:pStyle w:val="IWHFlietext"/>
        <w:rPr>
          <w:lang w:val="en-US"/>
        </w:rPr>
      </w:pPr>
      <w:r w:rsidRPr="00C9711D">
        <w:rPr>
          <w:i/>
          <w:iCs/>
          <w:lang w:val="en-US"/>
        </w:rPr>
        <w:t xml:space="preserve">EDGAR </w:t>
      </w:r>
      <w:r w:rsidRPr="00C9711D">
        <w:rPr>
          <w:lang w:val="en-US"/>
        </w:rPr>
        <w:t>(EU Joint Research Centre). Global GHG Emissions Database, 2024 release.</w:t>
      </w:r>
    </w:p>
    <w:p w14:paraId="6F514D5F" w14:textId="77777777" w:rsidR="001314FA" w:rsidRPr="00C9711D" w:rsidRDefault="001314FA" w:rsidP="005F674A">
      <w:pPr>
        <w:pStyle w:val="IWHFlietext"/>
        <w:rPr>
          <w:lang w:val="en-US"/>
        </w:rPr>
      </w:pPr>
      <w:r w:rsidRPr="00C9711D">
        <w:rPr>
          <w:i/>
          <w:iCs/>
          <w:lang w:val="en-US"/>
        </w:rPr>
        <w:t>EXIOBASE 3</w:t>
      </w:r>
      <w:r w:rsidRPr="00C9711D">
        <w:rPr>
          <w:lang w:val="en-US"/>
        </w:rPr>
        <w:t>. Environmentally extended multi-region input-output database.</w:t>
      </w:r>
    </w:p>
    <w:p w14:paraId="1D123079" w14:textId="77777777" w:rsidR="001314FA" w:rsidRPr="00C9711D" w:rsidRDefault="001314FA" w:rsidP="005F674A">
      <w:pPr>
        <w:pStyle w:val="IWHFlietext"/>
        <w:rPr>
          <w:lang w:val="en-US"/>
        </w:rPr>
      </w:pPr>
      <w:r w:rsidRPr="00C9711D">
        <w:rPr>
          <w:i/>
          <w:iCs/>
          <w:lang w:val="en-US"/>
        </w:rPr>
        <w:t xml:space="preserve">Schultz, T.W. </w:t>
      </w:r>
      <w:r w:rsidRPr="00C9711D">
        <w:rPr>
          <w:lang w:val="en-US"/>
        </w:rPr>
        <w:t>(1961). “Investment in Human Capital.” American Economic Review; related labor-productivity treatment cross-referenced via NBER working paper 21381.</w:t>
      </w:r>
    </w:p>
    <w:p w14:paraId="7D700908" w14:textId="77777777" w:rsidR="005F674A" w:rsidRPr="00C9711D" w:rsidRDefault="001314FA" w:rsidP="005F674A">
      <w:pPr>
        <w:pStyle w:val="IWHFlietext"/>
        <w:rPr>
          <w:del w:id="506" w:author="Heinisch, Katja" w:date="2026-07-27T09:22:00Z" w16du:dateUtc="2026-07-27T07:22:00Z"/>
          <w:lang w:val="en-US"/>
        </w:rPr>
      </w:pPr>
      <w:r w:rsidRPr="00C9711D">
        <w:rPr>
          <w:highlight w:val="yellow"/>
          <w:lang w:val="en-US"/>
        </w:rPr>
        <w:t>Christiano, Motto, and Rostagno (2014); Leeper (2010); Kliem (2014);</w:t>
      </w:r>
      <w:r w:rsidRPr="00C9711D">
        <w:rPr>
          <w:lang w:val="en-US"/>
        </w:rPr>
        <w:t xml:space="preserve"> </w:t>
      </w:r>
    </w:p>
    <w:p w14:paraId="1A13C016" w14:textId="40057062" w:rsidR="001314FA" w:rsidRDefault="001314FA" w:rsidP="00327FD3">
      <w:pPr>
        <w:pStyle w:val="IWHFlietext"/>
        <w:rPr>
          <w:lang w:val="en-US"/>
        </w:rPr>
      </w:pPr>
      <w:r w:rsidRPr="00C9711D">
        <w:rPr>
          <w:i/>
          <w:iCs/>
          <w:lang w:val="en-US"/>
        </w:rPr>
        <w:t>Drygalla et al. (2020)</w:t>
      </w:r>
      <w:r w:rsidRPr="00C9711D">
        <w:rPr>
          <w:lang w:val="en-US"/>
        </w:rPr>
        <w:t xml:space="preserve"> — reduced-form fiscal-policy modeling conventions followed in the government block (§3.5).</w:t>
      </w:r>
    </w:p>
    <w:p w14:paraId="054922DD" w14:textId="1F722A64" w:rsidR="00327FD3" w:rsidRDefault="00327FD3">
      <w:pPr>
        <w:rPr>
          <w:rFonts w:ascii="Cambria" w:eastAsiaTheme="minorEastAsia" w:hAnsi="Cambria" w:cs="Times New Roman"/>
          <w:szCs w:val="20"/>
          <w:lang w:val="en-US" w:eastAsia="de-DE"/>
        </w:rPr>
      </w:pPr>
      <w:r>
        <w:rPr>
          <w:lang w:val="en-US"/>
        </w:rPr>
        <w:br w:type="page"/>
      </w:r>
    </w:p>
    <w:p w14:paraId="02BCBBE0" w14:textId="179F52F7" w:rsidR="001314FA" w:rsidRPr="00C9711D" w:rsidRDefault="001314FA" w:rsidP="00752B43">
      <w:pPr>
        <w:pStyle w:val="berschrift1"/>
        <w:numPr>
          <w:ilvl w:val="0"/>
          <w:numId w:val="0"/>
        </w:numPr>
        <w:ind w:left="432"/>
        <w:rPr>
          <w:lang w:val="en-US"/>
        </w:rPr>
      </w:pPr>
      <w:bookmarkStart w:id="507" w:name="_Toc235867080"/>
      <w:bookmarkStart w:id="508" w:name="_Toc236050674"/>
      <w:bookmarkEnd w:id="505"/>
      <w:r w:rsidRPr="00C9711D">
        <w:rPr>
          <w:lang w:val="en-US"/>
        </w:rPr>
        <w:lastRenderedPageBreak/>
        <w:t>A</w:t>
      </w:r>
      <w:ins w:id="509" w:author="Heinisch, Katja" w:date="2026-07-27T09:22:00Z" w16du:dateUtc="2026-07-27T07:22:00Z">
        <w:r w:rsidR="00A5230E" w:rsidRPr="00C9711D">
          <w:rPr>
            <w:lang w:val="en-US"/>
          </w:rPr>
          <w:t xml:space="preserve">. </w:t>
        </w:r>
      </w:ins>
      <w:r w:rsidRPr="00C9711D">
        <w:rPr>
          <w:lang w:val="en-US"/>
        </w:rPr>
        <w:t>Technical Appendix</w:t>
      </w:r>
      <w:bookmarkEnd w:id="507"/>
      <w:bookmarkEnd w:id="508"/>
    </w:p>
    <w:bookmarkEnd w:id="14"/>
    <w:bookmarkEnd w:id="15"/>
    <w:bookmarkEnd w:id="16"/>
    <w:bookmarkEnd w:id="17"/>
    <w:bookmarkEnd w:id="18"/>
    <w:bookmarkEnd w:id="19"/>
    <w:bookmarkEnd w:id="20"/>
    <w:bookmarkEnd w:id="21"/>
    <w:bookmarkEnd w:id="22"/>
    <w:p w14:paraId="35DDE0E7" w14:textId="77777777" w:rsidR="00E14EDE" w:rsidRPr="00C9711D" w:rsidRDefault="002B6202" w:rsidP="000F7A10">
      <w:pPr>
        <w:pStyle w:val="berschrift1"/>
        <w:numPr>
          <w:ilvl w:val="0"/>
          <w:numId w:val="0"/>
        </w:numPr>
        <w:ind w:left="431"/>
        <w:rPr>
          <w:del w:id="510" w:author="Heinisch, Katja" w:date="2026-07-27T09:22:00Z" w16du:dateUtc="2026-07-27T07:22:00Z"/>
          <w:lang w:val="en-US"/>
        </w:rPr>
      </w:pPr>
      <w:del w:id="511" w:author="Heinisch, Katja" w:date="2026-07-27T09:22:00Z" w16du:dateUtc="2026-07-27T07:22:00Z">
        <w:r w:rsidRPr="00C9711D">
          <w:rPr>
            <w:lang w:val="en-US"/>
          </w:rPr>
          <w:delText>List of Appendices</w:delText>
        </w:r>
      </w:del>
    </w:p>
    <w:p w14:paraId="1C09C5ED" w14:textId="77777777" w:rsidR="00EA70C4" w:rsidRPr="00C9711D" w:rsidRDefault="002B6202">
      <w:pPr>
        <w:pStyle w:val="Abbildungsverzeichnis"/>
        <w:tabs>
          <w:tab w:val="right" w:leader="dot" w:pos="9629"/>
        </w:tabs>
        <w:rPr>
          <w:del w:id="512" w:author="Heinisch, Katja" w:date="2026-07-27T09:22:00Z" w16du:dateUtc="2026-07-27T07:22:00Z"/>
          <w:rFonts w:eastAsiaTheme="minorEastAsia"/>
          <w:noProof/>
          <w:color w:val="auto"/>
          <w:lang w:val="en-US" w:eastAsia="en-GB"/>
        </w:rPr>
      </w:pPr>
      <w:del w:id="513" w:author="Heinisch, Katja" w:date="2026-07-27T09:22:00Z" w16du:dateUtc="2026-07-27T07:22:00Z">
        <w:r w:rsidRPr="00C9711D">
          <w:rPr>
            <w:rFonts w:asciiTheme="majorHAnsi" w:hAnsiTheme="majorHAnsi"/>
            <w:lang w:val="en-US"/>
          </w:rPr>
          <w:fldChar w:fldCharType="begin"/>
        </w:r>
        <w:r w:rsidRPr="00C9711D">
          <w:rPr>
            <w:rFonts w:asciiTheme="majorHAnsi" w:hAnsiTheme="majorHAnsi"/>
            <w:lang w:val="en-US"/>
          </w:rPr>
          <w:delInstrText xml:space="preserve"> TOC \c "Anhang" </w:delInstrText>
        </w:r>
        <w:r w:rsidRPr="00C9711D">
          <w:rPr>
            <w:rFonts w:asciiTheme="majorHAnsi" w:hAnsiTheme="majorHAnsi"/>
            <w:lang w:val="en-US"/>
          </w:rPr>
          <w:fldChar w:fldCharType="separate"/>
        </w:r>
        <w:r w:rsidR="00EA70C4" w:rsidRPr="00C9711D">
          <w:rPr>
            <w:noProof/>
            <w:lang w:val="en-US"/>
          </w:rPr>
          <w:delText>Appendix 1: Appendix 1 Title</w:delText>
        </w:r>
        <w:r w:rsidR="00EA70C4" w:rsidRPr="00C9711D">
          <w:rPr>
            <w:noProof/>
            <w:lang w:val="en-US"/>
          </w:rPr>
          <w:tab/>
        </w:r>
        <w:r w:rsidR="00EA70C4" w:rsidRPr="00C9711D">
          <w:rPr>
            <w:noProof/>
            <w:lang w:val="en-US"/>
          </w:rPr>
          <w:fldChar w:fldCharType="begin"/>
        </w:r>
        <w:r w:rsidR="00EA70C4" w:rsidRPr="00C9711D">
          <w:rPr>
            <w:noProof/>
            <w:lang w:val="en-US"/>
          </w:rPr>
          <w:delInstrText xml:space="preserve"> PAGEREF _Toc195789692 \h </w:delInstrText>
        </w:r>
        <w:r w:rsidR="00EA70C4" w:rsidRPr="00C9711D">
          <w:rPr>
            <w:noProof/>
            <w:lang w:val="en-US"/>
          </w:rPr>
        </w:r>
        <w:r w:rsidR="00EA70C4" w:rsidRPr="00C9711D">
          <w:rPr>
            <w:noProof/>
            <w:lang w:val="en-US"/>
          </w:rPr>
          <w:fldChar w:fldCharType="separate"/>
        </w:r>
        <w:r w:rsidR="00EA70C4" w:rsidRPr="00C9711D">
          <w:rPr>
            <w:noProof/>
            <w:lang w:val="en-US"/>
          </w:rPr>
          <w:delText>14</w:delText>
        </w:r>
        <w:r w:rsidR="00EA70C4" w:rsidRPr="00C9711D">
          <w:rPr>
            <w:noProof/>
            <w:lang w:val="en-US"/>
          </w:rPr>
          <w:fldChar w:fldCharType="end"/>
        </w:r>
      </w:del>
    </w:p>
    <w:p w14:paraId="3DFADDEE" w14:textId="43E4DA3B" w:rsidR="00EA70C4" w:rsidRPr="00C9711D" w:rsidRDefault="00EA70C4">
      <w:pPr>
        <w:pStyle w:val="Abbildungsverzeichnis"/>
        <w:tabs>
          <w:tab w:val="right" w:leader="dot" w:pos="9629"/>
        </w:tabs>
        <w:rPr>
          <w:del w:id="514" w:author="Heinisch, Katja" w:date="2026-07-27T09:22:00Z" w16du:dateUtc="2026-07-27T07:22:00Z"/>
          <w:rFonts w:eastAsiaTheme="minorEastAsia"/>
          <w:noProof/>
          <w:color w:val="auto"/>
          <w:lang w:val="en-US" w:eastAsia="en-GB"/>
        </w:rPr>
      </w:pPr>
      <w:del w:id="515" w:author="Heinisch, Katja" w:date="2026-07-27T09:22:00Z" w16du:dateUtc="2026-07-27T07:22:00Z">
        <w:r w:rsidRPr="00C9711D">
          <w:rPr>
            <w:noProof/>
            <w:lang w:val="en-US"/>
          </w:rPr>
          <w:delText>Appendix 2: Appendix 2 Title</w:delText>
        </w:r>
        <w:r w:rsidRPr="00C9711D">
          <w:rPr>
            <w:noProof/>
            <w:lang w:val="en-US"/>
          </w:rPr>
          <w:tab/>
        </w:r>
        <w:r w:rsidRPr="00C9711D">
          <w:rPr>
            <w:noProof/>
            <w:lang w:val="en-US"/>
          </w:rPr>
          <w:fldChar w:fldCharType="begin"/>
        </w:r>
        <w:r w:rsidRPr="00C9711D">
          <w:rPr>
            <w:noProof/>
            <w:lang w:val="en-US"/>
          </w:rPr>
          <w:delInstrText xml:space="preserve"> PAGEREF _Toc195789693 \h </w:delInstrText>
        </w:r>
        <w:r w:rsidRPr="00C9711D">
          <w:rPr>
            <w:noProof/>
            <w:lang w:val="en-US"/>
          </w:rPr>
        </w:r>
        <w:r w:rsidRPr="00C9711D">
          <w:rPr>
            <w:noProof/>
            <w:lang w:val="en-US"/>
          </w:rPr>
          <w:fldChar w:fldCharType="separate"/>
        </w:r>
        <w:r w:rsidRPr="00C9711D">
          <w:rPr>
            <w:noProof/>
            <w:lang w:val="en-US"/>
          </w:rPr>
          <w:delText>15</w:delText>
        </w:r>
        <w:r w:rsidRPr="00C9711D">
          <w:rPr>
            <w:noProof/>
            <w:lang w:val="en-US"/>
          </w:rPr>
          <w:fldChar w:fldCharType="end"/>
        </w:r>
      </w:del>
    </w:p>
    <w:p w14:paraId="5C20BC37" w14:textId="7498614E" w:rsidR="00EA70C4" w:rsidRPr="00C9711D" w:rsidRDefault="002B6202">
      <w:pPr>
        <w:pStyle w:val="IWHFlietext"/>
        <w:rPr>
          <w:del w:id="516" w:author="Heinisch, Katja" w:date="2026-07-27T09:22:00Z" w16du:dateUtc="2026-07-27T07:22:00Z"/>
          <w:noProof/>
          <w:lang w:val="en-US"/>
        </w:rPr>
      </w:pPr>
      <w:del w:id="517" w:author="Heinisch, Katja" w:date="2026-07-27T09:22:00Z" w16du:dateUtc="2026-07-27T07:22:00Z">
        <w:r w:rsidRPr="00C9711D">
          <w:rPr>
            <w:rFonts w:asciiTheme="majorHAnsi" w:hAnsiTheme="majorHAnsi"/>
            <w:lang w:val="en-US"/>
          </w:rPr>
          <w:fldChar w:fldCharType="end"/>
        </w:r>
        <w:r w:rsidR="00EA70C4" w:rsidRPr="00C9711D">
          <w:rPr>
            <w:rFonts w:asciiTheme="majorHAnsi" w:hAnsiTheme="majorHAnsi"/>
            <w:lang w:val="en-US"/>
          </w:rPr>
          <w:fldChar w:fldCharType="begin"/>
        </w:r>
        <w:r w:rsidR="00EA70C4" w:rsidRPr="00C9711D">
          <w:rPr>
            <w:rFonts w:asciiTheme="majorHAnsi" w:hAnsiTheme="majorHAnsi"/>
            <w:lang w:val="en-US"/>
          </w:rPr>
          <w:delInstrText xml:space="preserve"> TOC \h \z \c "Figure" </w:delInstrText>
        </w:r>
        <w:r w:rsidR="00EA70C4" w:rsidRPr="00C9711D">
          <w:rPr>
            <w:rFonts w:asciiTheme="majorHAnsi" w:hAnsiTheme="majorHAnsi"/>
            <w:lang w:val="en-US"/>
          </w:rPr>
          <w:fldChar w:fldCharType="separate"/>
        </w:r>
      </w:del>
    </w:p>
    <w:p w14:paraId="4A034513" w14:textId="1A9D1C73" w:rsidR="005F674A" w:rsidRPr="00C9711D" w:rsidRDefault="00EA70C4" w:rsidP="002A4BF9">
      <w:pPr>
        <w:pStyle w:val="berschrift2"/>
        <w:numPr>
          <w:ilvl w:val="0"/>
          <w:numId w:val="0"/>
        </w:numPr>
        <w:ind w:left="576"/>
        <w:rPr>
          <w:lang w:val="en-US"/>
        </w:rPr>
      </w:pPr>
      <w:del w:id="518" w:author="Heinisch, Katja" w:date="2026-07-27T09:22:00Z" w16du:dateUtc="2026-07-27T07:22:00Z">
        <w:r w:rsidRPr="00C9711D">
          <w:rPr>
            <w:rFonts w:asciiTheme="majorHAnsi" w:hAnsiTheme="majorHAnsi"/>
            <w:lang w:val="en-US"/>
          </w:rPr>
          <w:fldChar w:fldCharType="end"/>
        </w:r>
      </w:del>
      <w:bookmarkStart w:id="519" w:name="_Toc235867081"/>
      <w:bookmarkStart w:id="520" w:name="a.1-equation-reference"/>
      <w:bookmarkStart w:id="521" w:name="_Toc236050675"/>
      <w:r w:rsidR="005F674A" w:rsidRPr="00C9711D">
        <w:rPr>
          <w:lang w:val="en-US"/>
        </w:rPr>
        <w:t>A.1 Equation reference</w:t>
      </w:r>
      <w:bookmarkEnd w:id="519"/>
      <w:bookmarkEnd w:id="521"/>
    </w:p>
    <w:p w14:paraId="7A7DCB3B" w14:textId="3F4F7B2D" w:rsidR="005F674A" w:rsidRPr="00C9711D" w:rsidRDefault="005F674A" w:rsidP="005F674A">
      <w:pPr>
        <w:pStyle w:val="FirstParagraph"/>
        <w:rPr>
          <w:lang w:val="en-US"/>
        </w:rPr>
      </w:pPr>
      <w:r w:rsidRPr="00C9711D">
        <w:rPr>
          <w:lang w:val="en-US"/>
        </w:rPr>
        <w:t xml:space="preserve">Full equation listings, by block, are maintained in </w:t>
      </w:r>
      <w:r w:rsidRPr="00C9711D">
        <w:rPr>
          <w:rStyle w:val="VerbatimChar"/>
          <w:rFonts w:eastAsiaTheme="minorHAnsi"/>
          <w:lang w:val="en-US"/>
        </w:rPr>
        <w:t>ModFiles/Equations/*.mod</w:t>
      </w:r>
      <w:r w:rsidRPr="00C9711D">
        <w:rPr>
          <w:lang w:val="en-US"/>
        </w:rPr>
        <w:t xml:space="preserve"> with a parallel human-readable mirror in </w:t>
      </w:r>
      <w:r w:rsidRPr="00C9711D">
        <w:rPr>
          <w:rStyle w:val="VerbatimChar"/>
          <w:rFonts w:eastAsiaTheme="minorHAnsi"/>
          <w:lang w:val="en-US"/>
        </w:rPr>
        <w:t>ModFiles/Equations/Equations_display/</w:t>
      </w:r>
      <w:r w:rsidRPr="00C9711D">
        <w:rPr>
          <w:lang w:val="en-US"/>
        </w:rPr>
        <w:t xml:space="preserve">. The primary equation-set narrative is in </w:t>
      </w:r>
      <w:ins w:id="522" w:author="Heinisch, Katja" w:date="2026-07-27T09:22:00Z" w16du:dateUtc="2026-07-27T07:22:00Z">
        <w:r w:rsidR="00A5230E" w:rsidRPr="00C9711D">
          <w:rPr>
            <w:lang w:val="en-US"/>
          </w:rPr>
          <w:fldChar w:fldCharType="begin"/>
        </w:r>
        <w:r w:rsidR="003C44CA" w:rsidRPr="00C9711D">
          <w:rPr>
            <w:lang w:val="en-US"/>
          </w:rPr>
          <w:instrText xml:space="preserve">HYPERLINK "C:\\Users\\nbKDL\\model.md" \h </w:instrText>
        </w:r>
        <w:r w:rsidR="00A5230E" w:rsidRPr="00C9711D">
          <w:rPr>
            <w:lang w:val="en-US"/>
          </w:rPr>
        </w:r>
        <w:r w:rsidR="00A5230E" w:rsidRPr="00C9711D">
          <w:rPr>
            <w:lang w:val="en-US"/>
          </w:rPr>
          <w:fldChar w:fldCharType="separate"/>
        </w:r>
        <w:r w:rsidR="00A5230E" w:rsidRPr="00C9711D">
          <w:rPr>
            <w:rStyle w:val="Hyperlink"/>
            <w:lang w:val="en-US"/>
          </w:rPr>
          <w:t>model.md</w:t>
        </w:r>
        <w:r w:rsidR="00A5230E" w:rsidRPr="00C9711D">
          <w:rPr>
            <w:lang w:val="en-US"/>
          </w:rPr>
          <w:fldChar w:fldCharType="end"/>
        </w:r>
      </w:ins>
      <w:del w:id="523" w:author="Heinisch, Katja" w:date="2026-07-27T09:22:00Z" w16du:dateUtc="2026-07-27T07:22:00Z">
        <w:r w:rsidRPr="00C9711D">
          <w:rPr>
            <w:lang w:val="en-US"/>
          </w:rPr>
          <w:fldChar w:fldCharType="begin"/>
        </w:r>
        <w:r w:rsidRPr="00C9711D">
          <w:rPr>
            <w:lang w:val="en-US"/>
          </w:rPr>
          <w:delInstrText>HYPERLINK "../model.md" \h</w:delInstrText>
        </w:r>
        <w:r w:rsidRPr="00C9711D">
          <w:rPr>
            <w:lang w:val="en-US"/>
          </w:rPr>
        </w:r>
        <w:r w:rsidRPr="00C9711D">
          <w:rPr>
            <w:lang w:val="en-US"/>
          </w:rPr>
          <w:fldChar w:fldCharType="separate"/>
        </w:r>
        <w:r w:rsidRPr="00C9711D">
          <w:rPr>
            <w:rStyle w:val="Hyperlink"/>
            <w:lang w:val="en-US"/>
          </w:rPr>
          <w:delText>model.md</w:delText>
        </w:r>
        <w:r w:rsidRPr="00C9711D">
          <w:rPr>
            <w:lang w:val="en-US"/>
          </w:rPr>
          <w:fldChar w:fldCharType="end"/>
        </w:r>
      </w:del>
      <w:r w:rsidRPr="00C9711D">
        <w:rPr>
          <w:lang w:val="en-US"/>
        </w:rPr>
        <w:t>; this report’s §3 summarizes the theoretical structure without reproducing every first-order condition.</w:t>
      </w:r>
    </w:p>
    <w:p w14:paraId="46EA94C3" w14:textId="77777777" w:rsidR="005F674A" w:rsidRPr="00C9711D" w:rsidRDefault="005F674A" w:rsidP="002A4BF9">
      <w:pPr>
        <w:pStyle w:val="berschrift2"/>
        <w:numPr>
          <w:ilvl w:val="0"/>
          <w:numId w:val="0"/>
        </w:numPr>
        <w:ind w:left="576"/>
        <w:rPr>
          <w:lang w:val="en-US"/>
        </w:rPr>
      </w:pPr>
      <w:bookmarkStart w:id="524" w:name="_Toc235867082"/>
      <w:bookmarkStart w:id="525" w:name="a.2-parameter-reference"/>
      <w:bookmarkStart w:id="526" w:name="_Toc236050676"/>
      <w:bookmarkEnd w:id="520"/>
      <w:r w:rsidRPr="00C9711D">
        <w:rPr>
          <w:lang w:val="en-US"/>
        </w:rPr>
        <w:t>A.2 Parameter reference</w:t>
      </w:r>
      <w:bookmarkEnd w:id="524"/>
      <w:bookmarkEnd w:id="526"/>
    </w:p>
    <w:p w14:paraId="3059E045" w14:textId="6E0037D0" w:rsidR="005F674A" w:rsidRPr="00C9711D" w:rsidRDefault="005F674A" w:rsidP="005F674A">
      <w:pPr>
        <w:pStyle w:val="FirstParagraph"/>
        <w:rPr>
          <w:lang w:val="en-US"/>
        </w:rPr>
      </w:pPr>
      <w:r w:rsidRPr="00C9711D">
        <w:rPr>
          <w:lang w:val="en-US"/>
        </w:rPr>
        <w:t xml:space="preserve">The full parameter-by-parameter calibration source audit — including flags for stale or uncertain values — is maintained in </w:t>
      </w:r>
      <w:ins w:id="527" w:author="Heinisch, Katja" w:date="2026-07-27T09:22:00Z" w16du:dateUtc="2026-07-27T07:22:00Z">
        <w:r w:rsidR="00A5230E" w:rsidRPr="00C9711D">
          <w:rPr>
            <w:lang w:val="en-US"/>
          </w:rPr>
          <w:fldChar w:fldCharType="begin"/>
        </w:r>
        <w:r w:rsidR="003C44CA" w:rsidRPr="00C9711D">
          <w:rPr>
            <w:lang w:val="en-US"/>
          </w:rPr>
          <w:instrText xml:space="preserve">HYPERLINK "C:\\Users\\nbKDL\\structural_parameters_source_audit.md" \h </w:instrText>
        </w:r>
        <w:r w:rsidR="00A5230E" w:rsidRPr="00C9711D">
          <w:rPr>
            <w:lang w:val="en-US"/>
          </w:rPr>
        </w:r>
        <w:r w:rsidR="00A5230E" w:rsidRPr="00C9711D">
          <w:rPr>
            <w:lang w:val="en-US"/>
          </w:rPr>
          <w:fldChar w:fldCharType="separate"/>
        </w:r>
        <w:r w:rsidR="00A5230E" w:rsidRPr="00C9711D">
          <w:rPr>
            <w:rStyle w:val="Hyperlink"/>
            <w:lang w:val="en-US"/>
          </w:rPr>
          <w:t>structural_parameters_source_audit.md</w:t>
        </w:r>
        <w:r w:rsidR="00A5230E" w:rsidRPr="00C9711D">
          <w:rPr>
            <w:lang w:val="en-US"/>
          </w:rPr>
          <w:fldChar w:fldCharType="end"/>
        </w:r>
        <w:r w:rsidR="00A5230E" w:rsidRPr="00C9711D">
          <w:rPr>
            <w:lang w:val="en-US"/>
          </w:rPr>
          <w:t>.</w:t>
        </w:r>
      </w:ins>
      <w:del w:id="528" w:author="Heinisch, Katja" w:date="2026-07-27T09:22:00Z" w16du:dateUtc="2026-07-27T07:22:00Z">
        <w:r w:rsidRPr="00C9711D">
          <w:rPr>
            <w:lang w:val="en-US"/>
          </w:rPr>
          <w:fldChar w:fldCharType="begin"/>
        </w:r>
        <w:r w:rsidRPr="00C9711D">
          <w:rPr>
            <w:lang w:val="en-US"/>
          </w:rPr>
          <w:delInstrText>HYPERLINK "../structural_parameters_source_audit.md" \h</w:delInstrText>
        </w:r>
        <w:r w:rsidRPr="00C9711D">
          <w:rPr>
            <w:lang w:val="en-US"/>
          </w:rPr>
        </w:r>
        <w:r w:rsidRPr="00C9711D">
          <w:rPr>
            <w:lang w:val="en-US"/>
          </w:rPr>
          <w:fldChar w:fldCharType="separate"/>
        </w:r>
        <w:r w:rsidRPr="00C9711D">
          <w:rPr>
            <w:rStyle w:val="Hyperlink"/>
            <w:lang w:val="en-US"/>
          </w:rPr>
          <w:delText>structural_parameters_source_audit.md</w:delText>
        </w:r>
        <w:r w:rsidRPr="00C9711D">
          <w:rPr>
            <w:lang w:val="en-US"/>
          </w:rPr>
          <w:fldChar w:fldCharType="end"/>
        </w:r>
        <w:r w:rsidRPr="00C9711D">
          <w:rPr>
            <w:lang w:val="en-US"/>
          </w:rPr>
          <w:delText>.</w:delText>
        </w:r>
      </w:del>
      <w:r w:rsidRPr="00C9711D">
        <w:rPr>
          <w:lang w:val="en-US"/>
        </w:rPr>
        <w:t xml:space="preserve"> The code-default-vs-active-workbook override table is in </w:t>
      </w:r>
      <w:hyperlink r:id="rId53">
        <w:r w:rsidRPr="00C9711D">
          <w:rPr>
            <w:rStyle w:val="Hyperlink"/>
            <w:lang w:val="en-US"/>
          </w:rPr>
          <w:t>calibration_model_detailed.md §12</w:t>
        </w:r>
      </w:hyperlink>
      <w:r w:rsidRPr="00C9711D">
        <w:rPr>
          <w:lang w:val="en-US"/>
        </w:rPr>
        <w:t>.</w:t>
      </w:r>
    </w:p>
    <w:p w14:paraId="02FD9255" w14:textId="16804C36" w:rsidR="005F674A" w:rsidRPr="00C9711D" w:rsidRDefault="001F1DB2" w:rsidP="002A4BF9">
      <w:pPr>
        <w:pStyle w:val="berschrift2"/>
        <w:numPr>
          <w:ilvl w:val="0"/>
          <w:numId w:val="0"/>
        </w:numPr>
        <w:ind w:left="576"/>
        <w:rPr>
          <w:lang w:val="en-US"/>
        </w:rPr>
      </w:pPr>
      <w:bookmarkStart w:id="529" w:name="_Toc235867083"/>
      <w:bookmarkEnd w:id="525"/>
      <w:del w:id="530" w:author="Heinisch, Katja" w:date="2026-07-27T09:22:00Z" w16du:dateUtc="2026-07-27T07:22:00Z">
        <w:r w:rsidRPr="00C9711D">
          <w:rPr>
            <w:noProof/>
            <w:lang w:val="en-US"/>
          </w:rPr>
          <w:drawing>
            <wp:anchor distT="0" distB="0" distL="114300" distR="114300" simplePos="0" relativeHeight="251662336" behindDoc="0" locked="0" layoutInCell="1" allowOverlap="1" wp14:anchorId="64314BD0" wp14:editId="0682AD29">
              <wp:simplePos x="0" y="0"/>
              <wp:positionH relativeFrom="column">
                <wp:posOffset>3810</wp:posOffset>
              </wp:positionH>
              <wp:positionV relativeFrom="paragraph">
                <wp:posOffset>450435</wp:posOffset>
              </wp:positionV>
              <wp:extent cx="5334000" cy="2991275"/>
              <wp:effectExtent l="0" t="0" r="0" b="0"/>
              <wp:wrapTopAndBottom/>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C:\Users\schul\Documents\GitHub\DGE-METRIC\.tmp\technical_report_build\tables\table-05.png"/>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334000" cy="299127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del>
      <w:bookmarkStart w:id="531" w:name="_Toc236050677"/>
      <w:r w:rsidR="005F674A" w:rsidRPr="00C9711D">
        <w:rPr>
          <w:lang w:val="en-US"/>
        </w:rPr>
        <w:t>A.3 Repository map</w:t>
      </w:r>
      <w:bookmarkEnd w:id="529"/>
      <w:bookmarkEnd w:id="531"/>
    </w:p>
    <w:bookmarkEnd w:id="4"/>
    <w:p w14:paraId="545372DA" w14:textId="3FEBB9ED" w:rsidR="00E14EDE" w:rsidRPr="00C9711D" w:rsidRDefault="00E14EDE">
      <w:pPr>
        <w:rPr>
          <w:lang w:val="en-US"/>
        </w:rPr>
      </w:pPr>
    </w:p>
    <w:sectPr w:rsidR="00E14EDE" w:rsidRPr="00C9711D" w:rsidSect="00446DF3">
      <w:pgSz w:w="11907" w:h="16840" w:code="9"/>
      <w:pgMar w:top="1418" w:right="1134" w:bottom="1588" w:left="1134" w:header="964" w:footer="964" w:gutter="0"/>
      <w:paperSrc w:first="7" w:other="7"/>
      <w:pgNumType w:start="1"/>
      <w:cols w:space="567"/>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Heinisch, Katja" w:date="2026-07-24T21:05:00Z" w:initials="KH">
    <w:p w14:paraId="3A51C8ED" w14:textId="77777777" w:rsidR="00190D29" w:rsidRDefault="00190D29" w:rsidP="00190D29">
      <w:pPr>
        <w:pStyle w:val="Kommentartext"/>
      </w:pPr>
      <w:r>
        <w:rPr>
          <w:rStyle w:val="Kommentarzeichen"/>
        </w:rPr>
        <w:annotationRef/>
      </w:r>
      <w:r>
        <w:t>Vielleicht noch die Abbildung aus dem WP einfügen?</w:t>
      </w:r>
    </w:p>
  </w:comment>
  <w:comment w:id="87" w:author="Heinisch, Katja" w:date="2026-07-24T21:26:00Z" w:initials="KH">
    <w:p w14:paraId="118F1B64" w14:textId="77777777" w:rsidR="000734E5" w:rsidRDefault="000734E5" w:rsidP="000734E5">
      <w:pPr>
        <w:pStyle w:val="Text"/>
      </w:pPr>
      <w:r>
        <w:annotationRef/>
      </w:r>
      <w:r>
        <w:rPr>
          <w:lang w:val="de-DE"/>
        </w:rPr>
        <w:t>Die Inline Formeln müssen wir auch überführen, oder?</w:t>
      </w:r>
    </w:p>
  </w:comment>
  <w:comment w:id="127" w:author="Heinisch, Katja" w:date="2026-07-24T21:58:00Z" w:initials="KH">
    <w:p w14:paraId="77BB3380" w14:textId="77777777" w:rsidR="00FE754E" w:rsidRDefault="00FE754E" w:rsidP="00FE754E">
      <w:pPr>
        <w:pStyle w:val="Text"/>
      </w:pPr>
      <w:r>
        <w:annotationRef/>
      </w:r>
      <w:r>
        <w:rPr>
          <w:lang w:val="de-DE"/>
        </w:rPr>
        <w:t>Sollten wir alle Tabellen auch als Tables benennen...</w:t>
      </w:r>
    </w:p>
  </w:comment>
  <w:comment w:id="137" w:author="Heinisch, Katja" w:date="2026-07-27T11:03:00Z" w:initials="KH">
    <w:p w14:paraId="1B6DFA73" w14:textId="2798D744" w:rsidR="003D7B76" w:rsidRDefault="003D7B76">
      <w:pPr>
        <w:pStyle w:val="Kommentartext"/>
      </w:pPr>
      <w:r>
        <w:rPr>
          <w:rStyle w:val="Kommentarzeichen"/>
        </w:rPr>
        <w:annotationRef/>
      </w:r>
      <w:r>
        <w:t>Das mit den Links müssen wir noch final auf Git legen, oder?</w:t>
      </w:r>
    </w:p>
  </w:comment>
  <w:comment w:id="163" w:author="Heinisch, Katja" w:date="2026-07-27T11:09:00Z" w:initials="KH">
    <w:p w14:paraId="5165DB0F" w14:textId="120703D5" w:rsidR="00576499" w:rsidRDefault="00576499">
      <w:pPr>
        <w:pStyle w:val="Kommentartext"/>
      </w:pPr>
      <w:r>
        <w:rPr>
          <w:rStyle w:val="Kommentarzeichen"/>
        </w:rPr>
        <w:annotationRef/>
      </w:r>
      <w:r>
        <w:t>Das passt hier nicht … das war scheinbar irgendwie verrutscht</w:t>
      </w:r>
    </w:p>
  </w:comment>
  <w:comment w:id="168" w:author="Heinisch, Katja" w:date="2026-07-24T22:00:00Z" w:initials="KH">
    <w:p w14:paraId="46BEE7D6" w14:textId="77777777" w:rsidR="00FE754E" w:rsidRDefault="00FE754E" w:rsidP="00FE754E">
      <w:pPr>
        <w:pStyle w:val="Text"/>
      </w:pPr>
      <w:r>
        <w:annotationRef/>
      </w:r>
      <w:r>
        <w:rPr>
          <w:lang w:val="de-DE"/>
        </w:rPr>
        <w:t>Warum ist das Simulationsende eigentlich nicht 2050</w:t>
      </w:r>
    </w:p>
  </w:comment>
  <w:comment w:id="299" w:author="Heinisch, Katja" w:date="2026-07-24T22:42:00Z" w:initials="KH">
    <w:p w14:paraId="04187A5B" w14:textId="77777777" w:rsidR="0000717F" w:rsidRDefault="0000717F" w:rsidP="0000717F">
      <w:pPr>
        <w:pStyle w:val="Text"/>
      </w:pPr>
      <w:r>
        <w:annotationRef/>
      </w:r>
      <w:r>
        <w:rPr>
          <w:lang w:val="de-DE"/>
        </w:rPr>
        <w:t>Hier fehlt auch noch mehr Erklärung..</w:t>
      </w:r>
    </w:p>
  </w:comment>
  <w:comment w:id="307" w:author="Heinisch, Katja" w:date="2026-07-24T22:46:00Z" w:initials="KH">
    <w:p w14:paraId="48ADAF10" w14:textId="1F538726" w:rsidR="000C181A" w:rsidRDefault="000C181A" w:rsidP="000C181A">
      <w:pPr>
        <w:pStyle w:val="Kommentartext"/>
      </w:pPr>
      <w:r>
        <w:rPr>
          <w:rStyle w:val="Kommentarzeichen"/>
        </w:rPr>
        <w:annotationRef/>
      </w:r>
      <w:r>
        <w:t>Shorten the following</w:t>
      </w:r>
      <w:r w:rsidR="001D3462">
        <w:t>?</w:t>
      </w:r>
    </w:p>
  </w:comment>
  <w:comment w:id="335" w:author="Heinisch, Katja" w:date="2026-07-24T22:44:00Z" w:initials="KH">
    <w:p w14:paraId="2A8CEE52" w14:textId="4AB4CF07" w:rsidR="000C181A" w:rsidRDefault="000C181A" w:rsidP="000C181A">
      <w:pPr>
        <w:pStyle w:val="Kommentartext"/>
      </w:pPr>
      <w:r>
        <w:rPr>
          <w:rStyle w:val="Kommentarzeichen"/>
        </w:rPr>
        <w:annotationRef/>
      </w:r>
      <w:r>
        <w:t xml:space="preserve">Das folgende noch </w:t>
      </w:r>
      <w:r w:rsidR="00327FD3">
        <w:t xml:space="preserve">ggf. </w:t>
      </w:r>
      <w:r>
        <w:t>kürzen</w:t>
      </w:r>
    </w:p>
  </w:comment>
  <w:comment w:id="420" w:author="Heinisch, Katja" w:date="2026-07-24T23:04:00Z" w:initials="KH">
    <w:p w14:paraId="440284FA" w14:textId="77777777" w:rsidR="005C0378" w:rsidRDefault="005C0378" w:rsidP="005C0378">
      <w:pPr>
        <w:pStyle w:val="Text"/>
      </w:pPr>
      <w:r>
        <w:annotationRef/>
      </w:r>
      <w:r>
        <w:rPr>
          <w:lang w:val="de-DE"/>
        </w:rPr>
        <w:t xml:space="preserve">Dieser Abschnitt muss auch sinnvoller beschrieben werden… </w:t>
      </w:r>
    </w:p>
  </w:comment>
  <w:comment w:id="426" w:author="Heinisch, Katja" w:date="2026-07-24T23:02:00Z" w:initials="KH">
    <w:p w14:paraId="19CADDB6" w14:textId="77777777" w:rsidR="00B6307E" w:rsidRDefault="00B6307E" w:rsidP="00B6307E">
      <w:pPr>
        <w:pStyle w:val="Text"/>
      </w:pPr>
      <w:r>
        <w:annotationRef/>
      </w:r>
      <w:r>
        <w:rPr>
          <w:lang w:val="de-DE"/>
        </w:rPr>
        <w:t>Sollte dieser abschnitt nicht eher kommen?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51C8ED" w15:done="0"/>
  <w15:commentEx w15:paraId="118F1B64" w15:done="0"/>
  <w15:commentEx w15:paraId="77BB3380" w15:done="0"/>
  <w15:commentEx w15:paraId="1B6DFA73" w15:done="0"/>
  <w15:commentEx w15:paraId="5165DB0F" w15:done="0"/>
  <w15:commentEx w15:paraId="46BEE7D6" w15:done="0"/>
  <w15:commentEx w15:paraId="04187A5B" w15:done="0"/>
  <w15:commentEx w15:paraId="48ADAF10" w15:done="0"/>
  <w15:commentEx w15:paraId="2A8CEE52" w15:done="0"/>
  <w15:commentEx w15:paraId="440284FA" w15:done="0"/>
  <w15:commentEx w15:paraId="19CADD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274636" w16cex:dateUtc="2026-07-24T19:05:00Z"/>
  <w16cex:commentExtensible w16cex:durableId="7D7222AA" w16cex:dateUtc="2026-07-24T19:26:00Z"/>
  <w16cex:commentExtensible w16cex:durableId="64A3C96D" w16cex:dateUtc="2026-07-24T19:58:00Z"/>
  <w16cex:commentExtensible w16cex:durableId="4712CECD" w16cex:dateUtc="2026-07-27T09:03:00Z"/>
  <w16cex:commentExtensible w16cex:durableId="5C8985D8" w16cex:dateUtc="2026-07-27T09:09:00Z"/>
  <w16cex:commentExtensible w16cex:durableId="0473A9C9" w16cex:dateUtc="2026-07-24T20:00:00Z"/>
  <w16cex:commentExtensible w16cex:durableId="7324BBC5" w16cex:dateUtc="2026-07-24T20:42:00Z"/>
  <w16cex:commentExtensible w16cex:durableId="3F47CC42" w16cex:dateUtc="2026-07-24T20:46:00Z"/>
  <w16cex:commentExtensible w16cex:durableId="79DAB17B" w16cex:dateUtc="2026-07-24T20:44:00Z"/>
  <w16cex:commentExtensible w16cex:durableId="56C5B5D9" w16cex:dateUtc="2026-07-24T21:04:00Z"/>
  <w16cex:commentExtensible w16cex:durableId="3E4FC6FF" w16cex:dateUtc="2026-07-24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51C8ED" w16cid:durableId="5F274636"/>
  <w16cid:commentId w16cid:paraId="118F1B64" w16cid:durableId="7D7222AA"/>
  <w16cid:commentId w16cid:paraId="77BB3380" w16cid:durableId="64A3C96D"/>
  <w16cid:commentId w16cid:paraId="1B6DFA73" w16cid:durableId="4712CECD"/>
  <w16cid:commentId w16cid:paraId="5165DB0F" w16cid:durableId="5C8985D8"/>
  <w16cid:commentId w16cid:paraId="46BEE7D6" w16cid:durableId="0473A9C9"/>
  <w16cid:commentId w16cid:paraId="04187A5B" w16cid:durableId="7324BBC5"/>
  <w16cid:commentId w16cid:paraId="48ADAF10" w16cid:durableId="3F47CC42"/>
  <w16cid:commentId w16cid:paraId="2A8CEE52" w16cid:durableId="79DAB17B"/>
  <w16cid:commentId w16cid:paraId="440284FA" w16cid:durableId="56C5B5D9"/>
  <w16cid:commentId w16cid:paraId="19CADDB6" w16cid:durableId="3E4FC6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72371" w14:textId="77777777" w:rsidR="00DA7419" w:rsidRDefault="00DA7419">
      <w:pPr>
        <w:spacing w:after="0" w:line="240" w:lineRule="auto"/>
      </w:pPr>
      <w:r>
        <w:separator/>
      </w:r>
    </w:p>
  </w:endnote>
  <w:endnote w:type="continuationSeparator" w:id="0">
    <w:p w14:paraId="53738428" w14:textId="77777777" w:rsidR="00DA7419" w:rsidRDefault="00DA7419">
      <w:pPr>
        <w:spacing w:after="0" w:line="240" w:lineRule="auto"/>
      </w:pPr>
      <w:r>
        <w:continuationSeparator/>
      </w:r>
    </w:p>
  </w:endnote>
  <w:endnote w:type="continuationNotice" w:id="1">
    <w:p w14:paraId="0971AFEF" w14:textId="77777777" w:rsidR="00DA7419" w:rsidRDefault="00DA74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randon Grotesque Bold">
    <w:panose1 w:val="020B0803020203060202"/>
    <w:charset w:val="00"/>
    <w:family w:val="swiss"/>
    <w:notTrueType/>
    <w:pitch w:val="variable"/>
    <w:sig w:usb0="A00000AF" w:usb1="5000205B" w:usb2="00000000" w:usb3="00000000" w:csb0="0000009B"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andon Grotesque Regular">
    <w:panose1 w:val="020B0503020203060202"/>
    <w:charset w:val="00"/>
    <w:family w:val="swiss"/>
    <w:notTrueType/>
    <w:pitch w:val="variable"/>
    <w:sig w:usb0="A00000AF" w:usb1="5000205B" w:usb2="00000000" w:usb3="00000000" w:csb0="0000009B" w:csb1="00000000"/>
  </w:font>
  <w:font w:name="Futura Bk BT">
    <w:altName w:val="Futura Bk BT"/>
    <w:panose1 w:val="020B0502020204020303"/>
    <w:charset w:val="00"/>
    <w:family w:val="swiss"/>
    <w:pitch w:val="variable"/>
    <w:sig w:usb0="00000087" w:usb1="00000000" w:usb2="00000000" w:usb3="00000000" w:csb0="0000001B" w:csb1="00000000"/>
  </w:font>
  <w:font w:name="Adobe Arabic">
    <w:altName w:val="Times New Roman"/>
    <w:panose1 w:val="02040503050201020203"/>
    <w:charset w:val="00"/>
    <w:family w:val="roman"/>
    <w:notTrueType/>
    <w:pitch w:val="variable"/>
    <w:sig w:usb0="8000202F" w:usb1="8000A04A" w:usb2="00000008" w:usb3="00000000" w:csb0="00000041" w:csb1="00000000"/>
  </w:font>
  <w:font w:name="Futura Hv BT">
    <w:altName w:val="Century Gothic"/>
    <w:panose1 w:val="020B0702020204020204"/>
    <w:charset w:val="00"/>
    <w:family w:val="swiss"/>
    <w:pitch w:val="variable"/>
    <w:sig w:usb0="00000087" w:usb1="00000000" w:usb2="00000000" w:usb3="00000000" w:csb0="0000001B" w:csb1="00000000"/>
  </w:font>
  <w:font w:name="Futura Lt BT">
    <w:altName w:val="Century Gothic"/>
    <w:panose1 w:val="020B0402020204020303"/>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Brandon Grotesque Medium">
    <w:panose1 w:val="020B0603020203060202"/>
    <w:charset w:val="00"/>
    <w:family w:val="swiss"/>
    <w:notTrueType/>
    <w:pitch w:val="variable"/>
    <w:sig w:usb0="A00000AF" w:usb1="5000205B" w:usb2="00000000" w:usb3="00000000" w:csb0="0000009B" w:csb1="00000000"/>
  </w:font>
  <w:font w:name="Segoe UI">
    <w:panose1 w:val="020B0502040204020203"/>
    <w:charset w:val="00"/>
    <w:family w:val="swiss"/>
    <w:pitch w:val="variable"/>
    <w:sig w:usb0="E4002EFF" w:usb1="C000E47F" w:usb2="00000009" w:usb3="00000000" w:csb0="000001FF" w:csb1="00000000"/>
  </w:font>
  <w:font w:name="Futura Std">
    <w:altName w:val="Century Gothic"/>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Brandon Grotesque Black">
    <w:panose1 w:val="020B0A03020203060202"/>
    <w:charset w:val="00"/>
    <w:family w:val="swiss"/>
    <w:notTrueType/>
    <w:pitch w:val="variable"/>
    <w:sig w:usb0="A00000AF" w:usb1="5000205B" w:usb2="00000000" w:usb3="00000000" w:csb0="0000009B" w:csb1="00000000"/>
  </w:font>
  <w:font w:name="Brandon Grotesque">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5190514"/>
      <w:docPartObj>
        <w:docPartGallery w:val="Page Numbers (Bottom of Page)"/>
        <w:docPartUnique/>
      </w:docPartObj>
    </w:sdtPr>
    <w:sdtEndPr/>
    <w:sdtContent>
      <w:p w14:paraId="06B15297" w14:textId="77777777" w:rsidR="002B6202" w:rsidRDefault="002B6202">
        <w:pPr>
          <w:pStyle w:val="Fuzeile"/>
        </w:pPr>
        <w:r>
          <w:fldChar w:fldCharType="begin"/>
        </w:r>
        <w:r>
          <w:instrText>PAGE   \* MERGEFORMAT</w:instrText>
        </w:r>
        <w:r>
          <w:fldChar w:fldCharType="separate"/>
        </w:r>
        <w:r>
          <w:rPr>
            <w:noProof/>
          </w:rPr>
          <w:t>6</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6DC3E" w14:textId="7CAA8AEC" w:rsidR="002B6202" w:rsidRDefault="002B6202">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7596694"/>
      <w:docPartObj>
        <w:docPartGallery w:val="Page Numbers (Bottom of Page)"/>
        <w:docPartUnique/>
      </w:docPartObj>
    </w:sdtPr>
    <w:sdtEndPr/>
    <w:sdtContent>
      <w:p w14:paraId="54CF982E" w14:textId="77777777" w:rsidR="002B6202" w:rsidRDefault="002B6202">
        <w:pPr>
          <w:pStyle w:val="Fuzeile"/>
        </w:pPr>
        <w:del w:id="5" w:author="Heinisch, Katja" w:date="2026-07-27T09:22:00Z" w16du:dateUtc="2026-07-27T07:22:00Z">
          <w:r>
            <w:fldChar w:fldCharType="begin"/>
          </w:r>
          <w:r>
            <w:delInstrText>PAGE   \* MERGEFORMAT</w:delInstrText>
          </w:r>
          <w:r>
            <w:fldChar w:fldCharType="separate"/>
          </w:r>
          <w:r>
            <w:rPr>
              <w:noProof/>
            </w:rPr>
            <w:delText>4</w:delText>
          </w:r>
          <w:r>
            <w:fldChar w:fldCharType="end"/>
          </w:r>
        </w:del>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7983220"/>
      <w:docPartObj>
        <w:docPartGallery w:val="Page Numbers (Bottom of Page)"/>
        <w:docPartUnique/>
      </w:docPartObj>
    </w:sdtPr>
    <w:sdtContent>
      <w:p w14:paraId="46A0C2ED" w14:textId="05BC699D" w:rsidR="00AE1001" w:rsidRDefault="00AE1001">
        <w:pPr>
          <w:pStyle w:val="Fuzeile"/>
          <w:jc w:val="right"/>
        </w:pPr>
        <w:r>
          <w:fldChar w:fldCharType="begin"/>
        </w:r>
        <w:r>
          <w:instrText>PAGE   \* MERGEFORMAT</w:instrText>
        </w:r>
        <w:r>
          <w:fldChar w:fldCharType="separate"/>
        </w:r>
        <w:r>
          <w:t>2</w:t>
        </w:r>
        <w:r>
          <w:fldChar w:fldCharType="end"/>
        </w:r>
      </w:p>
    </w:sdtContent>
  </w:sdt>
  <w:p w14:paraId="6D222BBC" w14:textId="77777777" w:rsidR="00AE1001" w:rsidRDefault="00AE10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9C67B" w14:textId="77777777" w:rsidR="00DA7419" w:rsidRDefault="00DA7419">
      <w:pPr>
        <w:spacing w:after="0" w:line="240" w:lineRule="auto"/>
      </w:pPr>
      <w:r>
        <w:separator/>
      </w:r>
    </w:p>
  </w:footnote>
  <w:footnote w:type="continuationSeparator" w:id="0">
    <w:p w14:paraId="147DE8D3" w14:textId="77777777" w:rsidR="00DA7419" w:rsidRDefault="00DA7419">
      <w:pPr>
        <w:spacing w:after="0" w:line="240" w:lineRule="auto"/>
      </w:pPr>
      <w:ins w:id="0" w:author="Heinisch, Katja" w:date="2026-07-27T09:22:00Z" w16du:dateUtc="2026-07-27T07:22:00Z">
        <w:r>
          <w:continuationSeparator/>
        </w:r>
      </w:ins>
      <w:del w:id="1" w:author="Heinisch, Katja" w:date="2026-07-27T09:22:00Z" w16du:dateUtc="2026-07-27T07:22:00Z">
        <w:r>
          <w:separator/>
        </w:r>
      </w:del>
    </w:p>
  </w:footnote>
  <w:footnote w:type="continuationNotice" w:id="1">
    <w:p w14:paraId="3318A30A" w14:textId="77777777" w:rsidR="00DA7419" w:rsidRDefault="00DA741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C2161" w14:textId="77777777" w:rsidR="002B6202" w:rsidRDefault="002B6202">
    <w:pPr>
      <w:pStyle w:val="Kopfzeile"/>
      <w:tabs>
        <w:tab w:val="clear" w:pos="4536"/>
        <w:tab w:val="clear" w:pos="9072"/>
        <w:tab w:val="center" w:pos="5387"/>
        <w:tab w:val="right" w:pos="9639"/>
      </w:tabs>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EFA42E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pt;height:29.9pt" o:bullet="t">
        <v:imagedata r:id="rId1" o:title="IWH_Pfeil_RGB"/>
      </v:shape>
    </w:pict>
  </w:numPicBullet>
  <w:abstractNum w:abstractNumId="0" w15:restartNumberingAfterBreak="0">
    <w:nsid w:val="0000A991"/>
    <w:multiLevelType w:val="multilevel"/>
    <w:tmpl w:val="2772A4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36E0BC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7A74353"/>
    <w:multiLevelType w:val="hybridMultilevel"/>
    <w:tmpl w:val="88E89098"/>
    <w:lvl w:ilvl="0" w:tplc="4AFE5F8A">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6984B93"/>
    <w:multiLevelType w:val="multilevel"/>
    <w:tmpl w:val="D93215D4"/>
    <w:lvl w:ilvl="0">
      <w:start w:val="1"/>
      <w:numFmt w:val="decimal"/>
      <w:pStyle w:val="berschrift1"/>
      <w:lvlText w:val="%1"/>
      <w:lvlJc w:val="left"/>
      <w:pPr>
        <w:ind w:left="2418" w:hanging="432"/>
      </w:pPr>
      <w:rPr>
        <w:rFonts w:hint="default"/>
      </w:rPr>
    </w:lvl>
    <w:lvl w:ilvl="1">
      <w:start w:val="1"/>
      <w:numFmt w:val="decimal"/>
      <w:pStyle w:val="berschrift2"/>
      <w:lvlText w:val="%1.%2"/>
      <w:lvlJc w:val="left"/>
      <w:pPr>
        <w:ind w:left="2136" w:hanging="576"/>
      </w:pPr>
      <w:rPr>
        <w:rFonts w:hint="default"/>
      </w:rPr>
    </w:lvl>
    <w:lvl w:ilvl="2">
      <w:start w:val="1"/>
      <w:numFmt w:val="decimal"/>
      <w:pStyle w:val="berschrift3"/>
      <w:lvlText w:val="%1.%2.%3"/>
      <w:lvlJc w:val="left"/>
      <w:pPr>
        <w:ind w:left="5824" w:hanging="720"/>
      </w:pPr>
      <w:rPr>
        <w:rFonts w:hint="default"/>
      </w:rPr>
    </w:lvl>
    <w:lvl w:ilvl="3">
      <w:start w:val="1"/>
      <w:numFmt w:val="decimal"/>
      <w:pStyle w:val="berschrift4"/>
      <w:lvlText w:val="%1.%2.%3.%4"/>
      <w:lvlJc w:val="left"/>
      <w:pPr>
        <w:ind w:left="3275"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38FF53E8"/>
    <w:multiLevelType w:val="hybridMultilevel"/>
    <w:tmpl w:val="A860FA06"/>
    <w:lvl w:ilvl="0" w:tplc="3DE0148C">
      <w:start w:val="1"/>
      <w:numFmt w:val="bullet"/>
      <w:pStyle w:val="Titel"/>
      <w:lvlText w:val=""/>
      <w:lvlPicBulletId w:val="0"/>
      <w:lvlJc w:val="left"/>
      <w:pPr>
        <w:ind w:left="717" w:hanging="360"/>
      </w:pPr>
      <w:rPr>
        <w:rFonts w:ascii="Symbol" w:hAnsi="Symbol" w:hint="default"/>
        <w:color w:val="auto"/>
        <w:sz w:val="44"/>
        <w:u w:color="242B84" w:themeColor="accent1"/>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9772893"/>
    <w:multiLevelType w:val="multilevel"/>
    <w:tmpl w:val="A5EA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802DCC"/>
    <w:multiLevelType w:val="hybridMultilevel"/>
    <w:tmpl w:val="91828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24333495">
    <w:abstractNumId w:val="4"/>
  </w:num>
  <w:num w:numId="2" w16cid:durableId="1937206444">
    <w:abstractNumId w:val="3"/>
  </w:num>
  <w:num w:numId="3" w16cid:durableId="1047341588">
    <w:abstractNumId w:val="0"/>
  </w:num>
  <w:num w:numId="4" w16cid:durableId="1400513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68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428236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17096016">
    <w:abstractNumId w:val="6"/>
  </w:num>
  <w:num w:numId="8" w16cid:durableId="518548617">
    <w:abstractNumId w:val="2"/>
  </w:num>
  <w:num w:numId="9" w16cid:durableId="1032799927">
    <w:abstractNumId w:val="5"/>
  </w:num>
  <w:num w:numId="10" w16cid:durableId="973366818">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inisch, Katja">
    <w15:presenceInfo w15:providerId="AD" w15:userId="S::Katja.Heinisch@iwh-halle.de::55367444-911d-42f5-9504-fdbeb560e7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DateAndTime/>
  <w:activeWritingStyle w:appName="MSWord" w:lang="it-IT" w:vendorID="64" w:dllVersion="6" w:nlCheck="1" w:checkStyle="0"/>
  <w:activeWritingStyle w:appName="MSWord" w:lang="de-DE" w:vendorID="64" w:dllVersion="6" w:nlCheck="1" w:checkStyle="0"/>
  <w:activeWritingStyle w:appName="MSWord" w:lang="en-US" w:vendorID="64" w:dllVersion="6" w:nlCheck="1" w:checkStyle="1"/>
  <w:activeWritingStyle w:appName="MSWord" w:lang="fr-FR" w:vendorID="64" w:dllVersion="6" w:nlCheck="1" w:checkStyle="0"/>
  <w:activeWritingStyle w:appName="MSWord" w:lang="en-GB" w:vendorID="64" w:dllVersion="6" w:nlCheck="1" w:checkStyle="1"/>
  <w:activeWritingStyle w:appName="MSWord" w:lang="en-CA"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de-DE" w:vendorID="64" w:dllVersion="0" w:nlCheck="1" w:checkStyle="0"/>
  <w:activeWritingStyle w:appName="MSWord" w:lang="en-US" w:vendorID="64" w:dllVersion="0" w:nlCheck="1" w:checkStyle="0"/>
  <w:activeWritingStyle w:appName="MSWord" w:lang="en-GB" w:vendorID="64" w:dllVersion="0" w:nlCheck="1" w:checkStyle="0"/>
  <w:trackRevisions/>
  <w:defaultTabStop w:val="227"/>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8C4C9F43-A532-40E4-9128-3B159EE74F51}"/>
    <w:docVar w:name="dgnword-eventsink" w:val="115739240"/>
    <w:docVar w:name="dgnword-lastRevisionsView" w:val="0"/>
  </w:docVars>
  <w:rsids>
    <w:rsidRoot w:val="00E14EDE"/>
    <w:rsid w:val="0000717F"/>
    <w:rsid w:val="000734E5"/>
    <w:rsid w:val="000A1F96"/>
    <w:rsid w:val="000C181A"/>
    <w:rsid w:val="000F7A10"/>
    <w:rsid w:val="001314FA"/>
    <w:rsid w:val="00190D29"/>
    <w:rsid w:val="001D3462"/>
    <w:rsid w:val="001E62AC"/>
    <w:rsid w:val="001F1DB2"/>
    <w:rsid w:val="00211B6D"/>
    <w:rsid w:val="002A4BF9"/>
    <w:rsid w:val="002B6202"/>
    <w:rsid w:val="002C3A6E"/>
    <w:rsid w:val="002E5E72"/>
    <w:rsid w:val="0030577A"/>
    <w:rsid w:val="00327FD3"/>
    <w:rsid w:val="00331278"/>
    <w:rsid w:val="003B72B9"/>
    <w:rsid w:val="003C44CA"/>
    <w:rsid w:val="003D7B76"/>
    <w:rsid w:val="004404AC"/>
    <w:rsid w:val="00446DF3"/>
    <w:rsid w:val="00463E11"/>
    <w:rsid w:val="00483BED"/>
    <w:rsid w:val="004915C4"/>
    <w:rsid w:val="00523E9D"/>
    <w:rsid w:val="00576499"/>
    <w:rsid w:val="00577A64"/>
    <w:rsid w:val="00581EBC"/>
    <w:rsid w:val="00583BF7"/>
    <w:rsid w:val="005A584B"/>
    <w:rsid w:val="005A663F"/>
    <w:rsid w:val="005C0378"/>
    <w:rsid w:val="005E3018"/>
    <w:rsid w:val="005E32BF"/>
    <w:rsid w:val="005F674A"/>
    <w:rsid w:val="00752B43"/>
    <w:rsid w:val="00754689"/>
    <w:rsid w:val="0075749F"/>
    <w:rsid w:val="008073E7"/>
    <w:rsid w:val="0083166A"/>
    <w:rsid w:val="0087235D"/>
    <w:rsid w:val="008C50D8"/>
    <w:rsid w:val="008C5991"/>
    <w:rsid w:val="008C5FAB"/>
    <w:rsid w:val="008F2C02"/>
    <w:rsid w:val="009A2BBC"/>
    <w:rsid w:val="00A04CB2"/>
    <w:rsid w:val="00A5230E"/>
    <w:rsid w:val="00AD6175"/>
    <w:rsid w:val="00AE1001"/>
    <w:rsid w:val="00B6307E"/>
    <w:rsid w:val="00BA0ED1"/>
    <w:rsid w:val="00C02B84"/>
    <w:rsid w:val="00C20E0F"/>
    <w:rsid w:val="00C70881"/>
    <w:rsid w:val="00C9711D"/>
    <w:rsid w:val="00CC6440"/>
    <w:rsid w:val="00D56043"/>
    <w:rsid w:val="00DA7419"/>
    <w:rsid w:val="00DB7F10"/>
    <w:rsid w:val="00DC2391"/>
    <w:rsid w:val="00E14EDE"/>
    <w:rsid w:val="00EA70C4"/>
    <w:rsid w:val="00F1187A"/>
    <w:rsid w:val="00F75092"/>
    <w:rsid w:val="00FE049C"/>
    <w:rsid w:val="00FE754E"/>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1AC71"/>
  <w15:docId w15:val="{6F7DFEB0-E6D8-4FAA-9CA1-C5F314ADE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752B43"/>
    <w:pPr>
      <w:keepNext/>
      <w:keepLines/>
      <w:numPr>
        <w:numId w:val="2"/>
      </w:numPr>
      <w:spacing w:before="120" w:after="320" w:line="320" w:lineRule="atLeast"/>
      <w:ind w:left="431" w:hanging="431"/>
      <w:jc w:val="both"/>
      <w:outlineLvl w:val="0"/>
    </w:pPr>
    <w:rPr>
      <w:rFonts w:ascii="Brandon Grotesque Bold" w:eastAsiaTheme="majorEastAsia" w:hAnsi="Brandon Grotesque Bold" w:cstheme="majorBidi"/>
      <w:bCs/>
      <w:color w:val="242B84"/>
      <w:sz w:val="26"/>
      <w:szCs w:val="28"/>
    </w:rPr>
  </w:style>
  <w:style w:type="paragraph" w:styleId="berschrift2">
    <w:name w:val="heading 2"/>
    <w:basedOn w:val="Standard"/>
    <w:next w:val="Standard"/>
    <w:link w:val="berschrift2Zchn"/>
    <w:autoRedefine/>
    <w:uiPriority w:val="9"/>
    <w:unhideWhenUsed/>
    <w:qFormat/>
    <w:rsid w:val="002A4BF9"/>
    <w:pPr>
      <w:keepNext/>
      <w:keepLines/>
      <w:numPr>
        <w:ilvl w:val="1"/>
        <w:numId w:val="2"/>
      </w:numPr>
      <w:spacing w:before="320" w:after="0" w:line="320" w:lineRule="atLeast"/>
      <w:ind w:left="578" w:hanging="578"/>
      <w:outlineLvl w:val="1"/>
    </w:pPr>
    <w:rPr>
      <w:rFonts w:ascii="Brandon Grotesque Bold" w:eastAsiaTheme="majorEastAsia" w:hAnsi="Brandon Grotesque Bold" w:cstheme="majorBidi"/>
      <w:bCs/>
      <w:color w:val="5286D2"/>
      <w:sz w:val="24"/>
      <w:szCs w:val="26"/>
    </w:rPr>
  </w:style>
  <w:style w:type="paragraph" w:styleId="berschrift3">
    <w:name w:val="heading 3"/>
    <w:basedOn w:val="Standard"/>
    <w:next w:val="Standard"/>
    <w:link w:val="berschrift3Zchn"/>
    <w:uiPriority w:val="9"/>
    <w:unhideWhenUsed/>
    <w:qFormat/>
    <w:pPr>
      <w:keepNext/>
      <w:keepLines/>
      <w:numPr>
        <w:ilvl w:val="2"/>
        <w:numId w:val="2"/>
      </w:numPr>
      <w:spacing w:before="240" w:after="0"/>
      <w:ind w:left="720"/>
      <w:outlineLvl w:val="2"/>
    </w:pPr>
    <w:rPr>
      <w:rFonts w:asciiTheme="majorHAnsi" w:eastAsiaTheme="majorEastAsia" w:hAnsiTheme="majorHAnsi" w:cstheme="majorBidi"/>
      <w:b/>
      <w:bCs/>
      <w:color w:val="242B84"/>
    </w:rPr>
  </w:style>
  <w:style w:type="paragraph" w:styleId="berschrift4">
    <w:name w:val="heading 4"/>
    <w:basedOn w:val="Standard"/>
    <w:next w:val="Standard"/>
    <w:link w:val="berschrift4Zchn"/>
    <w:uiPriority w:val="9"/>
    <w:unhideWhenUsed/>
    <w:qFormat/>
    <w:pPr>
      <w:keepNext/>
      <w:keepLines/>
      <w:numPr>
        <w:ilvl w:val="3"/>
        <w:numId w:val="2"/>
      </w:numPr>
      <w:spacing w:before="320" w:after="0" w:line="320" w:lineRule="exact"/>
      <w:ind w:left="862" w:hanging="862"/>
      <w:outlineLvl w:val="3"/>
    </w:pPr>
    <w:rPr>
      <w:rFonts w:asciiTheme="majorHAnsi" w:eastAsiaTheme="majorEastAsia" w:hAnsiTheme="majorHAnsi" w:cstheme="majorBidi"/>
      <w:b/>
      <w:bCs/>
      <w:i/>
      <w:iCs/>
      <w:color w:val="242B84"/>
    </w:rPr>
  </w:style>
  <w:style w:type="paragraph" w:styleId="berschrift5">
    <w:name w:val="heading 5"/>
    <w:basedOn w:val="Standard"/>
    <w:next w:val="Standard"/>
    <w:link w:val="berschrift5Zchn"/>
    <w:uiPriority w:val="9"/>
    <w:unhideWhenUsed/>
    <w:qFormat/>
    <w:pPr>
      <w:keepNext/>
      <w:keepLines/>
      <w:numPr>
        <w:ilvl w:val="4"/>
        <w:numId w:val="2"/>
      </w:numPr>
      <w:spacing w:before="200" w:after="0"/>
      <w:outlineLvl w:val="4"/>
    </w:pPr>
    <w:rPr>
      <w:rFonts w:asciiTheme="majorHAnsi" w:eastAsiaTheme="majorEastAsia" w:hAnsiTheme="majorHAnsi" w:cstheme="majorBidi"/>
      <w:i/>
      <w:color w:val="5286D2"/>
    </w:rPr>
  </w:style>
  <w:style w:type="paragraph" w:styleId="berschrift6">
    <w:name w:val="heading 6"/>
    <w:basedOn w:val="Standard"/>
    <w:next w:val="Standard"/>
    <w:link w:val="berschrift6Zchn"/>
    <w:uiPriority w:val="9"/>
    <w:semiHidden/>
    <w:unhideWhenUsed/>
    <w:qFormat/>
    <w:pPr>
      <w:keepNext/>
      <w:keepLines/>
      <w:numPr>
        <w:ilvl w:val="5"/>
        <w:numId w:val="2"/>
      </w:numPr>
      <w:spacing w:before="200" w:after="0"/>
      <w:outlineLvl w:val="5"/>
    </w:pPr>
    <w:rPr>
      <w:rFonts w:asciiTheme="majorHAnsi" w:eastAsiaTheme="majorEastAsia" w:hAnsiTheme="majorHAnsi" w:cstheme="majorBidi"/>
      <w:i/>
      <w:iCs/>
      <w:color w:val="121541" w:themeColor="accent1" w:themeShade="7F"/>
    </w:rPr>
  </w:style>
  <w:style w:type="paragraph" w:styleId="berschrift7">
    <w:name w:val="heading 7"/>
    <w:basedOn w:val="Standard"/>
    <w:next w:val="Standard"/>
    <w:link w:val="berschrift7Zchn"/>
    <w:uiPriority w:val="9"/>
    <w:semiHidden/>
    <w:unhideWhenUsed/>
    <w:qFormat/>
    <w:pPr>
      <w:keepNext/>
      <w:keepLines/>
      <w:numPr>
        <w:ilvl w:val="6"/>
        <w:numId w:val="2"/>
      </w:numPr>
      <w:spacing w:before="200" w:after="0"/>
      <w:outlineLvl w:val="6"/>
    </w:pPr>
    <w:rPr>
      <w:rFonts w:asciiTheme="majorHAnsi" w:eastAsiaTheme="majorEastAsia" w:hAnsiTheme="majorHAnsi" w:cstheme="majorBidi"/>
      <w:i/>
      <w:iCs/>
      <w:color w:val="FFFFFF" w:themeColor="text1" w:themeTint="BF"/>
    </w:rPr>
  </w:style>
  <w:style w:type="paragraph" w:styleId="berschrift8">
    <w:name w:val="heading 8"/>
    <w:basedOn w:val="Standard"/>
    <w:next w:val="Standard"/>
    <w:link w:val="berschrift8Zchn"/>
    <w:uiPriority w:val="9"/>
    <w:semiHidden/>
    <w:unhideWhenUsed/>
    <w:qFormat/>
    <w:pPr>
      <w:keepNext/>
      <w:keepLines/>
      <w:numPr>
        <w:ilvl w:val="7"/>
        <w:numId w:val="2"/>
      </w:numPr>
      <w:spacing w:before="200" w:after="0"/>
      <w:outlineLvl w:val="7"/>
    </w:pPr>
    <w:rPr>
      <w:rFonts w:asciiTheme="majorHAnsi" w:eastAsiaTheme="majorEastAsia" w:hAnsiTheme="majorHAnsi" w:cstheme="majorBidi"/>
      <w:color w:val="FFFFFF" w:themeColor="text1" w:themeTint="BF"/>
      <w:sz w:val="20"/>
      <w:szCs w:val="20"/>
    </w:rPr>
  </w:style>
  <w:style w:type="paragraph" w:styleId="berschrift9">
    <w:name w:val="heading 9"/>
    <w:basedOn w:val="Standard"/>
    <w:next w:val="Standard"/>
    <w:link w:val="berschrift9Zchn"/>
    <w:uiPriority w:val="9"/>
    <w:semiHidden/>
    <w:unhideWhenUsed/>
    <w:qFormat/>
    <w:pPr>
      <w:keepNext/>
      <w:keepLines/>
      <w:numPr>
        <w:ilvl w:val="8"/>
        <w:numId w:val="2"/>
      </w:numPr>
      <w:spacing w:before="200" w:after="0"/>
      <w:outlineLvl w:val="8"/>
    </w:pPr>
    <w:rPr>
      <w:rFonts w:asciiTheme="majorHAnsi" w:eastAsiaTheme="majorEastAsia" w:hAnsiTheme="majorHAnsi" w:cstheme="majorBidi"/>
      <w:i/>
      <w:iCs/>
      <w:color w:val="FFFFFF"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2B43"/>
    <w:rPr>
      <w:rFonts w:ascii="Brandon Grotesque Bold" w:eastAsiaTheme="majorEastAsia" w:hAnsi="Brandon Grotesque Bold" w:cstheme="majorBidi"/>
      <w:bCs/>
      <w:color w:val="242B84"/>
      <w:sz w:val="26"/>
      <w:szCs w:val="28"/>
    </w:rPr>
  </w:style>
  <w:style w:type="character" w:customStyle="1" w:styleId="berschrift2Zchn">
    <w:name w:val="Überschrift 2 Zchn"/>
    <w:basedOn w:val="Absatz-Standardschriftart"/>
    <w:link w:val="berschrift2"/>
    <w:uiPriority w:val="9"/>
    <w:rsid w:val="002A4BF9"/>
    <w:rPr>
      <w:rFonts w:ascii="Brandon Grotesque Bold" w:eastAsiaTheme="majorEastAsia" w:hAnsi="Brandon Grotesque Bold" w:cstheme="majorBidi"/>
      <w:bCs/>
      <w:color w:val="5286D2"/>
      <w:sz w:val="24"/>
      <w:szCs w:val="26"/>
    </w:rPr>
  </w:style>
  <w:style w:type="character" w:customStyle="1" w:styleId="berschrift3Zchn">
    <w:name w:val="Überschrift 3 Zchn"/>
    <w:basedOn w:val="Absatz-Standardschriftart"/>
    <w:link w:val="berschrift3"/>
    <w:uiPriority w:val="9"/>
    <w:rPr>
      <w:rFonts w:asciiTheme="majorHAnsi" w:eastAsiaTheme="majorEastAsia" w:hAnsiTheme="majorHAnsi" w:cstheme="majorBidi"/>
      <w:b/>
      <w:bCs/>
      <w:color w:val="242B8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b/>
      <w:bCs/>
      <w:i/>
      <w:iCs/>
      <w:color w:val="242B84"/>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i/>
      <w:color w:val="5286D2"/>
    </w:rPr>
  </w:style>
  <w:style w:type="character" w:customStyle="1" w:styleId="berschrift6Zchn">
    <w:name w:val="Überschrift 6 Zchn"/>
    <w:basedOn w:val="Absatz-Standardschriftart"/>
    <w:link w:val="berschrift6"/>
    <w:uiPriority w:val="9"/>
    <w:semiHidden/>
    <w:rPr>
      <w:rFonts w:asciiTheme="majorHAnsi" w:eastAsiaTheme="majorEastAsia" w:hAnsiTheme="majorHAnsi" w:cstheme="majorBidi"/>
      <w:i/>
      <w:iCs/>
      <w:color w:val="121541" w:themeColor="accent1" w:themeShade="7F"/>
    </w:rPr>
  </w:style>
  <w:style w:type="character" w:customStyle="1" w:styleId="berschrift7Zchn">
    <w:name w:val="Überschrift 7 Zchn"/>
    <w:basedOn w:val="Absatz-Standardschriftart"/>
    <w:link w:val="berschrift7"/>
    <w:uiPriority w:val="9"/>
    <w:semiHidden/>
    <w:rPr>
      <w:rFonts w:asciiTheme="majorHAnsi" w:eastAsiaTheme="majorEastAsia" w:hAnsiTheme="majorHAnsi" w:cstheme="majorBidi"/>
      <w:i/>
      <w:iCs/>
      <w:color w:val="FFFFFF" w:themeColor="text1" w:themeTint="BF"/>
    </w:rPr>
  </w:style>
  <w:style w:type="character" w:customStyle="1" w:styleId="berschrift8Zchn">
    <w:name w:val="Überschrift 8 Zchn"/>
    <w:basedOn w:val="Absatz-Standardschriftart"/>
    <w:link w:val="berschrift8"/>
    <w:uiPriority w:val="9"/>
    <w:semiHidden/>
    <w:rPr>
      <w:rFonts w:asciiTheme="majorHAnsi" w:eastAsiaTheme="majorEastAsia" w:hAnsiTheme="majorHAnsi" w:cstheme="majorBidi"/>
      <w:color w:val="FFFFFF" w:themeColor="text1" w:themeTint="BF"/>
      <w:sz w:val="20"/>
      <w:szCs w:val="20"/>
    </w:rPr>
  </w:style>
  <w:style w:type="character" w:customStyle="1" w:styleId="berschrift9Zchn">
    <w:name w:val="Überschrift 9 Zchn"/>
    <w:basedOn w:val="Absatz-Standardschriftart"/>
    <w:link w:val="berschrift9"/>
    <w:uiPriority w:val="9"/>
    <w:semiHidden/>
    <w:rPr>
      <w:rFonts w:asciiTheme="majorHAnsi" w:eastAsiaTheme="majorEastAsia" w:hAnsiTheme="majorHAnsi" w:cstheme="majorBidi"/>
      <w:i/>
      <w:iCs/>
      <w:color w:val="FFFFFF" w:themeColor="text1" w:themeTint="BF"/>
      <w:sz w:val="20"/>
      <w:szCs w:val="20"/>
    </w:rPr>
  </w:style>
  <w:style w:type="paragraph" w:styleId="Sprechblasentext">
    <w:name w:val="Balloon Text"/>
    <w:basedOn w:val="Standard"/>
    <w:link w:val="SprechblasentextZchn"/>
    <w:uiPriority w:val="99"/>
    <w:semiHidden/>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Pr>
      <w:rFonts w:ascii="Tahoma" w:hAnsi="Tahoma" w:cs="Tahoma"/>
      <w:sz w:val="16"/>
      <w:szCs w:val="16"/>
    </w:rPr>
  </w:style>
  <w:style w:type="paragraph" w:styleId="Kopfzeile">
    <w:name w:val="header"/>
    <w:basedOn w:val="Standard"/>
    <w:link w:val="KopfzeileZchn"/>
    <w:uiPriority w:val="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pPr>
      <w:tabs>
        <w:tab w:val="center" w:pos="4536"/>
        <w:tab w:val="right" w:pos="9072"/>
      </w:tabs>
      <w:spacing w:after="0" w:line="240" w:lineRule="auto"/>
    </w:pPr>
    <w:rPr>
      <w:rFonts w:ascii="Brandon Grotesque Regular" w:hAnsi="Brandon Grotesque Regular"/>
      <w:sz w:val="19"/>
    </w:rPr>
  </w:style>
  <w:style w:type="character" w:customStyle="1" w:styleId="FuzeileZchn">
    <w:name w:val="Fußzeile Zchn"/>
    <w:basedOn w:val="Absatz-Standardschriftart"/>
    <w:link w:val="Fuzeile"/>
    <w:uiPriority w:val="99"/>
    <w:rPr>
      <w:rFonts w:ascii="Brandon Grotesque Regular" w:hAnsi="Brandon Grotesque Regular"/>
      <w:sz w:val="19"/>
    </w:rPr>
  </w:style>
  <w:style w:type="character" w:customStyle="1" w:styleId="CharacterStyle1">
    <w:name w:val="Character Style 1"/>
    <w:uiPriority w:val="99"/>
    <w:semiHidden/>
    <w:rPr>
      <w:rFonts w:ascii="Futura Bk BT" w:hAnsi="Futura Bk BT"/>
      <w:color w:val="242B84"/>
      <w:sz w:val="40"/>
    </w:rPr>
  </w:style>
  <w:style w:type="paragraph" w:customStyle="1" w:styleId="IWHFlietext">
    <w:name w:val="IWH Fließtext"/>
    <w:basedOn w:val="Standard"/>
    <w:link w:val="IWHFlietextZchn"/>
    <w:qFormat/>
    <w:pPr>
      <w:spacing w:before="120" w:line="320" w:lineRule="exact"/>
      <w:jc w:val="both"/>
    </w:pPr>
    <w:rPr>
      <w:rFonts w:ascii="Cambria" w:eastAsiaTheme="minorEastAsia" w:hAnsi="Cambria" w:cs="Times New Roman"/>
      <w:szCs w:val="20"/>
      <w:lang w:eastAsia="de-DE"/>
    </w:rPr>
  </w:style>
  <w:style w:type="character" w:customStyle="1" w:styleId="IWHFlietextZchn">
    <w:name w:val="IWH Fließtext Zchn"/>
    <w:basedOn w:val="Absatz-Standardschriftart"/>
    <w:link w:val="IWHFlietext"/>
    <w:rPr>
      <w:rFonts w:ascii="Cambria" w:eastAsiaTheme="minorEastAsia" w:hAnsi="Cambria" w:cs="Times New Roman"/>
      <w:szCs w:val="20"/>
      <w:lang w:eastAsia="de-DE"/>
    </w:rPr>
  </w:style>
  <w:style w:type="paragraph" w:customStyle="1" w:styleId="IWHZwischenberschrift">
    <w:name w:val="IWH Zwischenüberschrift"/>
    <w:basedOn w:val="IWHFlietext"/>
    <w:next w:val="IWHFlietext"/>
    <w:semiHidden/>
    <w:pPr>
      <w:spacing w:after="0"/>
    </w:pPr>
    <w:rPr>
      <w:rFonts w:ascii="Futura Bk BT" w:hAnsi="Futura Bk BT"/>
      <w:color w:val="242B84"/>
    </w:rPr>
  </w:style>
  <w:style w:type="character" w:styleId="Funotenzeichen">
    <w:name w:val="footnote reference"/>
    <w:aliases w:val="-E Fußnotenzeichen,(Diplomarbeit FZ),(Diplomarbeit FZ)1,(Diplomarbeit FZ)2,(Diplomarbeit FZ)3,(Diplomarbeit FZ)4,(Diplomarbeit FZ)5,(Diplomarbeit FZ)6,(Diplomarbeit FZ)7,(Diplomarbeit FZ)8,(Diplomarbeit FZ)9,-E Fuﬂnotenzeichen,number"/>
    <w:basedOn w:val="Absatz-Standardschriftart"/>
    <w:uiPriority w:val="99"/>
    <w:rPr>
      <w:vertAlign w:val="superscript"/>
    </w:rPr>
  </w:style>
  <w:style w:type="paragraph" w:customStyle="1" w:styleId="IWHFunotentext">
    <w:name w:val="IWH Fußnotentext"/>
    <w:basedOn w:val="Funotentext"/>
    <w:next w:val="IWHFlietext"/>
    <w:qFormat/>
    <w:pPr>
      <w:spacing w:after="60" w:line="200" w:lineRule="exact"/>
      <w:jc w:val="both"/>
    </w:pPr>
    <w:rPr>
      <w:rFonts w:eastAsiaTheme="minorEastAsia" w:cs="Times New Roman"/>
      <w:color w:val="454544"/>
      <w:sz w:val="16"/>
      <w:lang w:eastAsia="de-DE"/>
    </w:rPr>
  </w:style>
  <w:style w:type="paragraph" w:styleId="Funotentext">
    <w:name w:val="footnote text"/>
    <w:aliases w:val="IVSGV 6,-E Fußnotentext,Fußnotentext Ursprung,Fußnotentext Char1,Fußnotentext Char Char,Fußnotentext Char1 Char Char,Fußnotentext Char Char Char Char,Fußnotentext Char1 Char Char Char Char,Fußnotentext Char Char Char Char Char Char,fn"/>
    <w:basedOn w:val="Standard"/>
    <w:link w:val="FunotentextZchn"/>
    <w:uiPriority w:val="99"/>
    <w:qFormat/>
    <w:pPr>
      <w:tabs>
        <w:tab w:val="left" w:pos="454"/>
      </w:tabs>
      <w:spacing w:after="0" w:line="240" w:lineRule="auto"/>
      <w:ind w:left="454" w:hanging="454"/>
    </w:pPr>
    <w:rPr>
      <w:sz w:val="20"/>
      <w:szCs w:val="20"/>
    </w:rPr>
  </w:style>
  <w:style w:type="character" w:customStyle="1" w:styleId="FunotentextZchn">
    <w:name w:val="Fußnotentext Zchn"/>
    <w:aliases w:val="IVSGV 6 Zchn,-E Fußnotentext Zchn,Fußnotentext Ursprung Zchn,Fußnotentext Char1 Zchn,Fußnotentext Char Char Zchn,Fußnotentext Char1 Char Char Zchn,Fußnotentext Char Char Char Char Zchn,Fußnotentext Char1 Char Char Char Char Zchn"/>
    <w:basedOn w:val="Absatz-Standardschriftart"/>
    <w:link w:val="Funotentext"/>
    <w:uiPriority w:val="99"/>
    <w:rPr>
      <w:sz w:val="20"/>
      <w:szCs w:val="20"/>
    </w:rPr>
  </w:style>
  <w:style w:type="paragraph" w:customStyle="1" w:styleId="Style1">
    <w:name w:val="Style 1"/>
    <w:uiPriority w:val="99"/>
    <w:semiHidden/>
    <w:pPr>
      <w:widowControl w:val="0"/>
      <w:autoSpaceDE w:val="0"/>
      <w:autoSpaceDN w:val="0"/>
      <w:adjustRightInd w:val="0"/>
      <w:spacing w:after="0" w:line="240" w:lineRule="auto"/>
    </w:pPr>
    <w:rPr>
      <w:rFonts w:ascii="Times New Roman" w:eastAsiaTheme="minorEastAsia" w:hAnsi="Times New Roman" w:cs="Times New Roman"/>
      <w:sz w:val="20"/>
      <w:szCs w:val="20"/>
      <w:lang w:eastAsia="de-DE"/>
    </w:rPr>
  </w:style>
  <w:style w:type="table" w:styleId="Tabellenraster">
    <w:name w:val="Table Grid"/>
    <w:basedOn w:val="NormaleTabelle"/>
    <w:uiPriority w:val="59"/>
    <w:pPr>
      <w:spacing w:after="0" w:line="240" w:lineRule="auto"/>
    </w:pPr>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eitenzahl">
    <w:name w:val="page number"/>
    <w:basedOn w:val="Absatz-Standardschriftart"/>
    <w:uiPriority w:val="99"/>
    <w:semiHidden/>
  </w:style>
  <w:style w:type="paragraph" w:styleId="Listenabsatz">
    <w:name w:val="List Paragraph"/>
    <w:basedOn w:val="Standard"/>
    <w:link w:val="ListenabsatzZchn"/>
    <w:uiPriority w:val="34"/>
    <w:qFormat/>
    <w:pPr>
      <w:ind w:left="720"/>
      <w:contextualSpacing/>
    </w:pPr>
  </w:style>
  <w:style w:type="character" w:customStyle="1" w:styleId="ListenabsatzZchn">
    <w:name w:val="Listenabsatz Zchn"/>
    <w:basedOn w:val="Absatz-Standardschriftart"/>
    <w:link w:val="Listenabsatz"/>
    <w:uiPriority w:val="34"/>
  </w:style>
  <w:style w:type="character" w:styleId="Hyperlink">
    <w:name w:val="Hyperlink"/>
    <w:basedOn w:val="Absatz-Standardschriftart"/>
    <w:uiPriority w:val="99"/>
    <w:rPr>
      <w:color w:val="5286D2"/>
    </w:rPr>
  </w:style>
  <w:style w:type="paragraph" w:styleId="Titel">
    <w:name w:val="Title"/>
    <w:basedOn w:val="Standard"/>
    <w:next w:val="Standard"/>
    <w:link w:val="TitelZchn"/>
    <w:uiPriority w:val="10"/>
    <w:qFormat/>
    <w:pPr>
      <w:numPr>
        <w:numId w:val="1"/>
      </w:numPr>
      <w:spacing w:after="300" w:line="240" w:lineRule="auto"/>
      <w:ind w:left="0" w:hanging="709"/>
      <w:contextualSpacing/>
    </w:pPr>
    <w:rPr>
      <w:rFonts w:ascii="Futura Bk BT" w:eastAsiaTheme="majorEastAsia" w:hAnsi="Futura Bk BT" w:cstheme="majorBidi"/>
      <w:color w:val="242B84"/>
      <w:spacing w:val="5"/>
      <w:kern w:val="28"/>
      <w:sz w:val="44"/>
      <w:szCs w:val="52"/>
    </w:rPr>
  </w:style>
  <w:style w:type="character" w:customStyle="1" w:styleId="TitelZchn">
    <w:name w:val="Titel Zchn"/>
    <w:basedOn w:val="Absatz-Standardschriftart"/>
    <w:link w:val="Titel"/>
    <w:uiPriority w:val="10"/>
    <w:rPr>
      <w:rFonts w:ascii="Futura Bk BT" w:eastAsiaTheme="majorEastAsia" w:hAnsi="Futura Bk BT" w:cstheme="majorBidi"/>
      <w:color w:val="242B84"/>
      <w:spacing w:val="5"/>
      <w:kern w:val="28"/>
      <w:sz w:val="44"/>
      <w:szCs w:val="52"/>
    </w:rPr>
  </w:style>
  <w:style w:type="paragraph" w:customStyle="1" w:styleId="IWHZwischenberschrift2">
    <w:name w:val="IWH Zwischenüberschrift 2"/>
    <w:basedOn w:val="Standard"/>
    <w:semiHidden/>
    <w:pPr>
      <w:tabs>
        <w:tab w:val="left" w:pos="1823"/>
        <w:tab w:val="left" w:pos="4254"/>
      </w:tabs>
      <w:autoSpaceDE w:val="0"/>
      <w:autoSpaceDN w:val="0"/>
      <w:adjustRightInd w:val="0"/>
      <w:spacing w:before="200" w:line="340" w:lineRule="atLeast"/>
      <w:textAlignment w:val="center"/>
    </w:pPr>
    <w:rPr>
      <w:rFonts w:ascii="Futura Bk BT" w:eastAsiaTheme="minorEastAsia" w:hAnsi="Futura Bk BT" w:cs="Times New Roman"/>
      <w:color w:val="5286D2"/>
      <w:sz w:val="24"/>
      <w:szCs w:val="24"/>
      <w:lang w:eastAsia="ja-JP"/>
    </w:rPr>
  </w:style>
  <w:style w:type="paragraph" w:customStyle="1" w:styleId="IWHFunote">
    <w:name w:val="IWH Fußnote"/>
    <w:basedOn w:val="IWHFlietext"/>
    <w:qFormat/>
    <w:pPr>
      <w:tabs>
        <w:tab w:val="left" w:pos="454"/>
      </w:tabs>
      <w:autoSpaceDE w:val="0"/>
      <w:autoSpaceDN w:val="0"/>
      <w:adjustRightInd w:val="0"/>
      <w:spacing w:before="0" w:after="0" w:line="240" w:lineRule="auto"/>
      <w:ind w:left="454" w:hanging="454"/>
      <w:textAlignment w:val="center"/>
    </w:pPr>
    <w:rPr>
      <w:rFonts w:cs="Adobe Arabic"/>
      <w:color w:val="5F6972"/>
      <w:sz w:val="18"/>
      <w:szCs w:val="15"/>
      <w:lang w:eastAsia="ja-JP"/>
    </w:rPr>
  </w:style>
  <w:style w:type="paragraph" w:customStyle="1" w:styleId="IWHKasten1">
    <w:name w:val="IWH Kasten Ü1"/>
    <w:basedOn w:val="IWHFlietext"/>
    <w:next w:val="Standard"/>
    <w:qFormat/>
    <w:pPr>
      <w:pBdr>
        <w:top w:val="single" w:sz="4" w:space="1" w:color="E3ECF8"/>
        <w:left w:val="single" w:sz="4" w:space="4" w:color="E3ECF8"/>
        <w:bottom w:val="single" w:sz="4" w:space="1" w:color="E3ECF8"/>
        <w:right w:val="single" w:sz="4" w:space="4" w:color="E3ECF8"/>
      </w:pBdr>
      <w:shd w:val="clear" w:color="auto" w:fill="E3ECF8"/>
      <w:tabs>
        <w:tab w:val="left" w:pos="1823"/>
        <w:tab w:val="left" w:pos="4254"/>
      </w:tabs>
      <w:autoSpaceDE w:val="0"/>
      <w:autoSpaceDN w:val="0"/>
      <w:adjustRightInd w:val="0"/>
      <w:spacing w:before="200" w:after="0" w:line="276" w:lineRule="auto"/>
      <w:textAlignment w:val="center"/>
    </w:pPr>
    <w:rPr>
      <w:rFonts w:ascii="Futura Hv BT" w:hAnsi="Futura Hv BT"/>
      <w:color w:val="242B84"/>
      <w:sz w:val="18"/>
      <w:szCs w:val="16"/>
      <w:lang w:eastAsia="ja-JP"/>
    </w:rPr>
  </w:style>
  <w:style w:type="paragraph" w:customStyle="1" w:styleId="IWHKasten2">
    <w:name w:val="IWH Kasten Ü2"/>
    <w:basedOn w:val="IWHKasten1"/>
    <w:next w:val="Standard"/>
    <w:link w:val="IWHKasten2Zchn"/>
    <w:qFormat/>
    <w:pPr>
      <w:spacing w:before="0" w:line="280" w:lineRule="atLeast"/>
    </w:pPr>
    <w:rPr>
      <w:rFonts w:ascii="Futura Lt BT" w:hAnsi="Futura Lt BT"/>
      <w:sz w:val="22"/>
    </w:rPr>
  </w:style>
  <w:style w:type="character" w:customStyle="1" w:styleId="IWHKasten2Zchn">
    <w:name w:val="IWH Kasten Ü2 Zchn"/>
    <w:basedOn w:val="Absatz-Standardschriftart"/>
    <w:link w:val="IWHKasten2"/>
    <w:rPr>
      <w:rFonts w:ascii="Futura Lt BT" w:eastAsiaTheme="minorEastAsia" w:hAnsi="Futura Lt BT" w:cs="Times New Roman"/>
      <w:color w:val="242B84"/>
      <w:szCs w:val="16"/>
      <w:shd w:val="clear" w:color="auto" w:fill="E3ECF8"/>
      <w:lang w:eastAsia="ja-JP"/>
    </w:rPr>
  </w:style>
  <w:style w:type="paragraph" w:customStyle="1" w:styleId="IWHKastenQuellen">
    <w:name w:val="IWH Kasten Quellen"/>
    <w:basedOn w:val="Standard"/>
    <w:qFormat/>
    <w:pPr>
      <w:pBdr>
        <w:top w:val="single" w:sz="4" w:space="1" w:color="E3ECF8"/>
        <w:left w:val="single" w:sz="4" w:space="4" w:color="E3ECF8"/>
        <w:bottom w:val="single" w:sz="4" w:space="1" w:color="E3ECF8"/>
        <w:right w:val="single" w:sz="4" w:space="4" w:color="E3ECF8"/>
      </w:pBdr>
      <w:shd w:val="clear" w:color="auto" w:fill="E3ECF8"/>
      <w:tabs>
        <w:tab w:val="left" w:pos="1823"/>
        <w:tab w:val="left" w:pos="4254"/>
      </w:tabs>
      <w:autoSpaceDE w:val="0"/>
      <w:autoSpaceDN w:val="0"/>
      <w:adjustRightInd w:val="0"/>
      <w:spacing w:after="120"/>
      <w:jc w:val="both"/>
      <w:textAlignment w:val="center"/>
    </w:pPr>
    <w:rPr>
      <w:rFonts w:ascii="Cambria" w:eastAsiaTheme="minorEastAsia" w:hAnsi="Cambria" w:cs="Times New Roman"/>
      <w:color w:val="5F6972"/>
      <w:sz w:val="18"/>
      <w:szCs w:val="15"/>
      <w:lang w:eastAsia="ja-JP"/>
    </w:rPr>
  </w:style>
  <w:style w:type="paragraph" w:customStyle="1" w:styleId="StandartText">
    <w:name w:val="Standart Text"/>
    <w:basedOn w:val="Textkrper"/>
    <w:link w:val="StandartTextZchn"/>
    <w:qFormat/>
    <w:pPr>
      <w:spacing w:before="120" w:line="280" w:lineRule="atLeast"/>
      <w:jc w:val="both"/>
    </w:pPr>
    <w:rPr>
      <w:rFonts w:ascii="Calibri" w:eastAsiaTheme="minorEastAsia" w:hAnsi="Calibri" w:cs="Times New Roman"/>
      <w:szCs w:val="24"/>
      <w:lang w:eastAsia="de-DE"/>
    </w:rPr>
  </w:style>
  <w:style w:type="paragraph" w:styleId="Textkrper">
    <w:name w:val="Body Text"/>
    <w:basedOn w:val="Standard"/>
    <w:link w:val="TextkrperZchn"/>
    <w:unhideWhenUsed/>
    <w:qFormat/>
    <w:pPr>
      <w:spacing w:after="120"/>
    </w:pPr>
  </w:style>
  <w:style w:type="character" w:customStyle="1" w:styleId="TextkrperZchn">
    <w:name w:val="Textkörper Zchn"/>
    <w:basedOn w:val="Absatz-Standardschriftart"/>
    <w:link w:val="Textkrper"/>
    <w:uiPriority w:val="99"/>
  </w:style>
  <w:style w:type="character" w:customStyle="1" w:styleId="StandartTextZchn">
    <w:name w:val="Standart Text Zchn"/>
    <w:basedOn w:val="TextkrperZchn"/>
    <w:link w:val="StandartText"/>
    <w:rPr>
      <w:rFonts w:ascii="Calibri" w:eastAsiaTheme="minorEastAsia" w:hAnsi="Calibri" w:cs="Times New Roman"/>
      <w:szCs w:val="24"/>
      <w:lang w:eastAsia="de-DE"/>
    </w:rPr>
  </w:style>
  <w:style w:type="paragraph" w:customStyle="1" w:styleId="Quelle">
    <w:name w:val="Quelle"/>
    <w:basedOn w:val="Standard"/>
    <w:qFormat/>
    <w:pPr>
      <w:tabs>
        <w:tab w:val="left" w:pos="680"/>
      </w:tabs>
      <w:spacing w:before="60" w:after="60" w:line="240" w:lineRule="auto"/>
      <w:jc w:val="both"/>
    </w:pPr>
    <w:rPr>
      <w:rFonts w:ascii="Cambria" w:eastAsia="Times New Roman" w:hAnsi="Cambria" w:cs="Times New Roman"/>
      <w:sz w:val="18"/>
      <w:szCs w:val="20"/>
      <w:lang w:eastAsia="de-DE"/>
    </w:rPr>
  </w:style>
  <w:style w:type="paragraph" w:customStyle="1" w:styleId="Tabellenerklrung">
    <w:name w:val="Tabellenerklärung"/>
    <w:basedOn w:val="Standard"/>
    <w:pPr>
      <w:spacing w:before="60" w:after="0" w:line="240" w:lineRule="auto"/>
      <w:jc w:val="both"/>
    </w:pPr>
    <w:rPr>
      <w:rFonts w:ascii="Times New Roman" w:eastAsia="Times New Roman" w:hAnsi="Times New Roman" w:cs="Times New Roman"/>
      <w:sz w:val="16"/>
      <w:szCs w:val="20"/>
      <w:lang w:eastAsia="de-DE"/>
    </w:rPr>
  </w:style>
  <w:style w:type="paragraph" w:customStyle="1" w:styleId="Tabelleninhalt">
    <w:name w:val="Tabelleninhalt"/>
    <w:basedOn w:val="Standard"/>
    <w:pPr>
      <w:spacing w:after="0" w:line="240" w:lineRule="auto"/>
    </w:pPr>
    <w:rPr>
      <w:rFonts w:ascii="Brandon Grotesque Regular" w:eastAsia="Times New Roman" w:hAnsi="Brandon Grotesque Regular" w:cs="Times New Roman"/>
      <w:sz w:val="16"/>
      <w:szCs w:val="20"/>
      <w:lang w:eastAsia="de-DE"/>
    </w:rPr>
  </w:style>
  <w:style w:type="paragraph" w:customStyle="1" w:styleId="BeschriftungTabelle">
    <w:name w:val="BeschriftungTabelle"/>
    <w:basedOn w:val="Beschriftung"/>
    <w:next w:val="Standard"/>
    <w:pPr>
      <w:keepNext/>
      <w:spacing w:before="290" w:after="180" w:line="290" w:lineRule="atLeast"/>
      <w:ind w:left="1588" w:hanging="1588"/>
    </w:pPr>
    <w:rPr>
      <w:rFonts w:ascii="Arial" w:hAnsi="Arial"/>
      <w:bCs/>
      <w:color w:val="auto"/>
      <w:sz w:val="24"/>
      <w:szCs w:val="22"/>
    </w:rPr>
  </w:style>
  <w:style w:type="paragraph" w:styleId="Beschriftung">
    <w:name w:val="caption"/>
    <w:aliases w:val="Beschriftung_tab,tab_überschrift Char,tab_überschrift,Tab_Überschrift,Table legend"/>
    <w:basedOn w:val="AbbTab-Nummerierung"/>
    <w:next w:val="Standard"/>
    <w:link w:val="BeschriftungZchn"/>
    <w:autoRedefine/>
    <w:uiPriority w:val="35"/>
    <w:unhideWhenUsed/>
    <w:qFormat/>
    <w:rsid w:val="002B6202"/>
    <w:pPr>
      <w:spacing w:after="120"/>
    </w:pPr>
  </w:style>
  <w:style w:type="character" w:customStyle="1" w:styleId="BeschriftungZchn">
    <w:name w:val="Beschriftung Zchn"/>
    <w:aliases w:val="Beschriftung_tab Zchn,tab_überschrift Char Zchn,tab_überschrift Zchn,Tab_Überschrift Zchn,Table legend Zchn"/>
    <w:link w:val="Beschriftung"/>
    <w:uiPriority w:val="35"/>
    <w:locked/>
    <w:rsid w:val="002B6202"/>
    <w:rPr>
      <w:rFonts w:ascii="Brandon Grotesque Medium" w:eastAsia="Times New Roman" w:hAnsi="Brandon Grotesque Medium" w:cs="Times New Roman"/>
      <w:color w:val="242B84"/>
      <w:sz w:val="20"/>
      <w:szCs w:val="18"/>
      <w:lang w:eastAsia="de-DE"/>
    </w:rPr>
  </w:style>
  <w:style w:type="paragraph" w:customStyle="1" w:styleId="CitaviBibliographyEntry">
    <w:name w:val="Citavi Bibliography Entry"/>
    <w:basedOn w:val="Standard"/>
    <w:link w:val="CitaviBibliographyEntryZchn"/>
    <w:pPr>
      <w:spacing w:after="120"/>
    </w:pPr>
  </w:style>
  <w:style w:type="character" w:customStyle="1" w:styleId="CitaviBibliographyEntryZchn">
    <w:name w:val="Citavi Bibliography Entry Zchn"/>
    <w:basedOn w:val="berschrift2Zchn"/>
    <w:link w:val="CitaviBibliographyEntry"/>
    <w:rPr>
      <w:rFonts w:ascii="Futura Bk BT" w:eastAsiaTheme="majorEastAsia" w:hAnsi="Futura Bk BT" w:cstheme="majorBidi"/>
      <w:bCs/>
      <w:color w:val="5286D2"/>
      <w:sz w:val="24"/>
      <w:szCs w:val="26"/>
    </w:rPr>
  </w:style>
  <w:style w:type="paragraph" w:customStyle="1" w:styleId="CitaviBibliographyHeading">
    <w:name w:val="Citavi Bibliography Heading"/>
    <w:basedOn w:val="berschrift1"/>
    <w:link w:val="CitaviBibliographyHeadingZchn"/>
  </w:style>
  <w:style w:type="character" w:customStyle="1" w:styleId="CitaviBibliographyHeadingZchn">
    <w:name w:val="Citavi Bibliography Heading Zchn"/>
    <w:basedOn w:val="berschrift2Zchn"/>
    <w:link w:val="CitaviBibliographyHeading"/>
    <w:rPr>
      <w:rFonts w:ascii="Brandon Grotesque Bold" w:eastAsiaTheme="majorEastAsia" w:hAnsi="Brandon Grotesque Bold" w:cstheme="majorBidi"/>
      <w:bCs/>
      <w:color w:val="242B84"/>
      <w:sz w:val="26"/>
      <w:szCs w:val="28"/>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pPr>
      <w:spacing w:line="240" w:lineRule="auto"/>
    </w:pPr>
    <w:rPr>
      <w:sz w:val="20"/>
      <w:szCs w:val="20"/>
    </w:rPr>
  </w:style>
  <w:style w:type="character" w:customStyle="1" w:styleId="KommentartextZchn">
    <w:name w:val="Kommentartext Zchn"/>
    <w:basedOn w:val="Absatz-Standardschriftart"/>
    <w:link w:val="Kommentartext"/>
    <w:rPr>
      <w:sz w:val="20"/>
      <w:szCs w:val="20"/>
    </w:rPr>
  </w:style>
  <w:style w:type="paragraph" w:styleId="Kommentarthema">
    <w:name w:val="annotation subject"/>
    <w:basedOn w:val="Kommentartext"/>
    <w:next w:val="Kommentartext"/>
    <w:link w:val="KommentarthemaZchn"/>
    <w:uiPriority w:val="99"/>
    <w:semiHidden/>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Verzeichnis1">
    <w:name w:val="toc 1"/>
    <w:basedOn w:val="Standard"/>
    <w:next w:val="Standard"/>
    <w:autoRedefine/>
    <w:uiPriority w:val="39"/>
    <w:unhideWhenUsed/>
    <w:pPr>
      <w:tabs>
        <w:tab w:val="right" w:leader="dot" w:pos="9629"/>
      </w:tabs>
      <w:spacing w:after="100"/>
      <w:ind w:left="284" w:right="454" w:hanging="284"/>
      <w:jc w:val="both"/>
    </w:pPr>
    <w:rPr>
      <w:b/>
      <w:noProof/>
    </w:rPr>
  </w:style>
  <w:style w:type="paragraph" w:styleId="Verzeichnis2">
    <w:name w:val="toc 2"/>
    <w:basedOn w:val="Standard"/>
    <w:next w:val="Standard"/>
    <w:autoRedefine/>
    <w:uiPriority w:val="39"/>
    <w:unhideWhenUsed/>
    <w:pPr>
      <w:tabs>
        <w:tab w:val="left" w:pos="1418"/>
        <w:tab w:val="right" w:leader="dot" w:pos="9629"/>
      </w:tabs>
      <w:spacing w:after="100"/>
      <w:ind w:left="709" w:right="454" w:hanging="425"/>
    </w:pPr>
  </w:style>
  <w:style w:type="paragraph" w:styleId="Verzeichnis3">
    <w:name w:val="toc 3"/>
    <w:basedOn w:val="Standard"/>
    <w:next w:val="Standard"/>
    <w:autoRedefine/>
    <w:uiPriority w:val="39"/>
    <w:unhideWhenUsed/>
    <w:pPr>
      <w:tabs>
        <w:tab w:val="left" w:pos="1276"/>
        <w:tab w:val="right" w:leader="dot" w:pos="9629"/>
      </w:tabs>
      <w:spacing w:after="100"/>
      <w:ind w:left="1418" w:right="454" w:hanging="709"/>
      <w:jc w:val="both"/>
    </w:pPr>
  </w:style>
  <w:style w:type="character" w:styleId="BesuchterLink">
    <w:name w:val="FollowedHyperlink"/>
    <w:basedOn w:val="Absatz-Standardschriftart"/>
    <w:uiPriority w:val="99"/>
    <w:semiHidden/>
    <w:unhideWhenUsed/>
    <w:rPr>
      <w:color w:val="242B84" w:themeColor="followedHyperlink"/>
      <w:u w:val="single"/>
    </w:rPr>
  </w:style>
  <w:style w:type="paragraph" w:styleId="Abbildungsverzeichnis">
    <w:name w:val="table of figures"/>
    <w:basedOn w:val="Standard"/>
    <w:next w:val="Standard"/>
    <w:uiPriority w:val="99"/>
    <w:unhideWhenUsed/>
    <w:pPr>
      <w:spacing w:after="60"/>
      <w:ind w:left="1474" w:right="454" w:hanging="1474"/>
      <w:jc w:val="both"/>
    </w:pPr>
    <w:rPr>
      <w:color w:val="28313C" w:themeColor="accent3"/>
    </w:rPr>
  </w:style>
  <w:style w:type="paragraph" w:customStyle="1" w:styleId="IWHKasten3">
    <w:name w:val="IWH Kasten Ü3"/>
    <w:basedOn w:val="IWHKasten2"/>
    <w:qFormat/>
    <w:pPr>
      <w:spacing w:line="200" w:lineRule="atLeast"/>
    </w:pPr>
    <w:rPr>
      <w:rFonts w:ascii="Cambria" w:hAnsi="Cambria"/>
      <w:color w:val="28313C"/>
      <w:sz w:val="15"/>
      <w:szCs w:val="15"/>
    </w:rPr>
  </w:style>
  <w:style w:type="paragraph" w:customStyle="1" w:styleId="IWHAbbildungsinhalt">
    <w:name w:val="IWH Abbildungsinhalt"/>
    <w:basedOn w:val="IWHKasten3"/>
    <w:qFormat/>
    <w:pPr>
      <w:jc w:val="center"/>
    </w:pPr>
    <w:rPr>
      <w:rFonts w:ascii="Futura Bk BT" w:hAnsi="Futura Bk BT"/>
      <w:noProof/>
    </w:rPr>
  </w:style>
  <w:style w:type="paragraph" w:customStyle="1" w:styleId="AbbTab-Nummerierung">
    <w:name w:val="Abb/Tab-Nummerierung"/>
    <w:basedOn w:val="Standard"/>
    <w:qFormat/>
    <w:rsid w:val="002B6202"/>
    <w:pPr>
      <w:keepLines/>
      <w:spacing w:after="0" w:line="320" w:lineRule="atLeast"/>
    </w:pPr>
    <w:rPr>
      <w:rFonts w:ascii="Brandon Grotesque Medium" w:eastAsia="Times New Roman" w:hAnsi="Brandon Grotesque Medium" w:cs="Times New Roman"/>
      <w:color w:val="242B84"/>
      <w:sz w:val="20"/>
      <w:szCs w:val="18"/>
      <w:lang w:eastAsia="de-DE"/>
    </w:rPr>
  </w:style>
  <w:style w:type="table" w:styleId="MittlereSchattierung1-Akzent2">
    <w:name w:val="Medium Shading 1 Accent 2"/>
    <w:basedOn w:val="NormaleTabelle"/>
    <w:uiPriority w:val="63"/>
    <w:pPr>
      <w:spacing w:after="0" w:line="240" w:lineRule="auto"/>
    </w:pPr>
    <w:tblPr>
      <w:tblStyleRowBandSize w:val="1"/>
      <w:tblStyleColBandSize w:val="1"/>
      <w:tblBorders>
        <w:top w:val="single" w:sz="8" w:space="0" w:color="7DA4DD" w:themeColor="accent2" w:themeTint="BF"/>
        <w:left w:val="single" w:sz="8" w:space="0" w:color="7DA4DD" w:themeColor="accent2" w:themeTint="BF"/>
        <w:bottom w:val="single" w:sz="8" w:space="0" w:color="7DA4DD" w:themeColor="accent2" w:themeTint="BF"/>
        <w:right w:val="single" w:sz="8" w:space="0" w:color="7DA4DD" w:themeColor="accent2" w:themeTint="BF"/>
        <w:insideH w:val="single" w:sz="8" w:space="0" w:color="7DA4DD" w:themeColor="accent2" w:themeTint="BF"/>
      </w:tblBorders>
    </w:tblPr>
    <w:tblStylePr w:type="firstRow">
      <w:pPr>
        <w:spacing w:before="0" w:after="0" w:line="240" w:lineRule="auto"/>
      </w:pPr>
      <w:rPr>
        <w:b/>
        <w:bCs/>
        <w:color w:val="FFFFFF" w:themeColor="background1"/>
      </w:rPr>
      <w:tblPr/>
      <w:tcPr>
        <w:tcBorders>
          <w:top w:val="single" w:sz="8" w:space="0" w:color="7DA4DD" w:themeColor="accent2" w:themeTint="BF"/>
          <w:left w:val="single" w:sz="8" w:space="0" w:color="7DA4DD" w:themeColor="accent2" w:themeTint="BF"/>
          <w:bottom w:val="single" w:sz="8" w:space="0" w:color="7DA4DD" w:themeColor="accent2" w:themeTint="BF"/>
          <w:right w:val="single" w:sz="8" w:space="0" w:color="7DA4DD" w:themeColor="accent2" w:themeTint="BF"/>
          <w:insideH w:val="nil"/>
          <w:insideV w:val="nil"/>
        </w:tcBorders>
        <w:shd w:val="clear" w:color="auto" w:fill="5286D2" w:themeFill="accent2"/>
      </w:tcPr>
    </w:tblStylePr>
    <w:tblStylePr w:type="lastRow">
      <w:pPr>
        <w:spacing w:before="0" w:after="0" w:line="240" w:lineRule="auto"/>
      </w:pPr>
      <w:rPr>
        <w:b/>
        <w:bCs/>
      </w:rPr>
      <w:tblPr/>
      <w:tcPr>
        <w:tcBorders>
          <w:top w:val="double" w:sz="6" w:space="0" w:color="7DA4DD" w:themeColor="accent2" w:themeTint="BF"/>
          <w:left w:val="single" w:sz="8" w:space="0" w:color="7DA4DD" w:themeColor="accent2" w:themeTint="BF"/>
          <w:bottom w:val="single" w:sz="8" w:space="0" w:color="7DA4DD" w:themeColor="accent2" w:themeTint="BF"/>
          <w:right w:val="single" w:sz="8" w:space="0" w:color="7DA4DD" w:themeColor="accent2" w:themeTint="BF"/>
          <w:insideH w:val="nil"/>
          <w:insideV w:val="nil"/>
        </w:tcBorders>
      </w:tcPr>
    </w:tblStylePr>
    <w:tblStylePr w:type="firstCol">
      <w:rPr>
        <w:b/>
        <w:bCs/>
      </w:rPr>
    </w:tblStylePr>
    <w:tblStylePr w:type="lastCol">
      <w:rPr>
        <w:b/>
        <w:bCs/>
      </w:rPr>
    </w:tblStylePr>
    <w:tblStylePr w:type="band1Vert">
      <w:tblPr/>
      <w:tcPr>
        <w:shd w:val="clear" w:color="auto" w:fill="D4E0F4" w:themeFill="accent2" w:themeFillTint="3F"/>
      </w:tcPr>
    </w:tblStylePr>
    <w:tblStylePr w:type="band1Horz">
      <w:tblPr/>
      <w:tcPr>
        <w:tcBorders>
          <w:insideH w:val="nil"/>
          <w:insideV w:val="nil"/>
        </w:tcBorders>
        <w:shd w:val="clear" w:color="auto" w:fill="D4E0F4" w:themeFill="accent2" w:themeFillTint="3F"/>
      </w:tcPr>
    </w:tblStylePr>
    <w:tblStylePr w:type="band2Horz">
      <w:tblPr/>
      <w:tcPr>
        <w:tcBorders>
          <w:insideH w:val="nil"/>
          <w:insideV w:val="nil"/>
        </w:tcBorders>
      </w:tcPr>
    </w:tblStylePr>
  </w:style>
  <w:style w:type="character" w:styleId="Fett">
    <w:name w:val="Strong"/>
    <w:basedOn w:val="Absatz-Standardschriftart"/>
    <w:uiPriority w:val="22"/>
    <w:qFormat/>
    <w:rPr>
      <w:b/>
      <w:bCs/>
    </w:rPr>
  </w:style>
  <w:style w:type="table" w:styleId="MittlereSchattierung1-Akzent1">
    <w:name w:val="Medium Shading 1 Accent 1"/>
    <w:basedOn w:val="NormaleTabelle"/>
    <w:uiPriority w:val="63"/>
    <w:pPr>
      <w:spacing w:after="0" w:line="240" w:lineRule="auto"/>
    </w:pPr>
    <w:tblPr>
      <w:tblStyleRowBandSize w:val="1"/>
      <w:tblStyleColBandSize w:val="1"/>
      <w:tblBorders>
        <w:top w:val="single" w:sz="8" w:space="0" w:color="3640C7" w:themeColor="accent1" w:themeTint="BF"/>
        <w:left w:val="single" w:sz="8" w:space="0" w:color="3640C7" w:themeColor="accent1" w:themeTint="BF"/>
        <w:bottom w:val="single" w:sz="8" w:space="0" w:color="3640C7" w:themeColor="accent1" w:themeTint="BF"/>
        <w:right w:val="single" w:sz="8" w:space="0" w:color="3640C7" w:themeColor="accent1" w:themeTint="BF"/>
        <w:insideH w:val="single" w:sz="8" w:space="0" w:color="3640C7" w:themeColor="accent1" w:themeTint="BF"/>
      </w:tblBorders>
    </w:tblPr>
    <w:tblStylePr w:type="firstRow">
      <w:pPr>
        <w:spacing w:before="0" w:after="0" w:line="240" w:lineRule="auto"/>
      </w:pPr>
      <w:rPr>
        <w:b/>
        <w:bCs/>
        <w:color w:val="FFFFFF" w:themeColor="background1"/>
      </w:rPr>
      <w:tblPr/>
      <w:tcPr>
        <w:tcBorders>
          <w:top w:val="single" w:sz="8" w:space="0" w:color="3640C7" w:themeColor="accent1" w:themeTint="BF"/>
          <w:left w:val="single" w:sz="8" w:space="0" w:color="3640C7" w:themeColor="accent1" w:themeTint="BF"/>
          <w:bottom w:val="single" w:sz="8" w:space="0" w:color="3640C7" w:themeColor="accent1" w:themeTint="BF"/>
          <w:right w:val="single" w:sz="8" w:space="0" w:color="3640C7" w:themeColor="accent1" w:themeTint="BF"/>
          <w:insideH w:val="nil"/>
          <w:insideV w:val="nil"/>
        </w:tcBorders>
        <w:shd w:val="clear" w:color="auto" w:fill="242B84" w:themeFill="accent1"/>
      </w:tcPr>
    </w:tblStylePr>
    <w:tblStylePr w:type="lastRow">
      <w:pPr>
        <w:spacing w:before="0" w:after="0" w:line="240" w:lineRule="auto"/>
      </w:pPr>
      <w:rPr>
        <w:b/>
        <w:bCs/>
      </w:rPr>
      <w:tblPr/>
      <w:tcPr>
        <w:tcBorders>
          <w:top w:val="double" w:sz="6" w:space="0" w:color="3640C7" w:themeColor="accent1" w:themeTint="BF"/>
          <w:left w:val="single" w:sz="8" w:space="0" w:color="3640C7" w:themeColor="accent1" w:themeTint="BF"/>
          <w:bottom w:val="single" w:sz="8" w:space="0" w:color="3640C7" w:themeColor="accent1" w:themeTint="BF"/>
          <w:right w:val="single" w:sz="8" w:space="0" w:color="3640C7"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BFED" w:themeFill="accent1" w:themeFillTint="3F"/>
      </w:tcPr>
    </w:tblStylePr>
    <w:tblStylePr w:type="band1Horz">
      <w:tblPr/>
      <w:tcPr>
        <w:tcBorders>
          <w:insideH w:val="nil"/>
          <w:insideV w:val="nil"/>
        </w:tcBorders>
        <w:shd w:val="clear" w:color="auto" w:fill="BCBFED" w:themeFill="accent1" w:themeFillTint="3F"/>
      </w:tcPr>
    </w:tblStylePr>
    <w:tblStylePr w:type="band2Horz">
      <w:tblPr/>
      <w:tcPr>
        <w:tcBorders>
          <w:insideH w:val="nil"/>
          <w:insideV w:val="nil"/>
        </w:tcBorders>
      </w:tcPr>
    </w:tblStylePr>
  </w:style>
  <w:style w:type="table" w:customStyle="1" w:styleId="iwhtabellevorlage">
    <w:name w:val="iwh_tabelle_vorlage"/>
    <w:basedOn w:val="NormaleTabelle"/>
    <w:uiPriority w:val="99"/>
    <w:pPr>
      <w:spacing w:after="0" w:line="240" w:lineRule="auto"/>
    </w:pPr>
    <w:rPr>
      <w:rFonts w:ascii="Futura Lt BT" w:hAnsi="Futura Lt BT"/>
      <w:sz w:val="16"/>
      <w:szCs w:val="20"/>
      <w:lang w:eastAsia="de-DE"/>
    </w:rPr>
    <w:tblPr>
      <w:tblStyleRowBandSize w:val="1"/>
      <w:tblStyleColBandSize w:val="1"/>
      <w:tblBorders>
        <w:top w:val="single" w:sz="4" w:space="0" w:color="auto"/>
        <w:left w:val="single" w:sz="4" w:space="0" w:color="auto"/>
        <w:bottom w:val="single" w:sz="4" w:space="0" w:color="auto"/>
        <w:right w:val="single" w:sz="4" w:space="0" w:color="auto"/>
      </w:tblBorders>
    </w:tblPr>
    <w:tcPr>
      <w:vAlign w:val="center"/>
    </w:tcPr>
    <w:tblStylePr w:type="firstRow">
      <w:pPr>
        <w:spacing w:before="0" w:after="0" w:line="240" w:lineRule="auto"/>
      </w:pPr>
      <w:rPr>
        <w:rFonts w:ascii="Segoe UI" w:hAnsi="Segoe UI"/>
        <w:b w:val="0"/>
        <w:bCs/>
        <w:color w:val="FFFFFF" w:themeColor="background1"/>
        <w:sz w:val="16"/>
      </w:rPr>
      <w:tblPr/>
      <w:tcPr>
        <w:tcBorders>
          <w:top w:val="single" w:sz="4" w:space="0" w:color="auto"/>
          <w:left w:val="single" w:sz="4" w:space="0" w:color="auto"/>
          <w:bottom w:val="single" w:sz="4" w:space="0" w:color="auto"/>
          <w:right w:val="single" w:sz="4" w:space="0" w:color="auto"/>
          <w:insideH w:val="nil"/>
          <w:insideV w:val="nil"/>
        </w:tcBorders>
        <w:shd w:val="clear" w:color="auto" w:fill="242B84" w:themeFill="accent1"/>
      </w:tcPr>
    </w:tblStylePr>
    <w:tblStylePr w:type="lastRow">
      <w:pPr>
        <w:spacing w:before="0" w:after="0" w:line="240" w:lineRule="auto"/>
      </w:pPr>
      <w:rPr>
        <w:rFonts w:ascii="Futura Lt BT" w:hAnsi="Futura Lt BT"/>
        <w:b w:val="0"/>
        <w:bCs/>
        <w:sz w:val="16"/>
      </w:rPr>
      <w:tblPr/>
      <w:tcPr>
        <w:tcBorders>
          <w:top w:val="single" w:sz="4" w:space="0" w:color="auto"/>
          <w:left w:val="single" w:sz="4" w:space="0" w:color="auto"/>
          <w:bottom w:val="single" w:sz="4" w:space="0" w:color="auto"/>
          <w:right w:val="single" w:sz="4" w:space="0" w:color="auto"/>
          <w:insideH w:val="nil"/>
          <w:insideV w:val="nil"/>
        </w:tcBorders>
      </w:tcPr>
    </w:tblStylePr>
    <w:tblStylePr w:type="firstCol">
      <w:rPr>
        <w:rFonts w:ascii="Futura Lt BT" w:hAnsi="Futura Lt BT"/>
        <w:b w:val="0"/>
        <w:bCs/>
        <w:sz w:val="16"/>
      </w:rPr>
    </w:tblStylePr>
    <w:tblStylePr w:type="lastCol">
      <w:rPr>
        <w:rFonts w:ascii="Futura Lt BT" w:hAnsi="Futura Lt BT"/>
        <w:b w:val="0"/>
        <w:bCs/>
        <w:sz w:val="16"/>
      </w:rPr>
    </w:tblStylePr>
    <w:tblStylePr w:type="band2Vert">
      <w:tblPr/>
      <w:tcPr>
        <w:vAlign w:val="bottom"/>
      </w:tcPr>
    </w:tblStylePr>
    <w:tblStylePr w:type="band1Horz">
      <w:rPr>
        <w:rFonts w:ascii="Futura Lt BT" w:hAnsi="Futura Lt BT"/>
        <w:b w:val="0"/>
        <w:sz w:val="16"/>
      </w:rPr>
      <w:tblPr/>
      <w:tcPr>
        <w:tcBorders>
          <w:insideH w:val="nil"/>
          <w:insideV w:val="nil"/>
        </w:tcBorders>
        <w:shd w:val="clear" w:color="auto" w:fill="D4E0F4" w:themeFill="accent2" w:themeFillTint="3F"/>
      </w:tcPr>
    </w:tblStylePr>
    <w:tblStylePr w:type="band2Horz">
      <w:rPr>
        <w:rFonts w:ascii="Futura Lt BT" w:hAnsi="Futura Lt BT"/>
        <w:b w:val="0"/>
        <w:sz w:val="16"/>
      </w:rPr>
      <w:tblPr/>
      <w:tcPr>
        <w:tcBorders>
          <w:insideH w:val="nil"/>
          <w:insideV w:val="nil"/>
        </w:tcBorders>
        <w:shd w:val="clear" w:color="auto" w:fill="FFFFFF" w:themeFill="background1"/>
      </w:tcPr>
    </w:tblStylePr>
    <w:tblStylePr w:type="nwCell">
      <w:rPr>
        <w:rFonts w:ascii="Futura Lt BT" w:hAnsi="Futura Lt BT"/>
        <w:b w:val="0"/>
        <w:sz w:val="16"/>
      </w:rPr>
    </w:tblStylePr>
  </w:style>
  <w:style w:type="paragraph" w:styleId="berarbeitung">
    <w:name w:val="Revision"/>
    <w:hidden/>
    <w:uiPriority w:val="99"/>
    <w:semiHidden/>
    <w:pPr>
      <w:spacing w:after="0" w:line="240" w:lineRule="auto"/>
    </w:pPr>
  </w:style>
  <w:style w:type="table" w:customStyle="1" w:styleId="iwhtabellevorlage1">
    <w:name w:val="iwh_tabelle_vorlage1"/>
    <w:basedOn w:val="NormaleTabelle"/>
    <w:uiPriority w:val="99"/>
    <w:pPr>
      <w:spacing w:after="0" w:line="240" w:lineRule="auto"/>
    </w:pPr>
    <w:rPr>
      <w:rFonts w:ascii="Futura Lt BT" w:hAnsi="Futura Lt BT"/>
      <w:sz w:val="16"/>
      <w:szCs w:val="20"/>
      <w:lang w:eastAsia="de-DE"/>
    </w:rPr>
    <w:tblPr>
      <w:tblStyleRowBandSize w:val="1"/>
      <w:tblStyleColBandSize w:val="1"/>
      <w:tblBorders>
        <w:top w:val="single" w:sz="4" w:space="0" w:color="auto"/>
        <w:left w:val="single" w:sz="4" w:space="0" w:color="auto"/>
        <w:bottom w:val="single" w:sz="4" w:space="0" w:color="auto"/>
        <w:right w:val="single" w:sz="4" w:space="0" w:color="auto"/>
      </w:tblBorders>
    </w:tblPr>
    <w:tcPr>
      <w:vAlign w:val="center"/>
    </w:tcPr>
    <w:tblStylePr w:type="firstRow">
      <w:pPr>
        <w:spacing w:before="0" w:after="0" w:line="240" w:lineRule="auto"/>
      </w:pPr>
      <w:rPr>
        <w:rFonts w:ascii="Segoe UI" w:hAnsi="Segoe UI"/>
        <w:b w:val="0"/>
        <w:bCs/>
        <w:color w:val="FFFFFF" w:themeColor="background1"/>
        <w:sz w:val="16"/>
      </w:rPr>
      <w:tblPr/>
      <w:tcPr>
        <w:tcBorders>
          <w:top w:val="single" w:sz="4" w:space="0" w:color="auto"/>
          <w:left w:val="single" w:sz="4" w:space="0" w:color="auto"/>
          <w:bottom w:val="single" w:sz="4" w:space="0" w:color="auto"/>
          <w:right w:val="single" w:sz="4" w:space="0" w:color="auto"/>
          <w:insideH w:val="nil"/>
          <w:insideV w:val="nil"/>
        </w:tcBorders>
        <w:shd w:val="clear" w:color="auto" w:fill="242B84" w:themeFill="accent1"/>
      </w:tcPr>
    </w:tblStylePr>
    <w:tblStylePr w:type="lastRow">
      <w:pPr>
        <w:spacing w:before="0" w:after="0" w:line="240" w:lineRule="auto"/>
      </w:pPr>
      <w:rPr>
        <w:rFonts w:ascii="Futura Lt BT" w:hAnsi="Futura Lt BT"/>
        <w:b w:val="0"/>
        <w:bCs/>
        <w:sz w:val="16"/>
      </w:rPr>
      <w:tblPr/>
      <w:tcPr>
        <w:tcBorders>
          <w:top w:val="single" w:sz="4" w:space="0" w:color="auto"/>
          <w:left w:val="single" w:sz="4" w:space="0" w:color="auto"/>
          <w:bottom w:val="single" w:sz="4" w:space="0" w:color="auto"/>
          <w:right w:val="single" w:sz="4" w:space="0" w:color="auto"/>
          <w:insideH w:val="nil"/>
          <w:insideV w:val="nil"/>
        </w:tcBorders>
      </w:tcPr>
    </w:tblStylePr>
    <w:tblStylePr w:type="firstCol">
      <w:rPr>
        <w:rFonts w:ascii="Futura Lt BT" w:hAnsi="Futura Lt BT"/>
        <w:b w:val="0"/>
        <w:bCs/>
        <w:sz w:val="16"/>
      </w:rPr>
    </w:tblStylePr>
    <w:tblStylePr w:type="lastCol">
      <w:rPr>
        <w:rFonts w:ascii="Futura Lt BT" w:hAnsi="Futura Lt BT"/>
        <w:b w:val="0"/>
        <w:bCs/>
        <w:sz w:val="16"/>
      </w:rPr>
    </w:tblStylePr>
    <w:tblStylePr w:type="band2Vert">
      <w:tblPr/>
      <w:tcPr>
        <w:vAlign w:val="bottom"/>
      </w:tcPr>
    </w:tblStylePr>
    <w:tblStylePr w:type="band1Horz">
      <w:rPr>
        <w:rFonts w:ascii="Futura Lt BT" w:hAnsi="Futura Lt BT"/>
        <w:b w:val="0"/>
        <w:sz w:val="16"/>
      </w:rPr>
      <w:tblPr/>
      <w:tcPr>
        <w:tcBorders>
          <w:insideH w:val="nil"/>
          <w:insideV w:val="nil"/>
        </w:tcBorders>
        <w:shd w:val="clear" w:color="auto" w:fill="D4E0F4" w:themeFill="accent2" w:themeFillTint="3F"/>
      </w:tcPr>
    </w:tblStylePr>
    <w:tblStylePr w:type="band2Horz">
      <w:rPr>
        <w:rFonts w:ascii="Futura Lt BT" w:hAnsi="Futura Lt BT"/>
        <w:b w:val="0"/>
        <w:sz w:val="16"/>
      </w:rPr>
      <w:tblPr/>
      <w:tcPr>
        <w:tcBorders>
          <w:insideH w:val="nil"/>
          <w:insideV w:val="nil"/>
        </w:tcBorders>
        <w:shd w:val="clear" w:color="auto" w:fill="FFFFFF" w:themeFill="background1"/>
      </w:tcPr>
    </w:tblStylePr>
    <w:tblStylePr w:type="nwCell">
      <w:rPr>
        <w:rFonts w:ascii="Futura Lt BT" w:hAnsi="Futura Lt BT"/>
        <w:b w:val="0"/>
        <w:sz w:val="16"/>
      </w:rPr>
    </w:tblStylePr>
  </w:style>
  <w:style w:type="character" w:customStyle="1" w:styleId="CommentTextChar">
    <w:name w:val="Comment Text Char"/>
    <w:basedOn w:val="Absatz-Standardschriftart"/>
    <w:uiPriority w:val="99"/>
    <w:semiHidden/>
    <w:rPr>
      <w:sz w:val="20"/>
      <w:szCs w:val="20"/>
    </w:rPr>
  </w:style>
  <w:style w:type="paragraph" w:styleId="Index5">
    <w:name w:val="index 5"/>
    <w:basedOn w:val="Standard"/>
    <w:next w:val="Standard"/>
    <w:autoRedefine/>
    <w:uiPriority w:val="99"/>
    <w:semiHidden/>
    <w:unhideWhenUsed/>
    <w:pPr>
      <w:spacing w:after="0" w:line="240" w:lineRule="auto"/>
      <w:ind w:left="1100" w:hanging="220"/>
    </w:pPr>
  </w:style>
  <w:style w:type="paragraph" w:customStyle="1" w:styleId="Text">
    <w:name w:val="Text"/>
    <w:basedOn w:val="Textkrper"/>
    <w:link w:val="TextZchn"/>
    <w:qFormat/>
    <w:pPr>
      <w:spacing w:before="120" w:line="280" w:lineRule="atLeast"/>
    </w:pPr>
    <w:rPr>
      <w:rFonts w:ascii="Cambria" w:eastAsia="Times New Roman" w:hAnsi="Cambria" w:cs="Times New Roman"/>
      <w:szCs w:val="24"/>
      <w:lang w:val="x-none" w:eastAsia="x-none"/>
    </w:rPr>
  </w:style>
  <w:style w:type="character" w:customStyle="1" w:styleId="TextZchn">
    <w:name w:val="Text Zchn"/>
    <w:link w:val="Text"/>
    <w:rPr>
      <w:rFonts w:ascii="Cambria" w:eastAsia="Times New Roman" w:hAnsi="Cambria" w:cs="Times New Roman"/>
      <w:szCs w:val="24"/>
      <w:lang w:val="x-none" w:eastAsia="x-none"/>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Platzhaltertext">
    <w:name w:val="Placeholder Text"/>
    <w:basedOn w:val="Absatz-Standardschriftart"/>
    <w:uiPriority w:val="99"/>
    <w:semiHidden/>
    <w:rPr>
      <w:color w:val="808080"/>
    </w:rPr>
  </w:style>
  <w:style w:type="paragraph" w:styleId="StandardWeb">
    <w:name w:val="Normal (Web)"/>
    <w:basedOn w:val="Standard"/>
    <w:uiPriority w:val="99"/>
    <w:semiHidden/>
    <w:unhideWhenUsed/>
    <w:pPr>
      <w:spacing w:before="100" w:beforeAutospacing="1" w:after="100" w:afterAutospacing="1" w:line="240" w:lineRule="auto"/>
    </w:pPr>
    <w:rPr>
      <w:rFonts w:ascii="Times New Roman" w:eastAsiaTheme="minorEastAsia" w:hAnsi="Times New Roman" w:cs="Times New Roman"/>
      <w:sz w:val="24"/>
      <w:szCs w:val="24"/>
      <w:lang w:eastAsia="de-DE"/>
    </w:rPr>
  </w:style>
  <w:style w:type="paragraph" w:customStyle="1" w:styleId="Default">
    <w:name w:val="Default"/>
    <w:pPr>
      <w:autoSpaceDE w:val="0"/>
      <w:autoSpaceDN w:val="0"/>
      <w:adjustRightInd w:val="0"/>
      <w:spacing w:after="0" w:line="240" w:lineRule="auto"/>
    </w:pPr>
    <w:rPr>
      <w:rFonts w:ascii="Futura Std" w:hAnsi="Futura Std" w:cs="Futura Std"/>
      <w:color w:val="000000"/>
      <w:sz w:val="24"/>
      <w:szCs w:val="24"/>
    </w:rPr>
  </w:style>
  <w:style w:type="character" w:customStyle="1" w:styleId="cls-response">
    <w:name w:val="cls-response"/>
    <w:basedOn w:val="Absatz-Standardschriftart"/>
  </w:style>
  <w:style w:type="paragraph" w:styleId="Zitat">
    <w:name w:val="Quote"/>
    <w:basedOn w:val="Standard"/>
    <w:next w:val="Standard"/>
    <w:link w:val="ZitatZchn"/>
    <w:uiPriority w:val="29"/>
    <w:qFormat/>
    <w:pPr>
      <w:spacing w:before="200" w:after="160"/>
      <w:ind w:left="864" w:right="864"/>
      <w:jc w:val="center"/>
    </w:pPr>
    <w:rPr>
      <w:i/>
      <w:iCs/>
      <w:color w:val="FFFFFF" w:themeColor="text1" w:themeTint="BF"/>
    </w:rPr>
  </w:style>
  <w:style w:type="character" w:customStyle="1" w:styleId="ZitatZchn">
    <w:name w:val="Zitat Zchn"/>
    <w:basedOn w:val="Absatz-Standardschriftart"/>
    <w:link w:val="Zitat"/>
    <w:uiPriority w:val="29"/>
    <w:rPr>
      <w:i/>
      <w:iCs/>
      <w:color w:val="FFFFFF" w:themeColor="text1" w:themeTint="BF"/>
    </w:rPr>
  </w:style>
  <w:style w:type="paragraph" w:styleId="IntensivesZitat">
    <w:name w:val="Intense Quote"/>
    <w:basedOn w:val="Standard"/>
    <w:next w:val="Standard"/>
    <w:link w:val="IntensivesZitatZchn"/>
    <w:uiPriority w:val="30"/>
    <w:qFormat/>
    <w:pPr>
      <w:pBdr>
        <w:top w:val="single" w:sz="4" w:space="10" w:color="242B84" w:themeColor="accent1"/>
        <w:bottom w:val="single" w:sz="4" w:space="10" w:color="242B84" w:themeColor="accent1"/>
      </w:pBdr>
      <w:spacing w:before="360" w:after="360"/>
      <w:ind w:left="864" w:right="864"/>
      <w:jc w:val="center"/>
    </w:pPr>
    <w:rPr>
      <w:i/>
      <w:iCs/>
      <w:color w:val="242B84" w:themeColor="accent1"/>
    </w:rPr>
  </w:style>
  <w:style w:type="character" w:customStyle="1" w:styleId="IntensivesZitatZchn">
    <w:name w:val="Intensives Zitat Zchn"/>
    <w:basedOn w:val="Absatz-Standardschriftart"/>
    <w:link w:val="IntensivesZitat"/>
    <w:uiPriority w:val="30"/>
    <w:rPr>
      <w:i/>
      <w:iCs/>
      <w:color w:val="242B84" w:themeColor="accent1"/>
    </w:rPr>
  </w:style>
  <w:style w:type="table" w:styleId="Gitternetztabelle4Akzent3">
    <w:name w:val="Grid Table 4 Accent 3"/>
    <w:basedOn w:val="NormaleTabelle"/>
    <w:uiPriority w:val="49"/>
    <w:pPr>
      <w:spacing w:after="0" w:line="240" w:lineRule="auto"/>
    </w:pPr>
    <w:tblPr>
      <w:tblStyleRowBandSize w:val="1"/>
      <w:tblStyleColBandSize w:val="1"/>
      <w:tblBorders>
        <w:top w:val="single" w:sz="4" w:space="0" w:color="6B819C" w:themeColor="accent3" w:themeTint="99"/>
        <w:left w:val="single" w:sz="4" w:space="0" w:color="6B819C" w:themeColor="accent3" w:themeTint="99"/>
        <w:bottom w:val="single" w:sz="4" w:space="0" w:color="6B819C" w:themeColor="accent3" w:themeTint="99"/>
        <w:right w:val="single" w:sz="4" w:space="0" w:color="6B819C" w:themeColor="accent3" w:themeTint="99"/>
        <w:insideH w:val="single" w:sz="4" w:space="0" w:color="6B819C" w:themeColor="accent3" w:themeTint="99"/>
        <w:insideV w:val="single" w:sz="4" w:space="0" w:color="6B819C" w:themeColor="accent3" w:themeTint="99"/>
      </w:tblBorders>
    </w:tblPr>
    <w:tblStylePr w:type="firstRow">
      <w:rPr>
        <w:b/>
        <w:bCs/>
        <w:color w:val="FFFFFF" w:themeColor="background1"/>
      </w:rPr>
      <w:tblPr/>
      <w:tcPr>
        <w:tcBorders>
          <w:top w:val="single" w:sz="4" w:space="0" w:color="28313C" w:themeColor="accent3"/>
          <w:left w:val="single" w:sz="4" w:space="0" w:color="28313C" w:themeColor="accent3"/>
          <w:bottom w:val="single" w:sz="4" w:space="0" w:color="28313C" w:themeColor="accent3"/>
          <w:right w:val="single" w:sz="4" w:space="0" w:color="28313C" w:themeColor="accent3"/>
          <w:insideH w:val="nil"/>
          <w:insideV w:val="nil"/>
        </w:tcBorders>
        <w:shd w:val="clear" w:color="auto" w:fill="28313C" w:themeFill="accent3"/>
      </w:tcPr>
    </w:tblStylePr>
    <w:tblStylePr w:type="lastRow">
      <w:rPr>
        <w:b/>
        <w:bCs/>
      </w:rPr>
      <w:tblPr/>
      <w:tcPr>
        <w:tcBorders>
          <w:top w:val="double" w:sz="4" w:space="0" w:color="28313C" w:themeColor="accent3"/>
        </w:tcBorders>
      </w:tcPr>
    </w:tblStylePr>
    <w:tblStylePr w:type="firstCol">
      <w:rPr>
        <w:b/>
        <w:bCs/>
      </w:rPr>
    </w:tblStylePr>
    <w:tblStylePr w:type="lastCol">
      <w:rPr>
        <w:b/>
        <w:bCs/>
      </w:rPr>
    </w:tblStylePr>
    <w:tblStylePr w:type="band1Vert">
      <w:tblPr/>
      <w:tcPr>
        <w:shd w:val="clear" w:color="auto" w:fill="CDD5DE" w:themeFill="accent3" w:themeFillTint="33"/>
      </w:tcPr>
    </w:tblStylePr>
    <w:tblStylePr w:type="band1Horz">
      <w:tblPr/>
      <w:tcPr>
        <w:shd w:val="clear" w:color="auto" w:fill="CDD5DE" w:themeFill="accent3" w:themeFillTint="33"/>
      </w:tcPr>
    </w:tblStylePr>
  </w:style>
  <w:style w:type="character" w:customStyle="1" w:styleId="markedcontent">
    <w:name w:val="markedcontent"/>
    <w:basedOn w:val="Absatz-Standardschriftart"/>
  </w:style>
  <w:style w:type="table" w:styleId="Gitternetztabelle1hell">
    <w:name w:val="Grid Table 1 Light"/>
    <w:basedOn w:val="NormaleTabelle"/>
    <w:uiPriority w:val="46"/>
    <w:pPr>
      <w:spacing w:after="0" w:line="240" w:lineRule="auto"/>
    </w:pPr>
    <w:tblPr>
      <w:tblStyleRowBandSize w:val="1"/>
      <w:tblStyleColBandSize w:val="1"/>
      <w:tblInd w:w="0" w:type="nil"/>
      <w:tblBorders>
        <w:top w:val="single" w:sz="4" w:space="0" w:color="FFFFFF" w:themeColor="text1" w:themeTint="66"/>
        <w:left w:val="single" w:sz="4" w:space="0" w:color="FFFFFF" w:themeColor="text1" w:themeTint="66"/>
        <w:bottom w:val="single" w:sz="4" w:space="0" w:color="FFFFFF" w:themeColor="text1" w:themeTint="66"/>
        <w:right w:val="single" w:sz="4" w:space="0" w:color="FFFFFF" w:themeColor="text1" w:themeTint="66"/>
        <w:insideH w:val="single" w:sz="4" w:space="0" w:color="FFFFFF" w:themeColor="text1" w:themeTint="66"/>
        <w:insideV w:val="single" w:sz="4" w:space="0" w:color="FFFFFF" w:themeColor="text1" w:themeTint="66"/>
      </w:tblBorders>
    </w:tblPr>
    <w:tblStylePr w:type="firstRow">
      <w:rPr>
        <w:b/>
        <w:bCs/>
      </w:rPr>
      <w:tblPr/>
      <w:tcPr>
        <w:tcBorders>
          <w:bottom w:val="single" w:sz="12" w:space="0" w:color="FFFFFF" w:themeColor="text1" w:themeTint="99"/>
        </w:tcBorders>
      </w:tcPr>
    </w:tblStylePr>
    <w:tblStylePr w:type="lastRow">
      <w:rPr>
        <w:b/>
        <w:bCs/>
      </w:rPr>
      <w:tblPr/>
      <w:tcPr>
        <w:tcBorders>
          <w:top w:val="double" w:sz="2" w:space="0" w:color="FFFFFF" w:themeColor="text1" w:themeTint="99"/>
        </w:tcBorders>
      </w:tcPr>
    </w:tblStylePr>
    <w:tblStylePr w:type="firstCol">
      <w:rPr>
        <w:b/>
        <w:bCs/>
      </w:rPr>
    </w:tblStylePr>
    <w:tblStylePr w:type="lastCol">
      <w:rPr>
        <w:b/>
        <w:bCs/>
      </w:rPr>
    </w:tblStylePr>
  </w:style>
  <w:style w:type="paragraph" w:customStyle="1" w:styleId="AbbTab-berschrift">
    <w:name w:val="Abb/Tab-Überschrift"/>
    <w:basedOn w:val="IWHFlietext"/>
    <w:qFormat/>
    <w:pPr>
      <w:spacing w:before="0" w:after="60"/>
    </w:pPr>
    <w:rPr>
      <w:rFonts w:ascii="Brandon Grotesque Regular" w:hAnsi="Brandon Grotesque Regular"/>
      <w:color w:val="242B84"/>
      <w:sz w:val="20"/>
    </w:rPr>
  </w:style>
  <w:style w:type="paragraph" w:styleId="Inhaltsverzeichnisberschrift">
    <w:name w:val="TOC Heading"/>
    <w:basedOn w:val="berschrift1"/>
    <w:next w:val="Standard"/>
    <w:uiPriority w:val="39"/>
    <w:unhideWhenUsed/>
    <w:qFormat/>
    <w:rsid w:val="005E3018"/>
    <w:pPr>
      <w:numPr>
        <w:numId w:val="0"/>
      </w:numPr>
      <w:spacing w:before="240" w:after="0" w:line="259" w:lineRule="auto"/>
      <w:jc w:val="left"/>
      <w:outlineLvl w:val="9"/>
    </w:pPr>
    <w:rPr>
      <w:rFonts w:asciiTheme="majorHAnsi" w:hAnsiTheme="majorHAnsi"/>
      <w:bCs w:val="0"/>
      <w:color w:val="1B2062" w:themeColor="accent1" w:themeShade="BF"/>
      <w:sz w:val="32"/>
      <w:szCs w:val="32"/>
      <w:lang w:val="en-GB" w:eastAsia="en-GB"/>
    </w:rPr>
  </w:style>
  <w:style w:type="paragraph" w:customStyle="1" w:styleId="FirstParagraph">
    <w:name w:val="First Paragraph"/>
    <w:basedOn w:val="Textkrper"/>
    <w:next w:val="Textkrper"/>
    <w:qFormat/>
    <w:rsid w:val="001314FA"/>
  </w:style>
  <w:style w:type="paragraph" w:styleId="Blocktext">
    <w:name w:val="Block Text"/>
    <w:basedOn w:val="Textkrper"/>
    <w:next w:val="Textkrper"/>
    <w:uiPriority w:val="9"/>
    <w:unhideWhenUsed/>
    <w:qFormat/>
    <w:rsid w:val="001314FA"/>
    <w:pPr>
      <w:spacing w:before="100" w:after="100"/>
      <w:ind w:left="480" w:right="480"/>
    </w:pPr>
  </w:style>
  <w:style w:type="character" w:customStyle="1" w:styleId="VerbatimChar">
    <w:name w:val="Verbatim Char"/>
    <w:basedOn w:val="BeschriftungZchn"/>
    <w:link w:val="SourceCode"/>
    <w:rsid w:val="001314FA"/>
    <w:rPr>
      <w:rFonts w:ascii="Consolas" w:eastAsia="Times New Roman" w:hAnsi="Consolas" w:cs="Times New Roman"/>
      <w:color w:val="242B84"/>
      <w:sz w:val="20"/>
      <w:szCs w:val="18"/>
      <w:lang w:eastAsia="de-DE"/>
    </w:rPr>
  </w:style>
  <w:style w:type="paragraph" w:customStyle="1" w:styleId="SourceCode">
    <w:name w:val="Source Code"/>
    <w:basedOn w:val="Standard"/>
    <w:link w:val="VerbatimChar"/>
    <w:rsid w:val="001314FA"/>
    <w:pPr>
      <w:wordWrap w:val="0"/>
    </w:pPr>
    <w:rPr>
      <w:rFonts w:ascii="Consolas" w:eastAsia="Times New Roman" w:hAnsi="Consolas" w:cs="Times New Roman"/>
      <w:color w:val="242B84"/>
      <w:szCs w:val="18"/>
      <w:lang w:eastAsia="de-DE"/>
    </w:rPr>
  </w:style>
  <w:style w:type="paragraph" w:customStyle="1" w:styleId="Compact">
    <w:name w:val="Compact"/>
    <w:basedOn w:val="Textkrper"/>
    <w:qFormat/>
    <w:rsid w:val="001314FA"/>
    <w:pPr>
      <w:spacing w:before="36" w:after="36"/>
    </w:pPr>
  </w:style>
  <w:style w:type="paragraph" w:customStyle="1" w:styleId="ImageCaption">
    <w:name w:val="Image Caption"/>
    <w:basedOn w:val="Beschriftung"/>
    <w:rsid w:val="001314FA"/>
    <w:pPr>
      <w:jc w:val="both"/>
    </w:pPr>
    <w:rPr>
      <w:lang w:val="en-US"/>
    </w:rPr>
  </w:style>
  <w:style w:type="paragraph" w:customStyle="1" w:styleId="CaptionedFigure">
    <w:name w:val="Captioned Figure"/>
    <w:basedOn w:val="Standard"/>
    <w:rsid w:val="001314FA"/>
    <w:pPr>
      <w:keepNext/>
    </w:pPr>
  </w:style>
  <w:style w:type="paragraph" w:customStyle="1" w:styleId="Author">
    <w:name w:val="Author"/>
    <w:basedOn w:val="Titel"/>
    <w:next w:val="Textkrper"/>
    <w:qFormat/>
    <w:pPr>
      <w:keepNext/>
      <w:keepLines/>
      <w:numPr>
        <w:numId w:val="0"/>
      </w:numPr>
      <w:spacing w:after="80"/>
      <w:jc w:val="center"/>
    </w:pPr>
    <w:rPr>
      <w:rFonts w:asciiTheme="majorHAnsi" w:hAnsiTheme="majorHAnsi"/>
      <w:color w:val="auto"/>
      <w:spacing w:val="0"/>
      <w:kern w:val="0"/>
      <w:sz w:val="24"/>
      <w:szCs w:val="24"/>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8160">
      <w:bodyDiv w:val="1"/>
      <w:marLeft w:val="0"/>
      <w:marRight w:val="0"/>
      <w:marTop w:val="0"/>
      <w:marBottom w:val="0"/>
      <w:divBdr>
        <w:top w:val="none" w:sz="0" w:space="0" w:color="auto"/>
        <w:left w:val="none" w:sz="0" w:space="0" w:color="auto"/>
        <w:bottom w:val="none" w:sz="0" w:space="0" w:color="auto"/>
        <w:right w:val="none" w:sz="0" w:space="0" w:color="auto"/>
      </w:divBdr>
    </w:div>
    <w:div w:id="65735101">
      <w:bodyDiv w:val="1"/>
      <w:marLeft w:val="0"/>
      <w:marRight w:val="0"/>
      <w:marTop w:val="0"/>
      <w:marBottom w:val="0"/>
      <w:divBdr>
        <w:top w:val="none" w:sz="0" w:space="0" w:color="auto"/>
        <w:left w:val="none" w:sz="0" w:space="0" w:color="auto"/>
        <w:bottom w:val="none" w:sz="0" w:space="0" w:color="auto"/>
        <w:right w:val="none" w:sz="0" w:space="0" w:color="auto"/>
      </w:divBdr>
      <w:divsChild>
        <w:div w:id="1921015727">
          <w:marLeft w:val="360"/>
          <w:marRight w:val="0"/>
          <w:marTop w:val="0"/>
          <w:marBottom w:val="0"/>
          <w:divBdr>
            <w:top w:val="none" w:sz="0" w:space="0" w:color="auto"/>
            <w:left w:val="none" w:sz="0" w:space="0" w:color="auto"/>
            <w:bottom w:val="none" w:sz="0" w:space="0" w:color="auto"/>
            <w:right w:val="none" w:sz="0" w:space="0" w:color="auto"/>
          </w:divBdr>
        </w:div>
        <w:div w:id="1779181505">
          <w:marLeft w:val="360"/>
          <w:marRight w:val="0"/>
          <w:marTop w:val="0"/>
          <w:marBottom w:val="0"/>
          <w:divBdr>
            <w:top w:val="none" w:sz="0" w:space="0" w:color="auto"/>
            <w:left w:val="none" w:sz="0" w:space="0" w:color="auto"/>
            <w:bottom w:val="none" w:sz="0" w:space="0" w:color="auto"/>
            <w:right w:val="none" w:sz="0" w:space="0" w:color="auto"/>
          </w:divBdr>
        </w:div>
        <w:div w:id="52046742">
          <w:marLeft w:val="360"/>
          <w:marRight w:val="0"/>
          <w:marTop w:val="0"/>
          <w:marBottom w:val="0"/>
          <w:divBdr>
            <w:top w:val="none" w:sz="0" w:space="0" w:color="auto"/>
            <w:left w:val="none" w:sz="0" w:space="0" w:color="auto"/>
            <w:bottom w:val="none" w:sz="0" w:space="0" w:color="auto"/>
            <w:right w:val="none" w:sz="0" w:space="0" w:color="auto"/>
          </w:divBdr>
        </w:div>
        <w:div w:id="1338924385">
          <w:marLeft w:val="360"/>
          <w:marRight w:val="0"/>
          <w:marTop w:val="0"/>
          <w:marBottom w:val="0"/>
          <w:divBdr>
            <w:top w:val="none" w:sz="0" w:space="0" w:color="auto"/>
            <w:left w:val="none" w:sz="0" w:space="0" w:color="auto"/>
            <w:bottom w:val="none" w:sz="0" w:space="0" w:color="auto"/>
            <w:right w:val="none" w:sz="0" w:space="0" w:color="auto"/>
          </w:divBdr>
        </w:div>
        <w:div w:id="709497967">
          <w:marLeft w:val="360"/>
          <w:marRight w:val="0"/>
          <w:marTop w:val="0"/>
          <w:marBottom w:val="0"/>
          <w:divBdr>
            <w:top w:val="none" w:sz="0" w:space="0" w:color="auto"/>
            <w:left w:val="none" w:sz="0" w:space="0" w:color="auto"/>
            <w:bottom w:val="none" w:sz="0" w:space="0" w:color="auto"/>
            <w:right w:val="none" w:sz="0" w:space="0" w:color="auto"/>
          </w:divBdr>
        </w:div>
      </w:divsChild>
    </w:div>
    <w:div w:id="100347960">
      <w:bodyDiv w:val="1"/>
      <w:marLeft w:val="0"/>
      <w:marRight w:val="0"/>
      <w:marTop w:val="0"/>
      <w:marBottom w:val="0"/>
      <w:divBdr>
        <w:top w:val="none" w:sz="0" w:space="0" w:color="auto"/>
        <w:left w:val="none" w:sz="0" w:space="0" w:color="auto"/>
        <w:bottom w:val="none" w:sz="0" w:space="0" w:color="auto"/>
        <w:right w:val="none" w:sz="0" w:space="0" w:color="auto"/>
      </w:divBdr>
    </w:div>
    <w:div w:id="105349090">
      <w:bodyDiv w:val="1"/>
      <w:marLeft w:val="0"/>
      <w:marRight w:val="0"/>
      <w:marTop w:val="0"/>
      <w:marBottom w:val="0"/>
      <w:divBdr>
        <w:top w:val="none" w:sz="0" w:space="0" w:color="auto"/>
        <w:left w:val="none" w:sz="0" w:space="0" w:color="auto"/>
        <w:bottom w:val="none" w:sz="0" w:space="0" w:color="auto"/>
        <w:right w:val="none" w:sz="0" w:space="0" w:color="auto"/>
      </w:divBdr>
    </w:div>
    <w:div w:id="201789926">
      <w:bodyDiv w:val="1"/>
      <w:marLeft w:val="0"/>
      <w:marRight w:val="0"/>
      <w:marTop w:val="0"/>
      <w:marBottom w:val="0"/>
      <w:divBdr>
        <w:top w:val="none" w:sz="0" w:space="0" w:color="auto"/>
        <w:left w:val="none" w:sz="0" w:space="0" w:color="auto"/>
        <w:bottom w:val="none" w:sz="0" w:space="0" w:color="auto"/>
        <w:right w:val="none" w:sz="0" w:space="0" w:color="auto"/>
      </w:divBdr>
      <w:divsChild>
        <w:div w:id="618150783">
          <w:marLeft w:val="360"/>
          <w:marRight w:val="0"/>
          <w:marTop w:val="0"/>
          <w:marBottom w:val="0"/>
          <w:divBdr>
            <w:top w:val="none" w:sz="0" w:space="0" w:color="auto"/>
            <w:left w:val="none" w:sz="0" w:space="0" w:color="auto"/>
            <w:bottom w:val="none" w:sz="0" w:space="0" w:color="auto"/>
            <w:right w:val="none" w:sz="0" w:space="0" w:color="auto"/>
          </w:divBdr>
        </w:div>
        <w:div w:id="412556499">
          <w:marLeft w:val="360"/>
          <w:marRight w:val="0"/>
          <w:marTop w:val="0"/>
          <w:marBottom w:val="0"/>
          <w:divBdr>
            <w:top w:val="none" w:sz="0" w:space="0" w:color="auto"/>
            <w:left w:val="none" w:sz="0" w:space="0" w:color="auto"/>
            <w:bottom w:val="none" w:sz="0" w:space="0" w:color="auto"/>
            <w:right w:val="none" w:sz="0" w:space="0" w:color="auto"/>
          </w:divBdr>
        </w:div>
        <w:div w:id="304508664">
          <w:marLeft w:val="360"/>
          <w:marRight w:val="0"/>
          <w:marTop w:val="0"/>
          <w:marBottom w:val="0"/>
          <w:divBdr>
            <w:top w:val="none" w:sz="0" w:space="0" w:color="auto"/>
            <w:left w:val="none" w:sz="0" w:space="0" w:color="auto"/>
            <w:bottom w:val="none" w:sz="0" w:space="0" w:color="auto"/>
            <w:right w:val="none" w:sz="0" w:space="0" w:color="auto"/>
          </w:divBdr>
        </w:div>
        <w:div w:id="347174757">
          <w:marLeft w:val="360"/>
          <w:marRight w:val="0"/>
          <w:marTop w:val="0"/>
          <w:marBottom w:val="0"/>
          <w:divBdr>
            <w:top w:val="none" w:sz="0" w:space="0" w:color="auto"/>
            <w:left w:val="none" w:sz="0" w:space="0" w:color="auto"/>
            <w:bottom w:val="none" w:sz="0" w:space="0" w:color="auto"/>
            <w:right w:val="none" w:sz="0" w:space="0" w:color="auto"/>
          </w:divBdr>
        </w:div>
      </w:divsChild>
    </w:div>
    <w:div w:id="290521815">
      <w:bodyDiv w:val="1"/>
      <w:marLeft w:val="0"/>
      <w:marRight w:val="0"/>
      <w:marTop w:val="0"/>
      <w:marBottom w:val="0"/>
      <w:divBdr>
        <w:top w:val="none" w:sz="0" w:space="0" w:color="auto"/>
        <w:left w:val="none" w:sz="0" w:space="0" w:color="auto"/>
        <w:bottom w:val="none" w:sz="0" w:space="0" w:color="auto"/>
        <w:right w:val="none" w:sz="0" w:space="0" w:color="auto"/>
      </w:divBdr>
    </w:div>
    <w:div w:id="346101083">
      <w:bodyDiv w:val="1"/>
      <w:marLeft w:val="0"/>
      <w:marRight w:val="0"/>
      <w:marTop w:val="0"/>
      <w:marBottom w:val="0"/>
      <w:divBdr>
        <w:top w:val="none" w:sz="0" w:space="0" w:color="auto"/>
        <w:left w:val="none" w:sz="0" w:space="0" w:color="auto"/>
        <w:bottom w:val="none" w:sz="0" w:space="0" w:color="auto"/>
        <w:right w:val="none" w:sz="0" w:space="0" w:color="auto"/>
      </w:divBdr>
      <w:divsChild>
        <w:div w:id="1643003926">
          <w:marLeft w:val="360"/>
          <w:marRight w:val="0"/>
          <w:marTop w:val="0"/>
          <w:marBottom w:val="0"/>
          <w:divBdr>
            <w:top w:val="none" w:sz="0" w:space="0" w:color="auto"/>
            <w:left w:val="none" w:sz="0" w:space="0" w:color="auto"/>
            <w:bottom w:val="none" w:sz="0" w:space="0" w:color="auto"/>
            <w:right w:val="none" w:sz="0" w:space="0" w:color="auto"/>
          </w:divBdr>
        </w:div>
        <w:div w:id="1558317791">
          <w:marLeft w:val="360"/>
          <w:marRight w:val="0"/>
          <w:marTop w:val="0"/>
          <w:marBottom w:val="0"/>
          <w:divBdr>
            <w:top w:val="none" w:sz="0" w:space="0" w:color="auto"/>
            <w:left w:val="none" w:sz="0" w:space="0" w:color="auto"/>
            <w:bottom w:val="none" w:sz="0" w:space="0" w:color="auto"/>
            <w:right w:val="none" w:sz="0" w:space="0" w:color="auto"/>
          </w:divBdr>
        </w:div>
        <w:div w:id="719600287">
          <w:marLeft w:val="360"/>
          <w:marRight w:val="0"/>
          <w:marTop w:val="0"/>
          <w:marBottom w:val="0"/>
          <w:divBdr>
            <w:top w:val="none" w:sz="0" w:space="0" w:color="auto"/>
            <w:left w:val="none" w:sz="0" w:space="0" w:color="auto"/>
            <w:bottom w:val="none" w:sz="0" w:space="0" w:color="auto"/>
            <w:right w:val="none" w:sz="0" w:space="0" w:color="auto"/>
          </w:divBdr>
        </w:div>
        <w:div w:id="1831167676">
          <w:marLeft w:val="360"/>
          <w:marRight w:val="0"/>
          <w:marTop w:val="0"/>
          <w:marBottom w:val="0"/>
          <w:divBdr>
            <w:top w:val="none" w:sz="0" w:space="0" w:color="auto"/>
            <w:left w:val="none" w:sz="0" w:space="0" w:color="auto"/>
            <w:bottom w:val="none" w:sz="0" w:space="0" w:color="auto"/>
            <w:right w:val="none" w:sz="0" w:space="0" w:color="auto"/>
          </w:divBdr>
        </w:div>
        <w:div w:id="405107105">
          <w:marLeft w:val="360"/>
          <w:marRight w:val="0"/>
          <w:marTop w:val="0"/>
          <w:marBottom w:val="0"/>
          <w:divBdr>
            <w:top w:val="none" w:sz="0" w:space="0" w:color="auto"/>
            <w:left w:val="none" w:sz="0" w:space="0" w:color="auto"/>
            <w:bottom w:val="none" w:sz="0" w:space="0" w:color="auto"/>
            <w:right w:val="none" w:sz="0" w:space="0" w:color="auto"/>
          </w:divBdr>
        </w:div>
        <w:div w:id="789058298">
          <w:marLeft w:val="360"/>
          <w:marRight w:val="0"/>
          <w:marTop w:val="0"/>
          <w:marBottom w:val="0"/>
          <w:divBdr>
            <w:top w:val="none" w:sz="0" w:space="0" w:color="auto"/>
            <w:left w:val="none" w:sz="0" w:space="0" w:color="auto"/>
            <w:bottom w:val="none" w:sz="0" w:space="0" w:color="auto"/>
            <w:right w:val="none" w:sz="0" w:space="0" w:color="auto"/>
          </w:divBdr>
        </w:div>
      </w:divsChild>
    </w:div>
    <w:div w:id="358630650">
      <w:bodyDiv w:val="1"/>
      <w:marLeft w:val="0"/>
      <w:marRight w:val="0"/>
      <w:marTop w:val="0"/>
      <w:marBottom w:val="0"/>
      <w:divBdr>
        <w:top w:val="none" w:sz="0" w:space="0" w:color="auto"/>
        <w:left w:val="none" w:sz="0" w:space="0" w:color="auto"/>
        <w:bottom w:val="none" w:sz="0" w:space="0" w:color="auto"/>
        <w:right w:val="none" w:sz="0" w:space="0" w:color="auto"/>
      </w:divBdr>
      <w:divsChild>
        <w:div w:id="1038353063">
          <w:marLeft w:val="360"/>
          <w:marRight w:val="0"/>
          <w:marTop w:val="0"/>
          <w:marBottom w:val="0"/>
          <w:divBdr>
            <w:top w:val="none" w:sz="0" w:space="0" w:color="auto"/>
            <w:left w:val="none" w:sz="0" w:space="0" w:color="auto"/>
            <w:bottom w:val="none" w:sz="0" w:space="0" w:color="auto"/>
            <w:right w:val="none" w:sz="0" w:space="0" w:color="auto"/>
          </w:divBdr>
        </w:div>
        <w:div w:id="388455122">
          <w:marLeft w:val="360"/>
          <w:marRight w:val="0"/>
          <w:marTop w:val="0"/>
          <w:marBottom w:val="0"/>
          <w:divBdr>
            <w:top w:val="none" w:sz="0" w:space="0" w:color="auto"/>
            <w:left w:val="none" w:sz="0" w:space="0" w:color="auto"/>
            <w:bottom w:val="none" w:sz="0" w:space="0" w:color="auto"/>
            <w:right w:val="none" w:sz="0" w:space="0" w:color="auto"/>
          </w:divBdr>
        </w:div>
        <w:div w:id="1384214438">
          <w:marLeft w:val="360"/>
          <w:marRight w:val="0"/>
          <w:marTop w:val="0"/>
          <w:marBottom w:val="0"/>
          <w:divBdr>
            <w:top w:val="none" w:sz="0" w:space="0" w:color="auto"/>
            <w:left w:val="none" w:sz="0" w:space="0" w:color="auto"/>
            <w:bottom w:val="none" w:sz="0" w:space="0" w:color="auto"/>
            <w:right w:val="none" w:sz="0" w:space="0" w:color="auto"/>
          </w:divBdr>
        </w:div>
        <w:div w:id="1354072020">
          <w:marLeft w:val="360"/>
          <w:marRight w:val="0"/>
          <w:marTop w:val="0"/>
          <w:marBottom w:val="0"/>
          <w:divBdr>
            <w:top w:val="none" w:sz="0" w:space="0" w:color="auto"/>
            <w:left w:val="none" w:sz="0" w:space="0" w:color="auto"/>
            <w:bottom w:val="none" w:sz="0" w:space="0" w:color="auto"/>
            <w:right w:val="none" w:sz="0" w:space="0" w:color="auto"/>
          </w:divBdr>
        </w:div>
        <w:div w:id="1700738209">
          <w:marLeft w:val="360"/>
          <w:marRight w:val="0"/>
          <w:marTop w:val="0"/>
          <w:marBottom w:val="0"/>
          <w:divBdr>
            <w:top w:val="none" w:sz="0" w:space="0" w:color="auto"/>
            <w:left w:val="none" w:sz="0" w:space="0" w:color="auto"/>
            <w:bottom w:val="none" w:sz="0" w:space="0" w:color="auto"/>
            <w:right w:val="none" w:sz="0" w:space="0" w:color="auto"/>
          </w:divBdr>
        </w:div>
      </w:divsChild>
    </w:div>
    <w:div w:id="387997377">
      <w:bodyDiv w:val="1"/>
      <w:marLeft w:val="0"/>
      <w:marRight w:val="0"/>
      <w:marTop w:val="0"/>
      <w:marBottom w:val="0"/>
      <w:divBdr>
        <w:top w:val="none" w:sz="0" w:space="0" w:color="auto"/>
        <w:left w:val="none" w:sz="0" w:space="0" w:color="auto"/>
        <w:bottom w:val="none" w:sz="0" w:space="0" w:color="auto"/>
        <w:right w:val="none" w:sz="0" w:space="0" w:color="auto"/>
      </w:divBdr>
    </w:div>
    <w:div w:id="389035336">
      <w:bodyDiv w:val="1"/>
      <w:marLeft w:val="0"/>
      <w:marRight w:val="0"/>
      <w:marTop w:val="0"/>
      <w:marBottom w:val="0"/>
      <w:divBdr>
        <w:top w:val="none" w:sz="0" w:space="0" w:color="auto"/>
        <w:left w:val="none" w:sz="0" w:space="0" w:color="auto"/>
        <w:bottom w:val="none" w:sz="0" w:space="0" w:color="auto"/>
        <w:right w:val="none" w:sz="0" w:space="0" w:color="auto"/>
      </w:divBdr>
    </w:div>
    <w:div w:id="438834929">
      <w:bodyDiv w:val="1"/>
      <w:marLeft w:val="0"/>
      <w:marRight w:val="0"/>
      <w:marTop w:val="0"/>
      <w:marBottom w:val="0"/>
      <w:divBdr>
        <w:top w:val="none" w:sz="0" w:space="0" w:color="auto"/>
        <w:left w:val="none" w:sz="0" w:space="0" w:color="auto"/>
        <w:bottom w:val="none" w:sz="0" w:space="0" w:color="auto"/>
        <w:right w:val="none" w:sz="0" w:space="0" w:color="auto"/>
      </w:divBdr>
      <w:divsChild>
        <w:div w:id="1505239751">
          <w:marLeft w:val="360"/>
          <w:marRight w:val="0"/>
          <w:marTop w:val="0"/>
          <w:marBottom w:val="0"/>
          <w:divBdr>
            <w:top w:val="none" w:sz="0" w:space="0" w:color="auto"/>
            <w:left w:val="none" w:sz="0" w:space="0" w:color="auto"/>
            <w:bottom w:val="none" w:sz="0" w:space="0" w:color="auto"/>
            <w:right w:val="none" w:sz="0" w:space="0" w:color="auto"/>
          </w:divBdr>
        </w:div>
        <w:div w:id="854270206">
          <w:marLeft w:val="360"/>
          <w:marRight w:val="0"/>
          <w:marTop w:val="0"/>
          <w:marBottom w:val="0"/>
          <w:divBdr>
            <w:top w:val="none" w:sz="0" w:space="0" w:color="auto"/>
            <w:left w:val="none" w:sz="0" w:space="0" w:color="auto"/>
            <w:bottom w:val="none" w:sz="0" w:space="0" w:color="auto"/>
            <w:right w:val="none" w:sz="0" w:space="0" w:color="auto"/>
          </w:divBdr>
        </w:div>
        <w:div w:id="797574672">
          <w:marLeft w:val="360"/>
          <w:marRight w:val="0"/>
          <w:marTop w:val="0"/>
          <w:marBottom w:val="0"/>
          <w:divBdr>
            <w:top w:val="none" w:sz="0" w:space="0" w:color="auto"/>
            <w:left w:val="none" w:sz="0" w:space="0" w:color="auto"/>
            <w:bottom w:val="none" w:sz="0" w:space="0" w:color="auto"/>
            <w:right w:val="none" w:sz="0" w:space="0" w:color="auto"/>
          </w:divBdr>
        </w:div>
        <w:div w:id="652176835">
          <w:marLeft w:val="360"/>
          <w:marRight w:val="0"/>
          <w:marTop w:val="0"/>
          <w:marBottom w:val="0"/>
          <w:divBdr>
            <w:top w:val="none" w:sz="0" w:space="0" w:color="auto"/>
            <w:left w:val="none" w:sz="0" w:space="0" w:color="auto"/>
            <w:bottom w:val="none" w:sz="0" w:space="0" w:color="auto"/>
            <w:right w:val="none" w:sz="0" w:space="0" w:color="auto"/>
          </w:divBdr>
        </w:div>
        <w:div w:id="1972519114">
          <w:marLeft w:val="360"/>
          <w:marRight w:val="0"/>
          <w:marTop w:val="0"/>
          <w:marBottom w:val="0"/>
          <w:divBdr>
            <w:top w:val="none" w:sz="0" w:space="0" w:color="auto"/>
            <w:left w:val="none" w:sz="0" w:space="0" w:color="auto"/>
            <w:bottom w:val="none" w:sz="0" w:space="0" w:color="auto"/>
            <w:right w:val="none" w:sz="0" w:space="0" w:color="auto"/>
          </w:divBdr>
        </w:div>
      </w:divsChild>
    </w:div>
    <w:div w:id="511342247">
      <w:bodyDiv w:val="1"/>
      <w:marLeft w:val="0"/>
      <w:marRight w:val="0"/>
      <w:marTop w:val="0"/>
      <w:marBottom w:val="0"/>
      <w:divBdr>
        <w:top w:val="none" w:sz="0" w:space="0" w:color="auto"/>
        <w:left w:val="none" w:sz="0" w:space="0" w:color="auto"/>
        <w:bottom w:val="none" w:sz="0" w:space="0" w:color="auto"/>
        <w:right w:val="none" w:sz="0" w:space="0" w:color="auto"/>
      </w:divBdr>
    </w:div>
    <w:div w:id="619144399">
      <w:bodyDiv w:val="1"/>
      <w:marLeft w:val="0"/>
      <w:marRight w:val="0"/>
      <w:marTop w:val="0"/>
      <w:marBottom w:val="0"/>
      <w:divBdr>
        <w:top w:val="none" w:sz="0" w:space="0" w:color="auto"/>
        <w:left w:val="none" w:sz="0" w:space="0" w:color="auto"/>
        <w:bottom w:val="none" w:sz="0" w:space="0" w:color="auto"/>
        <w:right w:val="none" w:sz="0" w:space="0" w:color="auto"/>
      </w:divBdr>
    </w:div>
    <w:div w:id="629559118">
      <w:bodyDiv w:val="1"/>
      <w:marLeft w:val="0"/>
      <w:marRight w:val="0"/>
      <w:marTop w:val="0"/>
      <w:marBottom w:val="0"/>
      <w:divBdr>
        <w:top w:val="none" w:sz="0" w:space="0" w:color="auto"/>
        <w:left w:val="none" w:sz="0" w:space="0" w:color="auto"/>
        <w:bottom w:val="none" w:sz="0" w:space="0" w:color="auto"/>
        <w:right w:val="none" w:sz="0" w:space="0" w:color="auto"/>
      </w:divBdr>
    </w:div>
    <w:div w:id="699015128">
      <w:bodyDiv w:val="1"/>
      <w:marLeft w:val="0"/>
      <w:marRight w:val="0"/>
      <w:marTop w:val="0"/>
      <w:marBottom w:val="0"/>
      <w:divBdr>
        <w:top w:val="none" w:sz="0" w:space="0" w:color="auto"/>
        <w:left w:val="none" w:sz="0" w:space="0" w:color="auto"/>
        <w:bottom w:val="none" w:sz="0" w:space="0" w:color="auto"/>
        <w:right w:val="none" w:sz="0" w:space="0" w:color="auto"/>
      </w:divBdr>
    </w:div>
    <w:div w:id="747314819">
      <w:bodyDiv w:val="1"/>
      <w:marLeft w:val="0"/>
      <w:marRight w:val="0"/>
      <w:marTop w:val="0"/>
      <w:marBottom w:val="0"/>
      <w:divBdr>
        <w:top w:val="none" w:sz="0" w:space="0" w:color="auto"/>
        <w:left w:val="none" w:sz="0" w:space="0" w:color="auto"/>
        <w:bottom w:val="none" w:sz="0" w:space="0" w:color="auto"/>
        <w:right w:val="none" w:sz="0" w:space="0" w:color="auto"/>
      </w:divBdr>
    </w:div>
    <w:div w:id="794297508">
      <w:bodyDiv w:val="1"/>
      <w:marLeft w:val="0"/>
      <w:marRight w:val="0"/>
      <w:marTop w:val="0"/>
      <w:marBottom w:val="0"/>
      <w:divBdr>
        <w:top w:val="none" w:sz="0" w:space="0" w:color="auto"/>
        <w:left w:val="none" w:sz="0" w:space="0" w:color="auto"/>
        <w:bottom w:val="none" w:sz="0" w:space="0" w:color="auto"/>
        <w:right w:val="none" w:sz="0" w:space="0" w:color="auto"/>
      </w:divBdr>
    </w:div>
    <w:div w:id="857738874">
      <w:bodyDiv w:val="1"/>
      <w:marLeft w:val="0"/>
      <w:marRight w:val="0"/>
      <w:marTop w:val="0"/>
      <w:marBottom w:val="0"/>
      <w:divBdr>
        <w:top w:val="none" w:sz="0" w:space="0" w:color="auto"/>
        <w:left w:val="none" w:sz="0" w:space="0" w:color="auto"/>
        <w:bottom w:val="none" w:sz="0" w:space="0" w:color="auto"/>
        <w:right w:val="none" w:sz="0" w:space="0" w:color="auto"/>
      </w:divBdr>
    </w:div>
    <w:div w:id="900097909">
      <w:bodyDiv w:val="1"/>
      <w:marLeft w:val="0"/>
      <w:marRight w:val="0"/>
      <w:marTop w:val="0"/>
      <w:marBottom w:val="0"/>
      <w:divBdr>
        <w:top w:val="none" w:sz="0" w:space="0" w:color="auto"/>
        <w:left w:val="none" w:sz="0" w:space="0" w:color="auto"/>
        <w:bottom w:val="none" w:sz="0" w:space="0" w:color="auto"/>
        <w:right w:val="none" w:sz="0" w:space="0" w:color="auto"/>
      </w:divBdr>
    </w:div>
    <w:div w:id="1086414843">
      <w:bodyDiv w:val="1"/>
      <w:marLeft w:val="0"/>
      <w:marRight w:val="0"/>
      <w:marTop w:val="0"/>
      <w:marBottom w:val="0"/>
      <w:divBdr>
        <w:top w:val="none" w:sz="0" w:space="0" w:color="auto"/>
        <w:left w:val="none" w:sz="0" w:space="0" w:color="auto"/>
        <w:bottom w:val="none" w:sz="0" w:space="0" w:color="auto"/>
        <w:right w:val="none" w:sz="0" w:space="0" w:color="auto"/>
      </w:divBdr>
      <w:divsChild>
        <w:div w:id="532839534">
          <w:marLeft w:val="360"/>
          <w:marRight w:val="0"/>
          <w:marTop w:val="0"/>
          <w:marBottom w:val="0"/>
          <w:divBdr>
            <w:top w:val="none" w:sz="0" w:space="0" w:color="auto"/>
            <w:left w:val="none" w:sz="0" w:space="0" w:color="auto"/>
            <w:bottom w:val="none" w:sz="0" w:space="0" w:color="auto"/>
            <w:right w:val="none" w:sz="0" w:space="0" w:color="auto"/>
          </w:divBdr>
        </w:div>
        <w:div w:id="837110047">
          <w:marLeft w:val="360"/>
          <w:marRight w:val="0"/>
          <w:marTop w:val="0"/>
          <w:marBottom w:val="0"/>
          <w:divBdr>
            <w:top w:val="none" w:sz="0" w:space="0" w:color="auto"/>
            <w:left w:val="none" w:sz="0" w:space="0" w:color="auto"/>
            <w:bottom w:val="none" w:sz="0" w:space="0" w:color="auto"/>
            <w:right w:val="none" w:sz="0" w:space="0" w:color="auto"/>
          </w:divBdr>
        </w:div>
      </w:divsChild>
    </w:div>
    <w:div w:id="1099250756">
      <w:bodyDiv w:val="1"/>
      <w:marLeft w:val="0"/>
      <w:marRight w:val="0"/>
      <w:marTop w:val="0"/>
      <w:marBottom w:val="0"/>
      <w:divBdr>
        <w:top w:val="none" w:sz="0" w:space="0" w:color="auto"/>
        <w:left w:val="none" w:sz="0" w:space="0" w:color="auto"/>
        <w:bottom w:val="none" w:sz="0" w:space="0" w:color="auto"/>
        <w:right w:val="none" w:sz="0" w:space="0" w:color="auto"/>
      </w:divBdr>
    </w:div>
    <w:div w:id="1142964008">
      <w:bodyDiv w:val="1"/>
      <w:marLeft w:val="0"/>
      <w:marRight w:val="0"/>
      <w:marTop w:val="0"/>
      <w:marBottom w:val="0"/>
      <w:divBdr>
        <w:top w:val="none" w:sz="0" w:space="0" w:color="auto"/>
        <w:left w:val="none" w:sz="0" w:space="0" w:color="auto"/>
        <w:bottom w:val="none" w:sz="0" w:space="0" w:color="auto"/>
        <w:right w:val="none" w:sz="0" w:space="0" w:color="auto"/>
      </w:divBdr>
    </w:div>
    <w:div w:id="1180047601">
      <w:bodyDiv w:val="1"/>
      <w:marLeft w:val="0"/>
      <w:marRight w:val="0"/>
      <w:marTop w:val="0"/>
      <w:marBottom w:val="0"/>
      <w:divBdr>
        <w:top w:val="none" w:sz="0" w:space="0" w:color="auto"/>
        <w:left w:val="none" w:sz="0" w:space="0" w:color="auto"/>
        <w:bottom w:val="none" w:sz="0" w:space="0" w:color="auto"/>
        <w:right w:val="none" w:sz="0" w:space="0" w:color="auto"/>
      </w:divBdr>
    </w:div>
    <w:div w:id="1215510116">
      <w:bodyDiv w:val="1"/>
      <w:marLeft w:val="0"/>
      <w:marRight w:val="0"/>
      <w:marTop w:val="0"/>
      <w:marBottom w:val="0"/>
      <w:divBdr>
        <w:top w:val="none" w:sz="0" w:space="0" w:color="auto"/>
        <w:left w:val="none" w:sz="0" w:space="0" w:color="auto"/>
        <w:bottom w:val="none" w:sz="0" w:space="0" w:color="auto"/>
        <w:right w:val="none" w:sz="0" w:space="0" w:color="auto"/>
      </w:divBdr>
      <w:divsChild>
        <w:div w:id="866214342">
          <w:marLeft w:val="360"/>
          <w:marRight w:val="0"/>
          <w:marTop w:val="0"/>
          <w:marBottom w:val="0"/>
          <w:divBdr>
            <w:top w:val="none" w:sz="0" w:space="0" w:color="auto"/>
            <w:left w:val="none" w:sz="0" w:space="0" w:color="auto"/>
            <w:bottom w:val="none" w:sz="0" w:space="0" w:color="auto"/>
            <w:right w:val="none" w:sz="0" w:space="0" w:color="auto"/>
          </w:divBdr>
        </w:div>
        <w:div w:id="63769114">
          <w:marLeft w:val="360"/>
          <w:marRight w:val="0"/>
          <w:marTop w:val="0"/>
          <w:marBottom w:val="0"/>
          <w:divBdr>
            <w:top w:val="none" w:sz="0" w:space="0" w:color="auto"/>
            <w:left w:val="none" w:sz="0" w:space="0" w:color="auto"/>
            <w:bottom w:val="none" w:sz="0" w:space="0" w:color="auto"/>
            <w:right w:val="none" w:sz="0" w:space="0" w:color="auto"/>
          </w:divBdr>
        </w:div>
        <w:div w:id="864758425">
          <w:marLeft w:val="360"/>
          <w:marRight w:val="0"/>
          <w:marTop w:val="0"/>
          <w:marBottom w:val="0"/>
          <w:divBdr>
            <w:top w:val="none" w:sz="0" w:space="0" w:color="auto"/>
            <w:left w:val="none" w:sz="0" w:space="0" w:color="auto"/>
            <w:bottom w:val="none" w:sz="0" w:space="0" w:color="auto"/>
            <w:right w:val="none" w:sz="0" w:space="0" w:color="auto"/>
          </w:divBdr>
        </w:div>
      </w:divsChild>
    </w:div>
    <w:div w:id="1305624191">
      <w:bodyDiv w:val="1"/>
      <w:marLeft w:val="0"/>
      <w:marRight w:val="0"/>
      <w:marTop w:val="0"/>
      <w:marBottom w:val="0"/>
      <w:divBdr>
        <w:top w:val="none" w:sz="0" w:space="0" w:color="auto"/>
        <w:left w:val="none" w:sz="0" w:space="0" w:color="auto"/>
        <w:bottom w:val="none" w:sz="0" w:space="0" w:color="auto"/>
        <w:right w:val="none" w:sz="0" w:space="0" w:color="auto"/>
      </w:divBdr>
    </w:div>
    <w:div w:id="1326669387">
      <w:bodyDiv w:val="1"/>
      <w:marLeft w:val="0"/>
      <w:marRight w:val="0"/>
      <w:marTop w:val="0"/>
      <w:marBottom w:val="0"/>
      <w:divBdr>
        <w:top w:val="none" w:sz="0" w:space="0" w:color="auto"/>
        <w:left w:val="none" w:sz="0" w:space="0" w:color="auto"/>
        <w:bottom w:val="none" w:sz="0" w:space="0" w:color="auto"/>
        <w:right w:val="none" w:sz="0" w:space="0" w:color="auto"/>
      </w:divBdr>
    </w:div>
    <w:div w:id="1349067037">
      <w:bodyDiv w:val="1"/>
      <w:marLeft w:val="0"/>
      <w:marRight w:val="0"/>
      <w:marTop w:val="0"/>
      <w:marBottom w:val="0"/>
      <w:divBdr>
        <w:top w:val="none" w:sz="0" w:space="0" w:color="auto"/>
        <w:left w:val="none" w:sz="0" w:space="0" w:color="auto"/>
        <w:bottom w:val="none" w:sz="0" w:space="0" w:color="auto"/>
        <w:right w:val="none" w:sz="0" w:space="0" w:color="auto"/>
      </w:divBdr>
      <w:divsChild>
        <w:div w:id="1178542042">
          <w:marLeft w:val="446"/>
          <w:marRight w:val="0"/>
          <w:marTop w:val="0"/>
          <w:marBottom w:val="0"/>
          <w:divBdr>
            <w:top w:val="none" w:sz="0" w:space="0" w:color="auto"/>
            <w:left w:val="none" w:sz="0" w:space="0" w:color="auto"/>
            <w:bottom w:val="none" w:sz="0" w:space="0" w:color="auto"/>
            <w:right w:val="none" w:sz="0" w:space="0" w:color="auto"/>
          </w:divBdr>
        </w:div>
        <w:div w:id="1770007947">
          <w:marLeft w:val="446"/>
          <w:marRight w:val="0"/>
          <w:marTop w:val="0"/>
          <w:marBottom w:val="0"/>
          <w:divBdr>
            <w:top w:val="none" w:sz="0" w:space="0" w:color="auto"/>
            <w:left w:val="none" w:sz="0" w:space="0" w:color="auto"/>
            <w:bottom w:val="none" w:sz="0" w:space="0" w:color="auto"/>
            <w:right w:val="none" w:sz="0" w:space="0" w:color="auto"/>
          </w:divBdr>
        </w:div>
        <w:div w:id="1319066926">
          <w:marLeft w:val="1166"/>
          <w:marRight w:val="0"/>
          <w:marTop w:val="0"/>
          <w:marBottom w:val="0"/>
          <w:divBdr>
            <w:top w:val="none" w:sz="0" w:space="0" w:color="auto"/>
            <w:left w:val="none" w:sz="0" w:space="0" w:color="auto"/>
            <w:bottom w:val="none" w:sz="0" w:space="0" w:color="auto"/>
            <w:right w:val="none" w:sz="0" w:space="0" w:color="auto"/>
          </w:divBdr>
        </w:div>
      </w:divsChild>
    </w:div>
    <w:div w:id="1400790434">
      <w:bodyDiv w:val="1"/>
      <w:marLeft w:val="0"/>
      <w:marRight w:val="0"/>
      <w:marTop w:val="0"/>
      <w:marBottom w:val="0"/>
      <w:divBdr>
        <w:top w:val="none" w:sz="0" w:space="0" w:color="auto"/>
        <w:left w:val="none" w:sz="0" w:space="0" w:color="auto"/>
        <w:bottom w:val="none" w:sz="0" w:space="0" w:color="auto"/>
        <w:right w:val="none" w:sz="0" w:space="0" w:color="auto"/>
      </w:divBdr>
    </w:div>
    <w:div w:id="1401564187">
      <w:bodyDiv w:val="1"/>
      <w:marLeft w:val="0"/>
      <w:marRight w:val="0"/>
      <w:marTop w:val="0"/>
      <w:marBottom w:val="0"/>
      <w:divBdr>
        <w:top w:val="none" w:sz="0" w:space="0" w:color="auto"/>
        <w:left w:val="none" w:sz="0" w:space="0" w:color="auto"/>
        <w:bottom w:val="none" w:sz="0" w:space="0" w:color="auto"/>
        <w:right w:val="none" w:sz="0" w:space="0" w:color="auto"/>
      </w:divBdr>
    </w:div>
    <w:div w:id="1443572949">
      <w:bodyDiv w:val="1"/>
      <w:marLeft w:val="0"/>
      <w:marRight w:val="0"/>
      <w:marTop w:val="0"/>
      <w:marBottom w:val="0"/>
      <w:divBdr>
        <w:top w:val="none" w:sz="0" w:space="0" w:color="auto"/>
        <w:left w:val="none" w:sz="0" w:space="0" w:color="auto"/>
        <w:bottom w:val="none" w:sz="0" w:space="0" w:color="auto"/>
        <w:right w:val="none" w:sz="0" w:space="0" w:color="auto"/>
      </w:divBdr>
    </w:div>
    <w:div w:id="1584992999">
      <w:bodyDiv w:val="1"/>
      <w:marLeft w:val="0"/>
      <w:marRight w:val="0"/>
      <w:marTop w:val="0"/>
      <w:marBottom w:val="0"/>
      <w:divBdr>
        <w:top w:val="none" w:sz="0" w:space="0" w:color="auto"/>
        <w:left w:val="none" w:sz="0" w:space="0" w:color="auto"/>
        <w:bottom w:val="none" w:sz="0" w:space="0" w:color="auto"/>
        <w:right w:val="none" w:sz="0" w:space="0" w:color="auto"/>
      </w:divBdr>
    </w:div>
    <w:div w:id="1631354819">
      <w:bodyDiv w:val="1"/>
      <w:marLeft w:val="0"/>
      <w:marRight w:val="0"/>
      <w:marTop w:val="0"/>
      <w:marBottom w:val="0"/>
      <w:divBdr>
        <w:top w:val="none" w:sz="0" w:space="0" w:color="auto"/>
        <w:left w:val="none" w:sz="0" w:space="0" w:color="auto"/>
        <w:bottom w:val="none" w:sz="0" w:space="0" w:color="auto"/>
        <w:right w:val="none" w:sz="0" w:space="0" w:color="auto"/>
      </w:divBdr>
      <w:divsChild>
        <w:div w:id="1005939676">
          <w:marLeft w:val="360"/>
          <w:marRight w:val="0"/>
          <w:marTop w:val="0"/>
          <w:marBottom w:val="0"/>
          <w:divBdr>
            <w:top w:val="none" w:sz="0" w:space="0" w:color="auto"/>
            <w:left w:val="none" w:sz="0" w:space="0" w:color="auto"/>
            <w:bottom w:val="none" w:sz="0" w:space="0" w:color="auto"/>
            <w:right w:val="none" w:sz="0" w:space="0" w:color="auto"/>
          </w:divBdr>
        </w:div>
        <w:div w:id="846865014">
          <w:marLeft w:val="360"/>
          <w:marRight w:val="0"/>
          <w:marTop w:val="0"/>
          <w:marBottom w:val="0"/>
          <w:divBdr>
            <w:top w:val="none" w:sz="0" w:space="0" w:color="auto"/>
            <w:left w:val="none" w:sz="0" w:space="0" w:color="auto"/>
            <w:bottom w:val="none" w:sz="0" w:space="0" w:color="auto"/>
            <w:right w:val="none" w:sz="0" w:space="0" w:color="auto"/>
          </w:divBdr>
        </w:div>
        <w:div w:id="337391711">
          <w:marLeft w:val="360"/>
          <w:marRight w:val="0"/>
          <w:marTop w:val="0"/>
          <w:marBottom w:val="0"/>
          <w:divBdr>
            <w:top w:val="none" w:sz="0" w:space="0" w:color="auto"/>
            <w:left w:val="none" w:sz="0" w:space="0" w:color="auto"/>
            <w:bottom w:val="none" w:sz="0" w:space="0" w:color="auto"/>
            <w:right w:val="none" w:sz="0" w:space="0" w:color="auto"/>
          </w:divBdr>
        </w:div>
        <w:div w:id="652219120">
          <w:marLeft w:val="360"/>
          <w:marRight w:val="0"/>
          <w:marTop w:val="0"/>
          <w:marBottom w:val="0"/>
          <w:divBdr>
            <w:top w:val="none" w:sz="0" w:space="0" w:color="auto"/>
            <w:left w:val="none" w:sz="0" w:space="0" w:color="auto"/>
            <w:bottom w:val="none" w:sz="0" w:space="0" w:color="auto"/>
            <w:right w:val="none" w:sz="0" w:space="0" w:color="auto"/>
          </w:divBdr>
        </w:div>
        <w:div w:id="2086485253">
          <w:marLeft w:val="360"/>
          <w:marRight w:val="0"/>
          <w:marTop w:val="0"/>
          <w:marBottom w:val="0"/>
          <w:divBdr>
            <w:top w:val="none" w:sz="0" w:space="0" w:color="auto"/>
            <w:left w:val="none" w:sz="0" w:space="0" w:color="auto"/>
            <w:bottom w:val="none" w:sz="0" w:space="0" w:color="auto"/>
            <w:right w:val="none" w:sz="0" w:space="0" w:color="auto"/>
          </w:divBdr>
        </w:div>
        <w:div w:id="490751557">
          <w:marLeft w:val="360"/>
          <w:marRight w:val="0"/>
          <w:marTop w:val="0"/>
          <w:marBottom w:val="0"/>
          <w:divBdr>
            <w:top w:val="none" w:sz="0" w:space="0" w:color="auto"/>
            <w:left w:val="none" w:sz="0" w:space="0" w:color="auto"/>
            <w:bottom w:val="none" w:sz="0" w:space="0" w:color="auto"/>
            <w:right w:val="none" w:sz="0" w:space="0" w:color="auto"/>
          </w:divBdr>
        </w:div>
      </w:divsChild>
    </w:div>
    <w:div w:id="1785075179">
      <w:bodyDiv w:val="1"/>
      <w:marLeft w:val="0"/>
      <w:marRight w:val="0"/>
      <w:marTop w:val="0"/>
      <w:marBottom w:val="0"/>
      <w:divBdr>
        <w:top w:val="none" w:sz="0" w:space="0" w:color="auto"/>
        <w:left w:val="none" w:sz="0" w:space="0" w:color="auto"/>
        <w:bottom w:val="none" w:sz="0" w:space="0" w:color="auto"/>
        <w:right w:val="none" w:sz="0" w:space="0" w:color="auto"/>
      </w:divBdr>
      <w:divsChild>
        <w:div w:id="1149050838">
          <w:marLeft w:val="446"/>
          <w:marRight w:val="0"/>
          <w:marTop w:val="0"/>
          <w:marBottom w:val="0"/>
          <w:divBdr>
            <w:top w:val="none" w:sz="0" w:space="0" w:color="auto"/>
            <w:left w:val="none" w:sz="0" w:space="0" w:color="auto"/>
            <w:bottom w:val="none" w:sz="0" w:space="0" w:color="auto"/>
            <w:right w:val="none" w:sz="0" w:space="0" w:color="auto"/>
          </w:divBdr>
        </w:div>
        <w:div w:id="1810197843">
          <w:marLeft w:val="446"/>
          <w:marRight w:val="0"/>
          <w:marTop w:val="0"/>
          <w:marBottom w:val="0"/>
          <w:divBdr>
            <w:top w:val="none" w:sz="0" w:space="0" w:color="auto"/>
            <w:left w:val="none" w:sz="0" w:space="0" w:color="auto"/>
            <w:bottom w:val="none" w:sz="0" w:space="0" w:color="auto"/>
            <w:right w:val="none" w:sz="0" w:space="0" w:color="auto"/>
          </w:divBdr>
        </w:div>
        <w:div w:id="340812626">
          <w:marLeft w:val="446"/>
          <w:marRight w:val="0"/>
          <w:marTop w:val="0"/>
          <w:marBottom w:val="0"/>
          <w:divBdr>
            <w:top w:val="none" w:sz="0" w:space="0" w:color="auto"/>
            <w:left w:val="none" w:sz="0" w:space="0" w:color="auto"/>
            <w:bottom w:val="none" w:sz="0" w:space="0" w:color="auto"/>
            <w:right w:val="none" w:sz="0" w:space="0" w:color="auto"/>
          </w:divBdr>
        </w:div>
      </w:divsChild>
    </w:div>
    <w:div w:id="1792089274">
      <w:bodyDiv w:val="1"/>
      <w:marLeft w:val="0"/>
      <w:marRight w:val="0"/>
      <w:marTop w:val="0"/>
      <w:marBottom w:val="0"/>
      <w:divBdr>
        <w:top w:val="none" w:sz="0" w:space="0" w:color="auto"/>
        <w:left w:val="none" w:sz="0" w:space="0" w:color="auto"/>
        <w:bottom w:val="none" w:sz="0" w:space="0" w:color="auto"/>
        <w:right w:val="none" w:sz="0" w:space="0" w:color="auto"/>
      </w:divBdr>
      <w:divsChild>
        <w:div w:id="722289299">
          <w:marLeft w:val="360"/>
          <w:marRight w:val="0"/>
          <w:marTop w:val="0"/>
          <w:marBottom w:val="0"/>
          <w:divBdr>
            <w:top w:val="none" w:sz="0" w:space="0" w:color="auto"/>
            <w:left w:val="none" w:sz="0" w:space="0" w:color="auto"/>
            <w:bottom w:val="none" w:sz="0" w:space="0" w:color="auto"/>
            <w:right w:val="none" w:sz="0" w:space="0" w:color="auto"/>
          </w:divBdr>
        </w:div>
        <w:div w:id="481968218">
          <w:marLeft w:val="360"/>
          <w:marRight w:val="0"/>
          <w:marTop w:val="0"/>
          <w:marBottom w:val="0"/>
          <w:divBdr>
            <w:top w:val="none" w:sz="0" w:space="0" w:color="auto"/>
            <w:left w:val="none" w:sz="0" w:space="0" w:color="auto"/>
            <w:bottom w:val="none" w:sz="0" w:space="0" w:color="auto"/>
            <w:right w:val="none" w:sz="0" w:space="0" w:color="auto"/>
          </w:divBdr>
        </w:div>
        <w:div w:id="2107531250">
          <w:marLeft w:val="360"/>
          <w:marRight w:val="0"/>
          <w:marTop w:val="0"/>
          <w:marBottom w:val="0"/>
          <w:divBdr>
            <w:top w:val="none" w:sz="0" w:space="0" w:color="auto"/>
            <w:left w:val="none" w:sz="0" w:space="0" w:color="auto"/>
            <w:bottom w:val="none" w:sz="0" w:space="0" w:color="auto"/>
            <w:right w:val="none" w:sz="0" w:space="0" w:color="auto"/>
          </w:divBdr>
        </w:div>
      </w:divsChild>
    </w:div>
    <w:div w:id="1818449310">
      <w:bodyDiv w:val="1"/>
      <w:marLeft w:val="0"/>
      <w:marRight w:val="0"/>
      <w:marTop w:val="0"/>
      <w:marBottom w:val="0"/>
      <w:divBdr>
        <w:top w:val="none" w:sz="0" w:space="0" w:color="auto"/>
        <w:left w:val="none" w:sz="0" w:space="0" w:color="auto"/>
        <w:bottom w:val="none" w:sz="0" w:space="0" w:color="auto"/>
        <w:right w:val="none" w:sz="0" w:space="0" w:color="auto"/>
      </w:divBdr>
    </w:div>
    <w:div w:id="1838837816">
      <w:bodyDiv w:val="1"/>
      <w:marLeft w:val="0"/>
      <w:marRight w:val="0"/>
      <w:marTop w:val="0"/>
      <w:marBottom w:val="0"/>
      <w:divBdr>
        <w:top w:val="none" w:sz="0" w:space="0" w:color="auto"/>
        <w:left w:val="none" w:sz="0" w:space="0" w:color="auto"/>
        <w:bottom w:val="none" w:sz="0" w:space="0" w:color="auto"/>
        <w:right w:val="none" w:sz="0" w:space="0" w:color="auto"/>
      </w:divBdr>
    </w:div>
    <w:div w:id="1889956231">
      <w:bodyDiv w:val="1"/>
      <w:marLeft w:val="0"/>
      <w:marRight w:val="0"/>
      <w:marTop w:val="0"/>
      <w:marBottom w:val="0"/>
      <w:divBdr>
        <w:top w:val="none" w:sz="0" w:space="0" w:color="auto"/>
        <w:left w:val="none" w:sz="0" w:space="0" w:color="auto"/>
        <w:bottom w:val="none" w:sz="0" w:space="0" w:color="auto"/>
        <w:right w:val="none" w:sz="0" w:space="0" w:color="auto"/>
      </w:divBdr>
    </w:div>
    <w:div w:id="1901358468">
      <w:bodyDiv w:val="1"/>
      <w:marLeft w:val="0"/>
      <w:marRight w:val="0"/>
      <w:marTop w:val="0"/>
      <w:marBottom w:val="0"/>
      <w:divBdr>
        <w:top w:val="none" w:sz="0" w:space="0" w:color="auto"/>
        <w:left w:val="none" w:sz="0" w:space="0" w:color="auto"/>
        <w:bottom w:val="none" w:sz="0" w:space="0" w:color="auto"/>
        <w:right w:val="none" w:sz="0" w:space="0" w:color="auto"/>
      </w:divBdr>
    </w:div>
    <w:div w:id="1904754581">
      <w:bodyDiv w:val="1"/>
      <w:marLeft w:val="0"/>
      <w:marRight w:val="0"/>
      <w:marTop w:val="0"/>
      <w:marBottom w:val="0"/>
      <w:divBdr>
        <w:top w:val="none" w:sz="0" w:space="0" w:color="auto"/>
        <w:left w:val="none" w:sz="0" w:space="0" w:color="auto"/>
        <w:bottom w:val="none" w:sz="0" w:space="0" w:color="auto"/>
        <w:right w:val="none" w:sz="0" w:space="0" w:color="auto"/>
      </w:divBdr>
    </w:div>
    <w:div w:id="2090271282">
      <w:bodyDiv w:val="1"/>
      <w:marLeft w:val="0"/>
      <w:marRight w:val="0"/>
      <w:marTop w:val="0"/>
      <w:marBottom w:val="0"/>
      <w:divBdr>
        <w:top w:val="none" w:sz="0" w:space="0" w:color="auto"/>
        <w:left w:val="none" w:sz="0" w:space="0" w:color="auto"/>
        <w:bottom w:val="none" w:sz="0" w:space="0" w:color="auto"/>
        <w:right w:val="none" w:sz="0" w:space="0" w:color="auto"/>
      </w:divBdr>
    </w:div>
    <w:div w:id="2103137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1/relationships/commentsExtended" Target="commentsExtended.xml"/><Relationship Id="rId26" Type="http://schemas.openxmlformats.org/officeDocument/2006/relationships/image" Target="media/image9.png"/><Relationship Id="rId39" Type="http://schemas.openxmlformats.org/officeDocument/2006/relationships/image" Target="media/image20.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hyperlink" Target="file:///C:\Users\nbKDL\calibration_model_detailed.md" TargetMode="External"/><Relationship Id="rId5" Type="http://schemas.openxmlformats.org/officeDocument/2006/relationships/settings" Target="settings.xml"/><Relationship Id="rId19" Type="http://schemas.microsoft.com/office/2016/09/relationships/commentsIds" Target="commentsIds.xml"/><Relationship Id="rId4" Type="http://schemas.openxmlformats.org/officeDocument/2006/relationships/styles" Target="styles.xml"/><Relationship Id="rId9" Type="http://schemas.openxmlformats.org/officeDocument/2006/relationships/image" Target="media/image2.jpeg"/><Relationship Id="rId14" Type="http://schemas.openxmlformats.org/officeDocument/2006/relationships/hyperlink" Target="PDP8_IMPACT_ASSESSMENT.md"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file:///C:\Users\nbKDL\finance_instruments_comments_feasibility.md" TargetMode="External"/><Relationship Id="rId43" Type="http://schemas.openxmlformats.org/officeDocument/2006/relationships/image" Target="media/image24.png"/><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image" Target="media/image27.png"/><Relationship Id="rId20" Type="http://schemas.microsoft.com/office/2018/08/relationships/commentsExtensible" Target="commentsExtensible.xml"/><Relationship Id="rId41" Type="http://schemas.openxmlformats.org/officeDocument/2006/relationships/image" Target="media/image22.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yperlink" Target="file:///C:\Users\nbKDL\scenario.md" TargetMode="External"/><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14.png"/><Relationship Id="rId44" Type="http://schemas.openxmlformats.org/officeDocument/2006/relationships/image" Target="media/image25.png"/><Relationship Id="rId52" Type="http://schemas.openxmlformats.org/officeDocument/2006/relationships/hyperlink" Target="file:///C:\Users\nbKDL\implementation_plans\capital_targeting_trial_and_error.m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HeiHa-Farbcode">
      <a:dk1>
        <a:srgbClr val="FFFFFF"/>
      </a:dk1>
      <a:lt1>
        <a:sysClr val="window" lastClr="FFFFFF"/>
      </a:lt1>
      <a:dk2>
        <a:srgbClr val="FFFFFF"/>
      </a:dk2>
      <a:lt2>
        <a:srgbClr val="FFFFFF"/>
      </a:lt2>
      <a:accent1>
        <a:srgbClr val="242B84"/>
      </a:accent1>
      <a:accent2>
        <a:srgbClr val="5286D2"/>
      </a:accent2>
      <a:accent3>
        <a:srgbClr val="28313C"/>
      </a:accent3>
      <a:accent4>
        <a:srgbClr val="B2C823"/>
      </a:accent4>
      <a:accent5>
        <a:srgbClr val="C8781E"/>
      </a:accent5>
      <a:accent6>
        <a:srgbClr val="F0D019"/>
      </a:accent6>
      <a:hlink>
        <a:srgbClr val="5286D2"/>
      </a:hlink>
      <a:folHlink>
        <a:srgbClr val="242B84"/>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C13335-94E1-4638-9554-798080F2C56F}">
  <ds:schemaRefs>
    <ds:schemaRef ds:uri="http://schemas.openxmlformats.org/officeDocument/2006/bibliography"/>
  </ds:schemaRefs>
</ds:datastoreItem>
</file>

<file path=customXml/itemProps2.xml><?xml version="1.0" encoding="utf-8"?>
<ds:datastoreItem xmlns:ds="http://schemas.openxmlformats.org/officeDocument/2006/customXml" ds:itemID="{DA882AFB-C38C-49C3-BD74-9C04F555DE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10081</Words>
  <Characters>72384</Characters>
  <Application>Microsoft Office Word</Application>
  <DocSecurity>0</DocSecurity>
  <Lines>1131</Lines>
  <Paragraphs>422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Begleitende Evaluierung des Investitionsgesetzes Kohleregionen (InvKG) und des STARK-Bundesprogramms: Zwischenbericht</vt:lpstr>
      <vt:lpstr>Begleitende Evaluierung des Investitionsgesetzes Kohleregionen (InvKG) und des STARK-Bundesprogramms: Zwischenbericht</vt:lpstr>
    </vt:vector>
  </TitlesOfParts>
  <Company/>
  <LinksUpToDate>false</LinksUpToDate>
  <CharactersWithSpaces>82043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Begleitende Evaluierung des Investitionsgesetzes Kohleregionen (InvKG) und des STARK-Bundesprogramms: Zwischenbericht</dc:title>
  <dc:subject/>
  <dc:creator>Mirko.Titze@iwh-halle.de</dc:creator>
  <cp:keywords/>
  <dc:description/>
  <cp:lastModifiedBy>Heinisch, Katja</cp:lastModifiedBy>
  <cp:revision>43</cp:revision>
  <cp:lastPrinted>2024-12-03T18:19:00Z</cp:lastPrinted>
  <dcterms:created xsi:type="dcterms:W3CDTF">2025-04-17T08:30:00Z</dcterms:created>
  <dcterms:modified xsi:type="dcterms:W3CDTF">2026-07-27T11:27:00Z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54b9cd-2ce7-4de9-b239-edf358d6fc2e_Enabled">
    <vt:lpwstr>true</vt:lpwstr>
  </property>
  <property fmtid="{D5CDD505-2E9C-101B-9397-08002B2CF9AE}" pid="3" name="MSIP_Label_3854b9cd-2ce7-4de9-b239-edf358d6fc2e_SetDate">
    <vt:lpwstr>2024-11-20T14:45:45Z</vt:lpwstr>
  </property>
  <property fmtid="{D5CDD505-2E9C-101B-9397-08002B2CF9AE}" pid="4" name="MSIP_Label_3854b9cd-2ce7-4de9-b239-edf358d6fc2e_Method">
    <vt:lpwstr>Standard</vt:lpwstr>
  </property>
  <property fmtid="{D5CDD505-2E9C-101B-9397-08002B2CF9AE}" pid="5" name="MSIP_Label_3854b9cd-2ce7-4de9-b239-edf358d6fc2e_Name">
    <vt:lpwstr>defa4170-0d19-0005-0004-bc88714345d2</vt:lpwstr>
  </property>
  <property fmtid="{D5CDD505-2E9C-101B-9397-08002B2CF9AE}" pid="6" name="MSIP_Label_3854b9cd-2ce7-4de9-b239-edf358d6fc2e_SiteId">
    <vt:lpwstr>e2d2f81b-8f0e-457b-8c0f-16d7308ff6d9</vt:lpwstr>
  </property>
  <property fmtid="{D5CDD505-2E9C-101B-9397-08002B2CF9AE}" pid="7" name="MSIP_Label_3854b9cd-2ce7-4de9-b239-edf358d6fc2e_ActionId">
    <vt:lpwstr>9a1b5ced-d0f8-459b-b978-03a9a741faaa</vt:lpwstr>
  </property>
  <property fmtid="{D5CDD505-2E9C-101B-9397-08002B2CF9AE}" pid="8" name="MSIP_Label_3854b9cd-2ce7-4de9-b239-edf358d6fc2e_ContentBits">
    <vt:lpwstr>0</vt:lpwstr>
  </property>
  <property fmtid="{D5CDD505-2E9C-101B-9397-08002B2CF9AE}" pid="9" name="date">
    <vt:lpwstr>2026-07-14</vt:lpwstr>
  </property>
  <property fmtid="{D5CDD505-2E9C-101B-9397-08002B2CF9AE}" pid="10" name="GrammarlyDocumentId">
    <vt:lpwstr>f3a5b887-a55b-4681-bc35-f205b3e88fa0</vt:lpwstr>
  </property>
</Properties>
</file>