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Macroeconomic Impact Assessment of Vietnam’s Power Development Plan 8 and Associated Policy Instruments</w:t>
      </w:r>
    </w:p>
    <w:p>
      <w:pPr>
        <w:pStyle w:val="Subtitle"/>
      </w:pPr>
      <w:r>
        <w:rPr>
          <w:i/>
          <w:iCs/>
        </w:rPr>
        <w:t xml:space="preserve">A DGE-METRIC model-based assessment.</w:t>
      </w:r>
    </w:p>
    <w:p>
      <w:pPr>
        <w:pStyle w:val="Author"/>
      </w:pPr>
      <w:r>
        <w:t xml:space="preserve">Halle Institute for Economic Research (IWH), for GIZ Vietnam</w:t>
      </w:r>
    </w:p>
    <w:p>
      <w:pPr>
        <w:pStyle w:val="Date"/>
      </w:pPr>
      <w:r>
        <w:t xml:space="preserve">2026-07-14</w:t>
      </w:r>
    </w:p>
    <w:bookmarkStart w:id="53" w:name="X2da83c292b3e467556b21a726fb21f57743fdad"/>
    <w:p>
      <w:pPr>
        <w:pStyle w:val="Heading1"/>
      </w:pPr>
      <w:r>
        <w:t xml:space="preserve">Macroeconomic Impact Assessment of Vietnam’s Power Development Plan 8 and Associated Policy Instruments</w:t>
      </w:r>
    </w:p>
    <w:p>
      <w:pPr>
        <w:pStyle w:val="BlockText"/>
      </w:pPr>
      <w:r>
        <w:rPr>
          <w:b/>
          <w:bCs/>
        </w:rPr>
        <w:t xml:space="preserve">How to use this document.</w:t>
      </w:r>
      <w:r>
        <w:t xml:space="preserve"> </w:t>
      </w:r>
      <w:r>
        <w:t xml:space="preserve">This report presents policy findings on the</w:t>
      </w:r>
      <w:r>
        <w:t xml:space="preserve"> </w:t>
      </w:r>
      <w:r>
        <w:t xml:space="preserve">macroeconomic effects of PDP8 and three transition policy instruments —</w:t>
      </w:r>
      <w:r>
        <w:t xml:space="preserve"> </w:t>
      </w:r>
      <w:r>
        <w:t xml:space="preserve">energy efficiency, green finance, and carbon pricing — using the</w:t>
      </w:r>
      <w:r>
        <w:t xml:space="preserve"> </w:t>
      </w:r>
      <w:r>
        <w:t xml:space="preserve">DGE-METRIC model. For the underlying model, data, and solution method, see</w:t>
      </w:r>
      <w:r>
        <w:t xml:space="preserve"> </w:t>
      </w:r>
      <w:r>
        <w:t xml:space="preserve">the companion</w:t>
      </w:r>
      <w:r>
        <w:t xml:space="preserve"> </w:t>
      </w:r>
      <w:hyperlink r:id="rId9">
        <w:r>
          <w:rPr>
            <w:rStyle w:val="Hyperlink"/>
          </w:rPr>
          <w:t xml:space="preserve">Technical Report</w:t>
        </w:r>
      </w:hyperlink>
      <w:r>
        <w:t xml:space="preserve">. This document is</w:t>
      </w:r>
      <w:r>
        <w:t xml:space="preserve"> </w:t>
      </w:r>
      <w:r>
        <w:t xml:space="preserve">written to convert cleanly to Word/PDF (e.g. via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) for circulation</w:t>
      </w:r>
      <w:r>
        <w:t xml:space="preserve"> </w:t>
      </w:r>
      <w:r>
        <w:t xml:space="preserve">as a policy deliverable.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8e1a72bc0830658f616867439baccc31f8cefaf">
        <w:r>
          <w:rPr>
            <w:rStyle w:val="Hyperlink"/>
          </w:rPr>
          <w:t xml:space="preserve">Vietnam's Energy Transition Challenge</w:t>
        </w:r>
      </w:hyperlink>
    </w:p>
    <w:p>
      <w:pPr>
        <w:pStyle w:val="Compact"/>
        <w:numPr>
          <w:ilvl w:val="0"/>
          <w:numId w:val="1001"/>
        </w:numPr>
      </w:pPr>
      <w:hyperlink w:anchor="X9d65e0f6f3df85b83ebfd7ff9171c763e6f4cb3">
        <w:r>
          <w:rPr>
            <w:rStyle w:val="Hyperlink"/>
          </w:rPr>
          <w:t xml:space="preserve">Policy Instruments Assessed</w:t>
        </w:r>
      </w:hyperlink>
    </w:p>
    <w:p>
      <w:pPr>
        <w:pStyle w:val="Compact"/>
        <w:numPr>
          <w:ilvl w:val="0"/>
          <w:numId w:val="1001"/>
        </w:numPr>
      </w:pPr>
      <w:hyperlink w:anchor="X0094b4e216782b0e95d905444f62c277f464392">
        <w:r>
          <w:rPr>
            <w:rStyle w:val="Hyperlink"/>
          </w:rPr>
          <w:t xml:space="preserve">Cross-Cutting Findings</w:t>
        </w:r>
      </w:hyperlink>
    </w:p>
    <w:p>
      <w:pPr>
        <w:pStyle w:val="Compact"/>
        <w:numPr>
          <w:ilvl w:val="0"/>
          <w:numId w:val="1001"/>
        </w:numPr>
      </w:pPr>
      <w:hyperlink w:anchor="Xbf5d16a23ccb68c5dfa1c951f3b7c71b838d44d">
        <w:r>
          <w:rPr>
            <w:rStyle w:val="Hyperlink"/>
          </w:rPr>
          <w:t xml:space="preserve">Policy Recommendations</w:t>
        </w:r>
      </w:hyperlink>
    </w:p>
    <w:p>
      <w:pPr>
        <w:pStyle w:val="Compact"/>
        <w:numPr>
          <w:ilvl w:val="0"/>
          <w:numId w:val="1001"/>
        </w:numPr>
      </w:pPr>
      <w:hyperlink w:anchor="X2ee693a3c8d9abe85aafc24d18bc6402fa6cc43">
        <w:r>
          <w:rPr>
            <w:rStyle w:val="Hyperlink"/>
          </w:rPr>
          <w:t xml:space="preserve">Data and Modeling Caveats</w:t>
        </w:r>
      </w:hyperlink>
    </w:p>
    <w:p>
      <w:pPr>
        <w:pStyle w:val="Compact"/>
        <w:numPr>
          <w:ilvl w:val="0"/>
          <w:numId w:val="1001"/>
        </w:numPr>
      </w:pPr>
      <w:hyperlink w:anchor="Xd122b833c2542db08fbec5a92ef0e51156e7df4">
        <w:r>
          <w:rPr>
            <w:rStyle w:val="Hyperlink"/>
          </w:rPr>
          <w:t xml:space="preserve">Annex: Methodology Summary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Vietnam’s Power Development Plan 8 (PDP8) and net-zero-by-2050 commitment</w:t>
      </w:r>
      <w:r>
        <w:t xml:space="preserve"> </w:t>
      </w:r>
      <w:r>
        <w:t xml:space="preserve">require an estimated</w:t>
      </w:r>
      <w:r>
        <w:t xml:space="preserve"> </w:t>
      </w:r>
      <w:r>
        <w:rPr>
          <w:b/>
          <w:bCs/>
        </w:rPr>
        <w:t xml:space="preserve">USD 136 billion</w:t>
      </w:r>
      <w:r>
        <w:t xml:space="preserve"> </w:t>
      </w:r>
      <w:r>
        <w:t xml:space="preserve">in energy-sector investment through</w:t>
      </w:r>
      <w:r>
        <w:t xml:space="preserve"> </w:t>
      </w:r>
      <w:r>
        <w:t xml:space="preserve">2050. This report uses DGE-METRIC (</w:t>
      </w:r>
      <w:r>
        <w:rPr>
          <w:b/>
          <w:bCs/>
        </w:rPr>
        <w:t xml:space="preserve">D</w:t>
      </w:r>
      <w:r>
        <w:t xml:space="preserve">ynamic</w:t>
      </w:r>
      <w:r>
        <w:t xml:space="preserve"> </w:t>
      </w:r>
      <w:r>
        <w:rPr>
          <w:b/>
          <w:bCs/>
        </w:rPr>
        <w:t xml:space="preserve">G</w:t>
      </w:r>
      <w:r>
        <w:t xml:space="preserve">eneral</w:t>
      </w:r>
      <w:r>
        <w:t xml:space="preserve"> </w:t>
      </w:r>
      <w:r>
        <w:rPr>
          <w:b/>
          <w:bCs/>
        </w:rPr>
        <w:t xml:space="preserve">E</w:t>
      </w:r>
      <w:r>
        <w:t xml:space="preserve">quilibrium for</w:t>
      </w:r>
      <w:r>
        <w:t xml:space="preserve"> </w:t>
      </w:r>
      <w:r>
        <w:rPr>
          <w:b/>
          <w:bCs/>
        </w:rPr>
        <w:t xml:space="preserve">M</w:t>
      </w:r>
      <w:r>
        <w:t xml:space="preserve">acroeconomic</w:t>
      </w:r>
      <w:r>
        <w:t xml:space="preserve"> </w:t>
      </w:r>
      <w:r>
        <w:rPr>
          <w:b/>
          <w:bCs/>
        </w:rPr>
        <w:t xml:space="preserve">E</w:t>
      </w:r>
      <w:r>
        <w:t xml:space="preserve">nergy</w:t>
      </w:r>
      <w:r>
        <w:t xml:space="preserve"> </w:t>
      </w:r>
      <w:r>
        <w:rPr>
          <w:b/>
          <w:bCs/>
        </w:rPr>
        <w:t xml:space="preserve">T</w:t>
      </w:r>
      <w:r>
        <w:t xml:space="preserve">ransition</w:t>
      </w:r>
      <w:r>
        <w:t xml:space="preserve"> </w:t>
      </w:r>
      <w:r>
        <w:rPr>
          <w:b/>
          <w:bCs/>
        </w:rPr>
        <w:t xml:space="preserve">I</w:t>
      </w:r>
      <w:r>
        <w:t xml:space="preserve">ncorporating</w:t>
      </w:r>
      <w:r>
        <w:t xml:space="preserve"> </w:t>
      </w:r>
      <w:r>
        <w:rPr>
          <w:b/>
          <w:bCs/>
        </w:rPr>
        <w:t xml:space="preserve">C</w:t>
      </w:r>
      <w:r>
        <w:t xml:space="preserve">arbon markets) — a five-sector dynamic general</w:t>
      </w:r>
      <w:r>
        <w:t xml:space="preserve"> </w:t>
      </w:r>
      <w:r>
        <w:t xml:space="preserve">equilibrium model calibrated to Vietnam — to quantify the macroeconomic</w:t>
      </w:r>
      <w:r>
        <w:t xml:space="preserve"> </w:t>
      </w:r>
      <w:r>
        <w:t xml:space="preserve">consequences of three policy levers available to shape that transition:</w:t>
      </w:r>
      <w:r>
        <w:t xml:space="preserve"> </w:t>
      </w:r>
      <w:r>
        <w:t xml:space="preserve">energy efficiency ambition, the architecture of green finance, and carbon</w:t>
      </w:r>
      <w:r>
        <w:t xml:space="preserve"> </w:t>
      </w:r>
      <w:r>
        <w:t xml:space="preserve">pricing under a net-zero emissions cap.</w:t>
      </w:r>
    </w:p>
    <w:p>
      <w:pPr>
        <w:pStyle w:val="BodyText"/>
      </w:pPr>
      <w:r>
        <w:rPr>
          <w:b/>
          <w:bCs/>
        </w:rPr>
        <w:t xml:space="preserve">Headline findings: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efficiency is GDP-positive at low cost.</w:t>
      </w:r>
      <w:r>
        <w:t xml:space="preserve"> </w:t>
      </w:r>
      <w:r>
        <w:t xml:space="preserve">Both PDP8-consistent</w:t>
      </w:r>
      <w:r>
        <w:t xml:space="preserve"> </w:t>
      </w:r>
      <w:r>
        <w:t xml:space="preserve">and more ambitious (PM Directive 10/CT-TTg) efficiency targets raise</w:t>
      </w:r>
      <w:r>
        <w:t xml:space="preserve"> </w:t>
      </w:r>
      <w:r>
        <w:t xml:space="preserve">GDP levels throughout the 2026–2050 horizon, with only a small near-term</w:t>
      </w:r>
      <w:r>
        <w:t xml:space="preserve"> </w:t>
      </w:r>
      <w:r>
        <w:t xml:space="preserve">investment-consumption trade-off. Scaling ambition from PDP8 to</w:t>
      </w:r>
      <w:r>
        <w:t xml:space="preserve"> </w:t>
      </w:r>
      <w:r>
        <w:t xml:space="preserve">Directive-10-equivalent targets roughly doubles the GDP gain for an</w:t>
      </w:r>
      <w:r>
        <w:t xml:space="preserve"> </w:t>
      </w:r>
      <w:r>
        <w:t xml:space="preserve">incremental cost of USD 100–150 million per year.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Cheaper capital delivers a measurable, compounding growth dividend.</w:t>
      </w:r>
      <w:r>
        <w:t xml:space="preserve"> </w:t>
      </w:r>
      <w:r>
        <w:t xml:space="preserve">Shifting from market-led to public-led (concessional) green finance</w:t>
      </w:r>
      <w:r>
        <w:t xml:space="preserve"> </w:t>
      </w:r>
      <w:r>
        <w:t xml:space="preserve">reduces annual financing costs by approximately</w:t>
      </w:r>
      <w:r>
        <w:t xml:space="preserve"> </w:t>
      </w:r>
      <w:r>
        <w:rPr>
          <w:b/>
          <w:bCs/>
        </w:rPr>
        <w:t xml:space="preserve">USD 3 billion</w:t>
      </w:r>
      <w:r>
        <w:t xml:space="preserve">,</w:t>
      </w:r>
      <w:r>
        <w:t xml:space="preserve"> </w:t>
      </w:r>
      <w:r>
        <w:t xml:space="preserve">compounding into a persistent GDP growth premium that builds through the</w:t>
      </w:r>
      <w:r>
        <w:t xml:space="preserve"> </w:t>
      </w:r>
      <w:r>
        <w:t xml:space="preserve">2030s as lower-cost capital accumulates.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binding net-zero emissions cap imposes a modest but persistent GDP</w:t>
      </w:r>
      <w:r>
        <w:rPr>
          <w:b/>
          <w:bCs/>
        </w:rP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relative to the PDP8 baseline — the price of accelerating fossil</w:t>
      </w:r>
      <w:r>
        <w:t xml:space="preserve"> </w:t>
      </w:r>
      <w:r>
        <w:t xml:space="preserve">phase-out via a carbon market. Decomposition scenarios show that a</w:t>
      </w:r>
      <w:r>
        <w:t xml:space="preserve"> </w:t>
      </w:r>
      <w:r>
        <w:t xml:space="preserve">meaningful share of this cost is avoided when fuel-switching and</w:t>
      </w:r>
      <w:r>
        <w:t xml:space="preserve"> </w:t>
      </w:r>
      <w:r>
        <w:t xml:space="preserve">efficiency channels remain available; the cost rises substantially under</w:t>
      </w:r>
      <w:r>
        <w:t xml:space="preserve"> </w:t>
      </w:r>
      <w:r>
        <w:t xml:space="preserve">a</w:t>
      </w:r>
      <w:r>
        <w:t xml:space="preserve"> </w:t>
      </w:r>
      <w:r>
        <w:t xml:space="preserve">“worst case”</w:t>
      </w:r>
      <w:r>
        <w:t xml:space="preserve"> </w:t>
      </w:r>
      <w:r>
        <w:t xml:space="preserve">of limited technological learning.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value of concessional finance is higher, not lower, under more</w:t>
      </w:r>
      <w:r>
        <w:rPr>
          <w:b/>
          <w:bCs/>
        </w:rPr>
        <w:t xml:space="preserve"> </w:t>
      </w:r>
      <w:r>
        <w:rPr>
          <w:b/>
          <w:bCs/>
        </w:rPr>
        <w:t xml:space="preserve">ambitious climate policy</w:t>
      </w:r>
      <w:r>
        <w:t xml:space="preserve"> </w:t>
      </w:r>
      <w:r>
        <w:t xml:space="preserve">— financing-cost reductions and carbon pricing</w:t>
      </w:r>
      <w:r>
        <w:t xml:space="preserve"> </w:t>
      </w:r>
      <w:r>
        <w:t xml:space="preserve">are complements, not substitutes, meaning development partners and MDBs</w:t>
      </w:r>
      <w:r>
        <w:t xml:space="preserve"> </w:t>
      </w:r>
      <w:r>
        <w:t xml:space="preserve">have larger impact precisely where climate ambition is highest.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efficiency alone does not reduce emissions</w:t>
      </w:r>
      <w:r>
        <w:t xml:space="preserve"> </w:t>
      </w:r>
      <w:r>
        <w:t xml:space="preserve">under the PDP8</w:t>
      </w:r>
      <w:r>
        <w:t xml:space="preserve"> </w:t>
      </w:r>
      <w:r>
        <w:t xml:space="preserve">baseline; efficiency gains only translate into emissions reduction when</w:t>
      </w:r>
      <w:r>
        <w:t xml:space="preserve"> </w:t>
      </w:r>
      <w:r>
        <w:t xml:space="preserve">combined with a binding carbon constraint (the net-zero pathway).</w:t>
      </w:r>
    </w:p>
    <w:p>
      <w:pPr>
        <w:pStyle w:val="FirstParagraph"/>
      </w:pPr>
      <w:r>
        <w:t xml:space="preserve">These findings are based on specific, non-default model configurations (see</w:t>
      </w:r>
      <w:r>
        <w:t xml:space="preserve"> </w:t>
      </w:r>
      <w:r>
        <w:t xml:space="preserve">§6); reproducing any individual figure requires the exact</w:t>
      </w:r>
      <w:r>
        <w:t xml:space="preserve"> </w:t>
      </w:r>
      <w:r>
        <w:rPr>
          <w:rStyle w:val="VerbatimChar"/>
        </w:rPr>
        <w:t xml:space="preserve">activeScenarioGroups</w:t>
      </w:r>
      <w:r>
        <w:t xml:space="preserve"> </w:t>
      </w:r>
      <w:r>
        <w:t xml:space="preserve">configuration used to generate it.</w:t>
      </w:r>
    </w:p>
    <w:p>
      <w:r>
        <w:pict>
          <v:rect style="width:0;height:1.5pt" o:hralign="center" o:hrstd="t" o:hr="t"/>
        </w:pict>
      </w:r>
    </w:p>
    <w:bookmarkEnd w:id="11"/>
    <w:bookmarkStart w:id="12" w:name="vietnams-energy-transition-challenge"/>
    <w:p>
      <w:pPr>
        <w:pStyle w:val="Heading2"/>
      </w:pPr>
      <w:r>
        <w:t xml:space="preserve">2. Vietnam’s Energy Transition Challenge</w:t>
      </w:r>
    </w:p>
    <w:p>
      <w:pPr>
        <w:pStyle w:val="FirstParagraph"/>
      </w:pPr>
      <w:r>
        <w:t xml:space="preserve">Vietnam is one of Southeast Asia’s fastest-growing economies, with</w:t>
      </w:r>
      <w:r>
        <w:t xml:space="preserve"> </w:t>
      </w:r>
      <w:r>
        <w:t xml:space="preserve">electricity consumption that has roughly doubled every decade, historically</w:t>
      </w:r>
      <w:r>
        <w:t xml:space="preserve"> </w:t>
      </w:r>
      <w:r>
        <w:t xml:space="preserve">powered largely by coal. Vietnam has committed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net-zero emissions by 2050</w:t>
      </w:r>
      <w:r>
        <w:t xml:space="preserve"> </w:t>
      </w:r>
      <w:r>
        <w:t xml:space="preserve">(COP26 pledge, restated in its Nationally</w:t>
      </w:r>
      <w:r>
        <w:t xml:space="preserve"> </w:t>
      </w:r>
      <w:r>
        <w:t xml:space="preserve">Determined Contribution);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60% renewable electricity share by 2030</w:t>
      </w:r>
      <w:r>
        <w:t xml:space="preserve"> </w:t>
      </w:r>
      <w:r>
        <w:t xml:space="preserve">(PDP8, Decision 500/QD-TTg,</w:t>
      </w:r>
      <w:r>
        <w:t xml:space="preserve"> </w:t>
      </w:r>
      <w:r>
        <w:t xml:space="preserve">2023);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new coal capacity after 2030</w:t>
      </w:r>
      <w:r>
        <w:t xml:space="preserve"> </w:t>
      </w:r>
      <w:r>
        <w:t xml:space="preserve">(a core PDP8 commitment).</w:t>
      </w:r>
    </w:p>
    <w:p>
      <w:pPr>
        <w:pStyle w:val="FirstParagraph"/>
      </w:pPr>
      <w:r>
        <w:t xml:space="preserve">These targets compress a multi-decade technology transition into roughly a</w:t>
      </w:r>
      <w:r>
        <w:t xml:space="preserve"> </w:t>
      </w:r>
      <w:r>
        <w:t xml:space="preserve">decade. In the model, PDP8 serves as the</w:t>
      </w:r>
      <w:r>
        <w:t xml:space="preserve"> </w:t>
      </w:r>
      <w:r>
        <w:rPr>
          <w:b/>
          <w:bCs/>
        </w:rPr>
        <w:t xml:space="preserve">reference (baseline) scenario</w:t>
      </w:r>
      <w:r>
        <w:t xml:space="preserve">:</w:t>
      </w:r>
      <w:r>
        <w:t xml:space="preserve"> </w:t>
      </w:r>
      <w:r>
        <w:t xml:space="preserve">the trajectory the economy follows if current energy and climate policy</w:t>
      </w:r>
      <w:r>
        <w:t xml:space="preserve"> </w:t>
      </w:r>
      <w:r>
        <w:t xml:space="preserve">plans are maintained, including rapid solar/wind/storage build-out, coal</w:t>
      </w:r>
      <w:r>
        <w:t xml:space="preserve"> </w:t>
      </w:r>
      <w:r>
        <w:t xml:space="preserve">phase-down, large grid investment, and continued 6–7% annual GDP growth</w:t>
      </w:r>
      <w:r>
        <w:t xml:space="preserve"> </w:t>
      </w:r>
      <w:r>
        <w:t xml:space="preserve">through the 2030s. PDP8 is treated as a planning baseline, not a certainty —</w:t>
      </w:r>
      <w:r>
        <w:t xml:space="preserve"> </w:t>
      </w:r>
      <w:r>
        <w:t xml:space="preserve">it is ambitious relative to current implementation capacity.</w:t>
      </w:r>
    </w:p>
    <w:p>
      <w:pPr>
        <w:pStyle w:val="BodyText"/>
      </w:pPr>
      <w:r>
        <w:rPr>
          <w:b/>
          <w:bCs/>
        </w:rPr>
        <w:t xml:space="preserve">Investment scale.</w:t>
      </w:r>
      <w:r>
        <w:t xml:space="preserve"> </w:t>
      </w:r>
      <w:r>
        <w:t xml:space="preserve">The IWH Investment Needs Assessment (2025) estimates</w:t>
      </w:r>
      <w:r>
        <w:t xml:space="preserve"> </w:t>
      </w:r>
      <w:r>
        <w:t xml:space="preserve">cumulative energy-sector investment needs of approximately</w:t>
      </w:r>
      <w:r>
        <w:t xml:space="preserve"> </w:t>
      </w:r>
      <w:r>
        <w:rPr>
          <w:b/>
          <w:bCs/>
        </w:rPr>
        <w:t xml:space="preserve">USD 1 trillion</w:t>
      </w:r>
      <w:r>
        <w:t xml:space="preserve"> </w:t>
      </w:r>
      <w:r>
        <w:t xml:space="preserve">(2026–2050), spanning renewable capacity, grid</w:t>
      </w:r>
      <w:r>
        <w:t xml:space="preserve"> </w:t>
      </w:r>
      <w:r>
        <w:t xml:space="preserve">reinforcement/transmission, energy efficiency, and climate-adaptation</w:t>
      </w:r>
      <w:r>
        <w:t xml:space="preserve"> </w:t>
      </w:r>
      <w:r>
        <w:t xml:space="preserve">measures. The central economic question is not whether Vietnam can</w:t>
      </w:r>
      <w:r>
        <w:t xml:space="preserve"> </w:t>
      </w:r>
      <w:r>
        <w:t xml:space="preserve">eventually afford this, but whether the</w:t>
      </w:r>
      <w:r>
        <w:t xml:space="preserve"> </w:t>
      </w:r>
      <w:r>
        <w:rPr>
          <w:b/>
          <w:bCs/>
        </w:rPr>
        <w:t xml:space="preserve">timing, financing cost, and</w:t>
      </w:r>
      <w:r>
        <w:rPr>
          <w:b/>
          <w:bCs/>
        </w:rPr>
        <w:t xml:space="preserve"> </w:t>
      </w:r>
      <w:r>
        <w:rPr>
          <w:b/>
          <w:bCs/>
        </w:rPr>
        <w:t xml:space="preserve">institutional capacity</w:t>
      </w:r>
      <w:r>
        <w:t xml:space="preserve"> </w:t>
      </w:r>
      <w:r>
        <w:t xml:space="preserve">are adequate at the pace PDP8 requires.</w:t>
      </w:r>
    </w:p>
    <w:p>
      <w:pPr>
        <w:pStyle w:val="BodyText"/>
      </w:pPr>
      <w:r>
        <w:rPr>
          <w:b/>
          <w:bCs/>
        </w:rPr>
        <w:t xml:space="preserve">The financing gap.</w:t>
      </w:r>
      <w:r>
        <w:t xml:space="preserve"> </w:t>
      </w:r>
      <w:r>
        <w:t xml:space="preserve">The IWH Financial Assessment (2025) identifies a</w:t>
      </w:r>
      <w:r>
        <w:t xml:space="preserve"> </w:t>
      </w:r>
      <w:r>
        <w:t xml:space="preserve">financing bottleneck in the</w:t>
      </w:r>
      <w:r>
        <w:t xml:space="preserve"> </w:t>
      </w:r>
      <w:r>
        <w:rPr>
          <w:b/>
          <w:bCs/>
        </w:rPr>
        <w:t xml:space="preserve">pre-2035 window</w:t>
      </w:r>
      <w:r>
        <w:t xml:space="preserve">, driven by large upfront</w:t>
      </w:r>
      <w:r>
        <w:t xml:space="preserve"> </w:t>
      </w:r>
      <w:r>
        <w:t xml:space="preserve">grid/storage costs, high market borrowing costs (8–10% for private energy</w:t>
      </w:r>
      <w:r>
        <w:t xml:space="preserve"> </w:t>
      </w:r>
      <w:r>
        <w:t xml:space="preserve">projects), a limited domestic institutional investor base, and uncertainty</w:t>
      </w:r>
      <w:r>
        <w:t xml:space="preserve"> </w:t>
      </w:r>
      <w:r>
        <w:t xml:space="preserve">over carbon-market revenue. Green finance instruments — concessional loans,</w:t>
      </w:r>
      <w:r>
        <w:t xml:space="preserve"> </w:t>
      </w:r>
      <w:r>
        <w:t xml:space="preserve">blended finance, green bonds, and development-bank facilities — are designed</w:t>
      </w:r>
      <w:r>
        <w:t xml:space="preserve"> </w:t>
      </w:r>
      <w:r>
        <w:t xml:space="preserve">to narrow this gap by lowering the effective cost of capital (§3.2).</w:t>
      </w:r>
    </w:p>
    <w:p>
      <w:pPr>
        <w:pStyle w:val="BodyText"/>
      </w:pPr>
      <w:r>
        <w:rPr>
          <w:b/>
          <w:bCs/>
        </w:rPr>
        <w:t xml:space="preserve">Carbon market development.</w:t>
      </w:r>
      <w:r>
        <w:t xml:space="preserve"> </w:t>
      </w:r>
      <w:r>
        <w:t xml:space="preserve">Vietnam is building a domestic emissions</w:t>
      </w:r>
      <w:r>
        <w:t xml:space="preserve"> </w:t>
      </w:r>
      <w:r>
        <w:t xml:space="preserve">trading system (ETS), piloted first in the power sector. Design questions —</w:t>
      </w:r>
      <w:r>
        <w:t xml:space="preserve"> </w:t>
      </w:r>
      <w:r>
        <w:t xml:space="preserve">coverage rate, cap trajectory, and revenue recycling — determine both the</w:t>
      </w:r>
      <w:r>
        <w:t xml:space="preserve"> </w:t>
      </w:r>
      <w:r>
        <w:t xml:space="preserve">carbon-price path and its distributional consequences (§3.3).</w:t>
      </w:r>
    </w:p>
    <w:p>
      <w:r>
        <w:pict>
          <v:rect style="width:0;height:1.5pt" o:hralign="center" o:hrstd="t" o:hr="t"/>
        </w:pict>
      </w:r>
    </w:p>
    <w:bookmarkEnd w:id="12"/>
    <w:bookmarkStart w:id="44" w:name="policy-instruments-assessed"/>
    <w:p>
      <w:pPr>
        <w:pStyle w:val="Heading2"/>
      </w:pPr>
      <w:r>
        <w:t xml:space="preserve">3. Policy Instruments Assessed</w:t>
      </w:r>
    </w:p>
    <w:bookmarkStart w:id="23" w:name="energy-efficiency"/>
    <w:p>
      <w:pPr>
        <w:pStyle w:val="Heading3"/>
      </w:pPr>
      <w:r>
        <w:t xml:space="preserve">3.1 Energy efficiency</w:t>
      </w:r>
    </w:p>
    <w:p>
      <w:pPr>
        <w:pStyle w:val="FirstParagraph"/>
      </w:pPr>
      <w:r>
        <w:rPr>
          <w:b/>
          <w:bCs/>
        </w:rPr>
        <w:t xml:space="preserve">Policy question:</w:t>
      </w:r>
      <w:r>
        <w:t xml:space="preserve"> </w:t>
      </w:r>
      <w:r>
        <w:t xml:space="preserve">if Vietnam accelerates energy efficiency in industry</w:t>
      </w:r>
      <w:r>
        <w:t xml:space="preserve"> </w:t>
      </w:r>
      <w:r>
        <w:t xml:space="preserve">and services beyond what PDP8 already assumes, what are the macroeconomic</w:t>
      </w:r>
      <w:r>
        <w:t xml:space="preserve"> </w:t>
      </w:r>
      <w:r>
        <w:t xml:space="preserve">consequences — and what role does battery storage (BESS) play?</w:t>
      </w:r>
    </w:p>
    <w:p>
      <w:pPr>
        <w:pStyle w:val="BodyText"/>
      </w:pPr>
      <w:r>
        <w:t xml:space="preserve">Two ambition levels are modeled:</w:t>
      </w:r>
      <w:r>
        <w:t xml:space="preserve"> </w:t>
      </w:r>
      <w:r>
        <w:rPr>
          <w:rStyle w:val="VerbatimChar"/>
        </w:rPr>
        <w:t xml:space="preserve">EE_PDP8</w:t>
      </w:r>
      <w:r>
        <w:t xml:space="preserve"> </w:t>
      </w:r>
      <w:r>
        <w:t xml:space="preserve">(PDP8-consistent targets: ~7.4%</w:t>
      </w:r>
      <w:r>
        <w:t xml:space="preserve"> </w:t>
      </w:r>
      <w:r>
        <w:t xml:space="preserve">industry and ~5.1% services energy savings by 2030, ~USD 361 million/year</w:t>
      </w:r>
      <w:r>
        <w:t xml:space="preserve"> </w:t>
      </w:r>
      <w:r>
        <w:t xml:space="preserve">combined investment, ≈0.076% of GDP) and</w:t>
      </w:r>
      <w:r>
        <w:t xml:space="preserve"> </w:t>
      </w:r>
      <w:r>
        <w:rPr>
          <w:rStyle w:val="VerbatimChar"/>
        </w:rPr>
        <w:t xml:space="preserve">EE_Directive10</w:t>
      </w:r>
      <w:r>
        <w:t xml:space="preserve"> </w:t>
      </w:r>
      <w:r>
        <w:t xml:space="preserve">(higher ambition</w:t>
      </w:r>
      <w:r>
        <w:t xml:space="preserve"> </w:t>
      </w:r>
      <w:r>
        <w:t xml:space="preserve">calibrated to Vietnam’s Prime Minister Directive 10/CT-TTg). Both run on the PDP8 baseline</w:t>
      </w:r>
      <w:r>
        <w:t xml:space="preserve"> </w:t>
      </w:r>
      <w:r>
        <w:t xml:space="preserve">with no binding carbon constraint.</w:t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004"/>
        </w:numPr>
      </w:pPr>
      <w:r>
        <w:t xml:space="preserve">GDP levels rise throughout the horizon under both variants; Directive-10</w:t>
      </w:r>
      <w:r>
        <w:t xml:space="preserve"> </w:t>
      </w:r>
      <w:r>
        <w:t xml:space="preserve">ambition delivers roughly</w:t>
      </w:r>
      <w:r>
        <w:t xml:space="preserve"> </w:t>
      </w:r>
      <w:r>
        <w:rPr>
          <w:b/>
          <w:bCs/>
        </w:rPr>
        <w:t xml:space="preserve">0.44–0.58 percentage points</w:t>
      </w:r>
      <w:r>
        <w:t xml:space="preserve"> </w:t>
      </w:r>
      <w:r>
        <w:t xml:space="preserve">higher GDP level</w:t>
      </w:r>
      <w:r>
        <w:t xml:space="preserve"> </w:t>
      </w:r>
      <w:r>
        <w:t xml:space="preserve">than EE_PDP8 across 2030–2050, for an incremental investment cost of</w:t>
      </w:r>
      <w:r>
        <w:t xml:space="preserve"> </w:t>
      </w:r>
      <w:r>
        <w:t xml:space="preserve">USD 100–150 million/year.</w:t>
      </w:r>
    </w:p>
    <w:p>
      <w:pPr>
        <w:pStyle w:val="Compact"/>
        <w:numPr>
          <w:ilvl w:val="0"/>
          <w:numId w:val="1004"/>
        </w:numPr>
      </w:pPr>
      <w:r>
        <w:t xml:space="preserve">The near-term effect on the consumption/investment mix is small</w:t>
      </w:r>
      <w:r>
        <w:t xml:space="preserve"> </w:t>
      </w:r>
      <w:r>
        <w:t xml:space="preserve">(consumption share down at most 0.09 pp in 2030, recovering by 2040) as</w:t>
      </w:r>
      <w:r>
        <w:t xml:space="preserve"> </w:t>
      </w:r>
      <w:r>
        <w:t xml:space="preserve">upfront EE capital outlay is later offset by lower energy costs.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Emissions are identical across all EE variants</w:t>
      </w:r>
      <w:r>
        <w:t xml:space="preserve"> </w:t>
      </w:r>
      <w:r>
        <w:t xml:space="preserve">— efficiency reduces</w:t>
      </w:r>
      <w:r>
        <w:t xml:space="preserve"> </w:t>
      </w:r>
      <w:r>
        <w:t xml:space="preserve">energy intensity but does not, by itself, reduce the emissions path, since</w:t>
      </w:r>
      <w:r>
        <w:t xml:space="preserve"> </w:t>
      </w:r>
      <w:r>
        <w:t xml:space="preserve">the PDP8 baseline has no binding cap. The emissions benefit of efficiency</w:t>
      </w:r>
      <w:r>
        <w:t xml:space="preserve"> </w:t>
      </w:r>
      <w:r>
        <w:t xml:space="preserve">only materializes when combined with the net-zero carbon constraint.</w:t>
      </w:r>
    </w:p>
    <w:p>
      <w:pPr>
        <w:pStyle w:val="Compact"/>
        <w:numPr>
          <w:ilvl w:val="0"/>
          <w:numId w:val="1004"/>
        </w:numPr>
      </w:pPr>
      <w:r>
        <w:t xml:space="preserve">Removing the BESS-specific contribution (</w:t>
      </w:r>
      <w:r>
        <w:rPr>
          <w:rStyle w:val="VerbatimChar"/>
        </w:rPr>
        <w:t xml:space="preserve">NoBESS</w:t>
      </w:r>
      <w:r>
        <w:t xml:space="preserve"> </w:t>
      </w:r>
      <w:r>
        <w:t xml:space="preserve">counterfactuals) changes</w:t>
      </w:r>
      <w:r>
        <w:t xml:space="preserve"> </w:t>
      </w:r>
      <w:r>
        <w:t xml:space="preserve">aggregate GDP outcomes negligibly (≤0.013 pp by 2050) —</w:t>
      </w:r>
      <w:r>
        <w:t xml:space="preserve"> </w:t>
      </w:r>
      <w:r>
        <w:rPr>
          <w:b/>
          <w:bCs/>
        </w:rPr>
        <w:t xml:space="preserve">BESS’s value case</w:t>
      </w:r>
      <w:r>
        <w:rPr>
          <w:b/>
          <w:bCs/>
        </w:rPr>
        <w:t xml:space="preserve"> </w:t>
      </w:r>
      <w:r>
        <w:rPr>
          <w:b/>
          <w:bCs/>
        </w:rPr>
        <w:t xml:space="preserve">rests on grid reliability, not aggregate macro impact.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72892"/>
            <wp:effectExtent b="0" l="0" r="0" t="0"/>
            <wp:docPr descr="GDP level deviation from baseline — EE scenarios" title="" id="14" name="Picture"/>
            <a:graphic>
              <a:graphicData uri="http://schemas.openxmlformats.org/drawingml/2006/picture">
                <pic:pic>
                  <pic:nvPicPr>
                    <pic:cNvPr descr="../figures/EE_Simulation_Results/GDP_Level_Deviation_vs_Base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GDP level deviation from baseline — EE scenarios</w:t>
      </w:r>
    </w:p>
    <w:p>
      <w:pPr>
        <w:pStyle w:val="Caption"/>
        <w:jc w:val="center"/>
      </w:pPr>
      <w:r>
        <w:t xml:space="preserve">Figure 3.1. GDP level deviation from the PDP8 Baseline, EE_PDP8 vs. EE_Directive10.</w:t>
      </w:r>
    </w:p>
    <w:p>
      <w:pPr>
        <w:pStyle w:val="ReportNote"/>
      </w:pPr>
      <w:r>
        <w:t xml:space="preserve">Note: Values are percent deviations of GDP level from the PDP8 Baseline path,</w:t>
      </w:r>
      <w:r>
        <w:t xml:space="preserve"> </w:t>
      </w:r>
      <w:r>
        <w:t xml:space="preserve">2026–2050. EE_Directive10 reaches roughly 0.5 percentage points higher GDP</w:t>
      </w:r>
      <w:r>
        <w:t xml:space="preserve"> </w:t>
      </w:r>
      <w:r>
        <w:t xml:space="preserve">than EE_PDP8 by 2040, for an incremental investment cost of USD 100–150</w:t>
      </w:r>
      <w:r>
        <w:t xml:space="preserve"> </w:t>
      </w:r>
      <w:r>
        <w:t xml:space="preserve">million/year.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scripts/reporting/GenerateEESimulationResultsFigures.m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54408"/>
            <wp:effectExtent b="0" l="0" r="0" t="0"/>
            <wp:docPr descr="Energy intensity deviation vs baseline — EE scenarios" title="" id="17" name="Picture"/>
            <a:graphic>
              <a:graphicData uri="http://schemas.openxmlformats.org/drawingml/2006/picture">
                <pic:pic>
                  <pic:nvPicPr>
                    <pic:cNvPr descr="../figures/EE_Simulation_Results/Energy_Intensity_Deviation_vs_Base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 intensity deviation vs baseline — EE scenarios</w:t>
      </w:r>
    </w:p>
    <w:p>
      <w:pPr>
        <w:pStyle w:val="Caption"/>
        <w:jc w:val="center"/>
      </w:pPr>
      <w:r>
        <w:t xml:space="preserve">Figure 3.2. Energy-intensity deviation of EE scenarios from the PDP8 Baseline.</w:t>
      </w:r>
    </w:p>
    <w:p>
      <w:pPr>
        <w:pStyle w:val="ReportNote"/>
      </w:pPr>
      <w:r>
        <w:t xml:space="preserve">Note: Values are index-point deviations from the Baseline energy-intensity</w:t>
      </w:r>
      <w:r>
        <w:t xml:space="preserve"> </w:t>
      </w:r>
      <w:r>
        <w:t xml:space="preserve">index (base year 2026). Directive 10 delivers a roughly 1.9 pp lower energy</w:t>
      </w:r>
      <w:r>
        <w:t xml:space="preserve"> </w:t>
      </w:r>
      <w:r>
        <w:t xml:space="preserve">intensity index than EE_PDP8 by 2030, widening to about 1.6 pp by 2040.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scripts/reporting/GenerateEESimulationResultsFigures.m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56745"/>
            <wp:effectExtent b="0" l="0" r="0" t="0"/>
            <wp:docPr descr="Emissions index — EE scenarios" title="" id="20" name="Picture"/>
            <a:graphic>
              <a:graphicData uri="http://schemas.openxmlformats.org/drawingml/2006/picture">
                <pic:pic>
                  <pic:nvPicPr>
                    <pic:cNvPr descr="../figures/EE_Simulation_Results/Emissions_Index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Emissions index — EE scenarios</w:t>
      </w:r>
    </w:p>
    <w:p>
      <w:pPr>
        <w:pStyle w:val="Caption"/>
        <w:jc w:val="center"/>
      </w:pPr>
      <w:r>
        <w:t xml:space="preserve">Figure 3.3. Emissions index across EE scenario variants, PDP8 Baseline vs. EE_PDP8/EE_Directive10 (with and without BESS).</w:t>
      </w:r>
    </w:p>
    <w:p>
      <w:pPr>
        <w:pStyle w:val="ReportNote"/>
      </w:pPr>
      <w:r>
        <w:t xml:space="preserve">Note: Index, base year 2026 = 100. All four EE variants track the same</w:t>
      </w:r>
      <w:r>
        <w:t xml:space="preserve"> </w:t>
      </w:r>
      <w:r>
        <w:t xml:space="preserve">emissions path — efficiency reduces energy intensity but does not, by</w:t>
      </w:r>
      <w:r>
        <w:t xml:space="preserve"> </w:t>
      </w:r>
      <w:r>
        <w:t xml:space="preserve">itself, bend the emissions path absent a binding carbon constraint.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scripts/reporting/GenerateEESimulationResultsFigures.m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(Full discussion, including the consumption/investment mix and BESS sensitivity: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use_cases_ee.md</w:t>
        </w:r>
      </w:hyperlink>
      <w:r>
        <w:rPr>
          <w:i/>
          <w:iCs/>
        </w:rPr>
        <w:t xml:space="preserve">.)</w:t>
      </w:r>
    </w:p>
    <w:bookmarkEnd w:id="23"/>
    <w:bookmarkStart w:id="31" w:name="green-finance-architecture"/>
    <w:p>
      <w:pPr>
        <w:pStyle w:val="Heading3"/>
      </w:pPr>
      <w:r>
        <w:t xml:space="preserve">3.2 Green finance architecture</w:t>
      </w:r>
    </w:p>
    <w:p>
      <w:pPr>
        <w:pStyle w:val="FirstParagraph"/>
      </w:pPr>
      <w:r>
        <w:rPr>
          <w:b/>
          <w:bCs/>
        </w:rPr>
        <w:t xml:space="preserve">Policy question: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provides transition capital, and at what</w:t>
      </w:r>
      <w:r>
        <w:t xml:space="preserve"> </w:t>
      </w:r>
      <w:r>
        <w:t xml:space="preserve">cost, materially change Vietnam’s macroeconomic trajectory?</w:t>
      </w:r>
    </w:p>
    <w:p>
      <w:pPr>
        <w:pStyle w:val="BodyText"/>
      </w:pPr>
      <w:r>
        <w:t xml:space="preserve">Three financing architectures are compared by their Weighted Average Cost</w:t>
      </w:r>
      <w:r>
        <w:t xml:space="preserve"> </w:t>
      </w:r>
      <w:r>
        <w:t xml:space="preserve">of Finance (WACF):</w:t>
      </w:r>
      <w:r>
        <w:t xml:space="preserve"> </w:t>
      </w:r>
      <w:r>
        <w:rPr>
          <w:rStyle w:val="VerbatimChar"/>
        </w:rPr>
        <w:t xml:space="preserve">GF_A</w:t>
      </w:r>
      <w:r>
        <w:t xml:space="preserve"> </w:t>
      </w:r>
      <w:r>
        <w:t xml:space="preserve">balanced (ODA/MDB + blended + green bonds, WACF</w:t>
      </w:r>
      <w:r>
        <w:t xml:space="preserve"> </w:t>
      </w:r>
      <w:r>
        <w:t xml:space="preserve">6.43%),</w:t>
      </w:r>
      <w:r>
        <w:t xml:space="preserve"> </w:t>
      </w:r>
      <w:r>
        <w:rPr>
          <w:rStyle w:val="VerbatimChar"/>
        </w:rPr>
        <w:t xml:space="preserve">GF_B</w:t>
      </w:r>
      <w:r>
        <w:t xml:space="preserve"> </w:t>
      </w:r>
      <w:r>
        <w:t xml:space="preserve">market-led (predominantly commercial capital, WACF 7.37%),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GF_C</w:t>
      </w:r>
      <w:r>
        <w:t xml:space="preserve"> </w:t>
      </w:r>
      <w:r>
        <w:t xml:space="preserve">public-led (concessional/ODA-dominant, WACF 5.07%). Each runs on</w:t>
      </w:r>
      <w:r>
        <w:t xml:space="preserve"> </w:t>
      </w:r>
      <w:r>
        <w:t xml:space="preserve">both the PDP8 baseline and the Net-Zero path (six finance configurations in</w:t>
      </w:r>
      <w:r>
        <w:t xml:space="preserve"> </w:t>
      </w:r>
      <w:r>
        <w:t xml:space="preserve">total). Finance instruments enter as reduced-form cost-of-capital and</w:t>
      </w:r>
      <w:r>
        <w:t xml:space="preserve"> </w:t>
      </w:r>
      <w:r>
        <w:t xml:space="preserve">investment-price shocks (public/FDI finance rates, effective investment</w:t>
      </w:r>
      <w:r>
        <w:t xml:space="preserve"> </w:t>
      </w:r>
      <w:r>
        <w:t xml:space="preserve">price) rather than as named balance-sheet instruments — see §6 for what this</w:t>
      </w:r>
      <w:r>
        <w:t xml:space="preserve"> </w:t>
      </w:r>
      <w:r>
        <w:t xml:space="preserve">does and does not capture.</w:t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005"/>
        </w:numPr>
      </w:pPr>
      <w:r>
        <w:t xml:space="preserve">The public-led (GF_C, 5.07% WACF) vs. market-led (GF_B, 7.37% WACF)</w:t>
      </w:r>
      <w:r>
        <w:t xml:space="preserve"> </w:t>
      </w:r>
      <w:r>
        <w:t xml:space="preserve">comparison — a roughly 2 percentage-point WACF spread — translates into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USD 3 billion per year</w:t>
      </w:r>
      <w:r>
        <w:t xml:space="preserve"> </w:t>
      </w:r>
      <w:r>
        <w:t xml:space="preserve">in avoided financing costs at the</w:t>
      </w:r>
      <w:r>
        <w:t xml:space="preserve"> </w:t>
      </w:r>
      <w:r>
        <w:t xml:space="preserve">USD 136 billion investment scale, and a consistent GDP growth premium</w:t>
      </w:r>
      <w:r>
        <w:t xml:space="preserve"> </w:t>
      </w:r>
      <w:r>
        <w:t xml:space="preserve">through the horizon.</w:t>
      </w:r>
    </w:p>
    <w:p>
      <w:pPr>
        <w:pStyle w:val="Compact"/>
        <w:numPr>
          <w:ilvl w:val="0"/>
          <w:numId w:val="1005"/>
        </w:numPr>
      </w:pPr>
      <w:r>
        <w:t xml:space="preserve">The GDP effect can be slightly negative in the very near term (higher</w:t>
      </w:r>
      <w:r>
        <w:t xml:space="preserve"> </w:t>
      </w:r>
      <w:r>
        <w:t xml:space="preserve">investment temporarily displaces consumption) before the payoff from a</w:t>
      </w:r>
      <w:r>
        <w:t xml:space="preserve"> </w:t>
      </w:r>
      <w:r>
        <w:t xml:space="preserve">larger, cheaper-financed capital stock materializes.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Financing effects are amplified under Net-Zero.</w:t>
      </w:r>
      <w:r>
        <w:t xml:space="preserve"> </w:t>
      </w:r>
      <w:r>
        <w:t xml:space="preserve">When the same finance</w:t>
      </w:r>
      <w:r>
        <w:t xml:space="preserve"> </w:t>
      </w:r>
      <w:r>
        <w:t xml:space="preserve">scenarios are run against the NZ baseline, investment requirements are</w:t>
      </w:r>
      <w:r>
        <w:t xml:space="preserve"> </w:t>
      </w:r>
      <w:r>
        <w:t xml:space="preserve">larger and the cost of capital more binding, so a given WACF reduction has</w:t>
      </w:r>
      <w:r>
        <w:t xml:space="preserve"> </w:t>
      </w:r>
      <w:r>
        <w:t xml:space="preserve">a larger absolute GDP effect than under PDP8 alone. This means concessional</w:t>
      </w:r>
      <w:r>
        <w:t xml:space="preserve"> </w:t>
      </w:r>
      <w:r>
        <w:t xml:space="preserve">finance and carbon pricing are</w:t>
      </w:r>
      <w:r>
        <w:t xml:space="preserve"> </w:t>
      </w:r>
      <w:r>
        <w:rPr>
          <w:b/>
          <w:bCs/>
        </w:rPr>
        <w:t xml:space="preserve">complements</w:t>
      </w:r>
      <w:r>
        <w:t xml:space="preserve">, not substitutes — the case</w:t>
      </w:r>
      <w:r>
        <w:t xml:space="preserve"> </w:t>
      </w:r>
      <w:r>
        <w:t xml:space="preserve">for cheaper capital strengthens as climate ambition rises.</w:t>
      </w:r>
    </w:p>
    <w:p>
      <w:pPr>
        <w:pStyle w:val="Compact"/>
        <w:numPr>
          <w:ilvl w:val="0"/>
          <w:numId w:val="1005"/>
        </w:numPr>
      </w:pPr>
      <w:r>
        <w:t xml:space="preserve">The model results represent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: they show what a given</w:t>
      </w:r>
      <w:r>
        <w:t xml:space="preserve"> </w:t>
      </w:r>
      <w:r>
        <w:t xml:space="preserve">financing architecture achieves</w:t>
      </w:r>
      <w:r>
        <w:t xml:space="preserve"> </w:t>
      </w:r>
      <w:r>
        <w:rPr>
          <w:i/>
          <w:iCs/>
        </w:rPr>
        <w:t xml:space="preserve">if fully deployed at the assumed cost</w:t>
      </w:r>
      <w:r>
        <w:t xml:space="preserve">,</w:t>
      </w:r>
      <w:r>
        <w:t xml:space="preserve"> </w:t>
      </w:r>
      <w:r>
        <w:t xml:space="preserve">not whether that cost reduction is institutionally achievable at scale.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82319"/>
            <wp:effectExtent b="0" l="0" r="0" t="0"/>
            <wp:docPr descr="GDP growth comparison — finance scenarios" title="" id="25" name="Picture"/>
            <a:graphic>
              <a:graphicData uri="http://schemas.openxmlformats.org/drawingml/2006/picture">
                <pic:pic>
                  <pic:nvPicPr>
                    <pic:cNvPr descr="../figures/Finance_Simulation_Results/GDP_Growth_Comparison_with_Baselin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GDP growth comparison — finance scenarios</w:t>
      </w:r>
    </w:p>
    <w:p>
      <w:pPr>
        <w:pStyle w:val="Caption"/>
        <w:jc w:val="center"/>
      </w:pPr>
      <w:r>
        <w:t xml:space="preserve">Figure 3.4. GDP growth under GF_A, GF_B, and GF_C financing architectures vs. the PDP8 Baseline.</w:t>
      </w:r>
    </w:p>
    <w:p>
      <w:pPr>
        <w:pStyle w:val="ReportNote"/>
      </w:pPr>
      <w:r>
        <w:t xml:space="preserve">Note: Annual GDP growth rates, 2026–2050. Cheaper capital (GF_C, public-led)</w:t>
      </w:r>
      <w:r>
        <w:t xml:space="preserve"> </w:t>
      </w:r>
      <w:r>
        <w:t xml:space="preserve">delivers a measurable growth premium over market-led finance (GF_B), largest</w:t>
      </w:r>
      <w:r>
        <w:t xml:space="preserve"> </w:t>
      </w:r>
      <w:r>
        <w:t xml:space="preserve">in the pre-2035 investment-intensive window.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scripts/reporting/GenerateFinanceSimulationResultsFigures.m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82319"/>
            <wp:effectExtent b="0" l="0" r="0" t="0"/>
            <wp:docPr descr="WACC for renewables comparison — finance scenarios" title="" id="28" name="Picture"/>
            <a:graphic>
              <a:graphicData uri="http://schemas.openxmlformats.org/drawingml/2006/picture">
                <pic:pic>
                  <pic:nvPicPr>
                    <pic:cNvPr descr="../figures/Finance_Simulation_Results/WACC_Renewables_Comparison_with_Basel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WACC for renewables comparison — finance scenarios</w:t>
      </w:r>
    </w:p>
    <w:p>
      <w:pPr>
        <w:pStyle w:val="Caption"/>
        <w:jc w:val="center"/>
      </w:pPr>
      <w:r>
        <w:t xml:space="preserve">Figure 3.5. Weighted average cost of capital (WACC) for renewable investment under GF_A, GF_B, and GF_C.</w:t>
      </w:r>
    </w:p>
    <w:p>
      <w:pPr>
        <w:pStyle w:val="ReportNote"/>
      </w:pPr>
      <w:r>
        <w:t xml:space="preserve">Note: Effective financing cost for renewable energy investment, in percent.</w:t>
      </w:r>
      <w:r>
        <w:t xml:space="preserve"> </w:t>
      </w:r>
      <w:r>
        <w:t xml:space="preserve">The roughly 2 percentage-point WACF spread between GF_C (5.07%) and GF_B</w:t>
      </w:r>
      <w:r>
        <w:t xml:space="preserve"> </w:t>
      </w:r>
      <w:r>
        <w:t xml:space="preserve">(7.37%) translates directly into a lower effective WACC for renewable</w:t>
      </w:r>
      <w:r>
        <w:t xml:space="preserve"> </w:t>
      </w:r>
      <w:r>
        <w:t xml:space="preserve">investment.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scripts/reporting/GenerateFinanceSimulationResultsFigures.m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(Full discussion, including the Net-Zero amplification effect: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use_cases_finance.md</w:t>
        </w:r>
      </w:hyperlink>
      <w:r>
        <w:rPr>
          <w:i/>
          <w:iCs/>
        </w:rPr>
        <w:t xml:space="preserve">.)</w:t>
      </w:r>
    </w:p>
    <w:bookmarkEnd w:id="31"/>
    <w:bookmarkStart w:id="43" w:name="carbon-pricing-and-the-net-zero-pathway"/>
    <w:p>
      <w:pPr>
        <w:pStyle w:val="Heading3"/>
      </w:pPr>
      <w:r>
        <w:t xml:space="preserve">3.3 Carbon pricing and the Net-Zero pathway</w:t>
      </w:r>
    </w:p>
    <w:p>
      <w:pPr>
        <w:pStyle w:val="FirstParagraph"/>
      </w:pPr>
      <w:r>
        <w:rPr>
          <w:b/>
          <w:bCs/>
        </w:rPr>
        <w:t xml:space="preserve">Policy question:</w:t>
      </w:r>
      <w:r>
        <w:t xml:space="preserve"> </w:t>
      </w:r>
      <w:r>
        <w:t xml:space="preserve">what is the macroeconomic cost of a binding net-zero</w:t>
      </w:r>
      <w:r>
        <w:t xml:space="preserve"> </w:t>
      </w:r>
      <w:r>
        <w:t xml:space="preserve">emissions cap on top of the PDP8 baseline, and how much of that cost is</w:t>
      </w:r>
      <w:r>
        <w:t xml:space="preserve"> </w:t>
      </w:r>
      <w:r>
        <w:t xml:space="preserve">attributable to the absence of fuel-switching or efficiency improvements?</w:t>
      </w:r>
    </w:p>
    <w:p>
      <w:pPr>
        <w:pStyle w:val="BodyText"/>
      </w:pPr>
      <w:r>
        <w:t xml:space="preserve">The Net-Zero (</w:t>
      </w:r>
      <w:r>
        <w:rPr>
          <w:rStyle w:val="VerbatimChar"/>
        </w:rPr>
        <w:t xml:space="preserve">NZ</w:t>
      </w:r>
      <w:r>
        <w:t xml:space="preserve">) scenario imposes an economy-wide ETS with a cap</w:t>
      </w:r>
      <w:r>
        <w:t xml:space="preserve"> </w:t>
      </w:r>
      <w:r>
        <w:t xml:space="preserve">declining to net-zero by 2050 and an endogenous carbon price. Two</w:t>
      </w:r>
      <w:r>
        <w:t xml:space="preserve"> </w:t>
      </w:r>
      <w:r>
        <w:t xml:space="preserve">constrained decomposition variants isolate specific adjustment channels:</w:t>
      </w:r>
      <w:r>
        <w:t xml:space="preserve"> </w:t>
      </w:r>
      <w:r>
        <w:rPr>
          <w:rStyle w:val="VerbatimChar"/>
        </w:rPr>
        <w:t xml:space="preserve">NZ_constInt</w:t>
      </w:r>
      <w:r>
        <w:t xml:space="preserve"> </w:t>
      </w:r>
      <w:r>
        <w:t xml:space="preserve">(fossil emission intensity held fixed — no fuel-switching</w:t>
      </w:r>
      <w:r>
        <w:t xml:space="preserve"> </w:t>
      </w:r>
      <w:r>
        <w:t xml:space="preserve">within fossil categories) and</w:t>
      </w:r>
      <w:r>
        <w:t xml:space="preserve"> </w:t>
      </w:r>
      <w:r>
        <w:rPr>
          <w:rStyle w:val="VerbatimChar"/>
        </w:rPr>
        <w:t xml:space="preserve">NZ_constEEInt</w:t>
      </w:r>
      <w:r>
        <w:t xml:space="preserve"> </w:t>
      </w:r>
      <w:r>
        <w:t xml:space="preserve">(energy efficiency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emission intensity both held fixed).</w:t>
      </w:r>
    </w:p>
    <w:p>
      <w:pPr>
        <w:pStyle w:val="BodyText"/>
      </w:pPr>
      <w:r>
        <w:rPr>
          <w:b/>
          <w:bCs/>
        </w:rPr>
        <w:t xml:space="preserve">Results:</w:t>
      </w:r>
    </w:p>
    <w:p>
      <w:pPr>
        <w:pStyle w:val="Compact"/>
        <w:numPr>
          <w:ilvl w:val="0"/>
          <w:numId w:val="1006"/>
        </w:numPr>
      </w:pPr>
      <w:r>
        <w:t xml:space="preserve">The binding net-zero cap imposes a</w:t>
      </w:r>
      <w:r>
        <w:t xml:space="preserve"> </w:t>
      </w:r>
      <w:r>
        <w:rPr>
          <w:b/>
          <w:bCs/>
        </w:rPr>
        <w:t xml:space="preserve">modest but persistent GDP cost</w:t>
      </w:r>
      <w:r>
        <w:t xml:space="preserve"> </w:t>
      </w:r>
      <w:r>
        <w:t xml:space="preserve">relative to the PDP8 baseline, reflecting faster-than-planned fossil</w:t>
      </w:r>
      <w:r>
        <w:t xml:space="preserve"> </w:t>
      </w:r>
      <w:r>
        <w:t xml:space="preserve">phase-out and accelerated renewable capital formation.</w:t>
      </w:r>
    </w:p>
    <w:p>
      <w:pPr>
        <w:pStyle w:val="Compact"/>
        <w:numPr>
          <w:ilvl w:val="0"/>
          <w:numId w:val="1006"/>
        </w:numPr>
      </w:pPr>
      <w:r>
        <w:t xml:space="preserve">Comparing NZ to its constrained variants decomposes this cost: forgoing</w:t>
      </w:r>
      <w:r>
        <w:t xml:space="preserve"> </w:t>
      </w:r>
      <w:r>
        <w:t xml:space="preserve">fuel-switching and efficiency channels raises the carbon price needed to</w:t>
      </w:r>
      <w:r>
        <w:t xml:space="preserve"> </w:t>
      </w:r>
      <w:r>
        <w:t xml:space="preserve">hit the same emissions path and increases the GDP cost, illustrating that</w:t>
      </w:r>
      <w:r>
        <w:t xml:space="preserve"> </w:t>
      </w:r>
      <w:r>
        <w:t xml:space="preserve">fuel-switching and efficiency are not</w:t>
      </w:r>
      <w:r>
        <w:t xml:space="preserve"> </w:t>
      </w:r>
      <w:r>
        <w:t xml:space="preserve">“nice-to-haves”</w:t>
      </w:r>
      <w:r>
        <w:t xml:space="preserve"> </w:t>
      </w:r>
      <w:r>
        <w:t xml:space="preserve">but material</w:t>
      </w:r>
      <w:r>
        <w:t xml:space="preserve"> </w:t>
      </w:r>
      <w:r>
        <w:t xml:space="preserve">cost-reduction channels for the transition.</w:t>
      </w:r>
    </w:p>
    <w:p>
      <w:pPr>
        <w:pStyle w:val="Compact"/>
        <w:numPr>
          <w:ilvl w:val="0"/>
          <w:numId w:val="1006"/>
        </w:numPr>
      </w:pPr>
      <w:r>
        <w:t xml:space="preserve">The most constrained variant (</w:t>
      </w:r>
      <w:r>
        <w:rPr>
          <w:rStyle w:val="VerbatimChar"/>
        </w:rPr>
        <w:t xml:space="preserve">NZ_constEEInt</w:t>
      </w:r>
      <w:r>
        <w:t xml:space="preserve">) represents a worst case</w:t>
      </w:r>
      <w:r>
        <w:t xml:space="preserve"> </w:t>
      </w:r>
      <w:r>
        <w:t xml:space="preserve">under limited technological learning and provides an upper bound on</w:t>
      </w:r>
      <w:r>
        <w:t xml:space="preserve"> </w:t>
      </w:r>
      <w:r>
        <w:t xml:space="preserve">carbon prices and adjustment costs.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75661"/>
            <wp:effectExtent b="0" l="0" r="0" t="0"/>
            <wp:docPr descr="GDP level deviation — NZ scenarios" title="" id="33" name="Picture"/>
            <a:graphic>
              <a:graphicData uri="http://schemas.openxmlformats.org/drawingml/2006/picture">
                <pic:pic>
                  <pic:nvPicPr>
                    <pic:cNvPr descr="../figures/NZ_Simulation_Results/GDP_Level_Deviation_vs_Baselin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GDP level deviation — NZ scenarios</w:t>
      </w:r>
    </w:p>
    <w:p>
      <w:pPr>
        <w:pStyle w:val="Caption"/>
        <w:jc w:val="center"/>
      </w:pPr>
      <w:r>
        <w:t xml:space="preserve">Figure 3.6. GDP level deviation from the PDP8 Baseline, NZ and constrained decomposition variants (NZ_constInt, NZ_constEEInt).</w:t>
      </w:r>
    </w:p>
    <w:p>
      <w:pPr>
        <w:pStyle w:val="ReportNote"/>
      </w:pPr>
      <w:r>
        <w:t xml:space="preserve">Note: Values are percent deviations of GDP level from the PDP8 Baseline</w:t>
      </w:r>
      <w:r>
        <w:t xml:space="preserve"> </w:t>
      </w:r>
      <w:r>
        <w:t xml:space="preserve">path, 2026–2050. The decomposition variants show how much of the net-zero</w:t>
      </w:r>
      <w:r>
        <w:t xml:space="preserve"> </w:t>
      </w:r>
      <w:r>
        <w:t xml:space="preserve">transition’s GDP cost is attributable to forgoing fuel-switching and</w:t>
      </w:r>
      <w:r>
        <w:t xml:space="preserve"> </w:t>
      </w:r>
      <w:r>
        <w:t xml:space="preserve">efficiency channels.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scripts/reporting/GenerateNZBaselineComparisonFigures.m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77150"/>
            <wp:effectExtent b="0" l="0" r="0" t="0"/>
            <wp:docPr descr="Emissions index — NZ scenarios" title="" id="36" name="Picture"/>
            <a:graphic>
              <a:graphicData uri="http://schemas.openxmlformats.org/drawingml/2006/picture">
                <pic:pic>
                  <pic:nvPicPr>
                    <pic:cNvPr descr="../figures/NZ_Simulation_Results/Emissions_Index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Emissions index — NZ scenarios</w:t>
      </w:r>
    </w:p>
    <w:p>
      <w:pPr>
        <w:pStyle w:val="Caption"/>
        <w:jc w:val="center"/>
      </w:pPr>
      <w:r>
        <w:t xml:space="preserve">Figure 3.7. Emissions index under NZ and constrained decomposition variants vs. the PDP8 Baseline.</w:t>
      </w:r>
    </w:p>
    <w:p>
      <w:pPr>
        <w:pStyle w:val="ReportNote"/>
      </w:pPr>
      <w:r>
        <w:t xml:space="preserve">Note: Index, base year 2026 = 100. The binding cap forces accelerated</w:t>
      </w:r>
      <w:r>
        <w:t xml:space="preserve"> </w:t>
      </w:r>
      <w:r>
        <w:t xml:space="preserve">emissions decline; the more adjustment channels are held fixed</w:t>
      </w:r>
      <w:r>
        <w:t xml:space="preserve"> </w:t>
      </w:r>
      <w:r>
        <w:t xml:space="preserve">(NZ_constInt, then NZ_constEEInt), the higher the carbon price needed to</w:t>
      </w:r>
      <w:r>
        <w:t xml:space="preserve"> </w:t>
      </w:r>
      <w:r>
        <w:t xml:space="preserve">hit the same emissions path.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scripts/reporting/GenerateNZBaselineComparisonFigures.m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CaptionedFigure"/>
        <w:keepNext/>
        <w:spacing w:before="140" w:after="60"/>
        <w:jc w:val="center"/>
      </w:pPr>
      <w:r>
        <w:drawing>
          <wp:inline>
            <wp:extent cx="5334000" cy="3074798"/>
            <wp:effectExtent b="0" l="0" r="0" t="0"/>
            <wp:docPr descr="Energy intensity deviation — NZ scenarios" title="" id="39" name="Picture"/>
            <a:graphic>
              <a:graphicData uri="http://schemas.openxmlformats.org/drawingml/2006/picture">
                <pic:pic>
                  <pic:nvPicPr>
                    <pic:cNvPr descr="../figures/NZ_Simulation_Results/Energy_Intensity_Deviation_vs_Baselin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 intensity deviation — NZ scenarios</w:t>
      </w:r>
    </w:p>
    <w:p>
      <w:pPr>
        <w:pStyle w:val="Caption"/>
        <w:jc w:val="center"/>
      </w:pPr>
      <w:r>
        <w:t xml:space="preserve">Figure 3.8. Energy-intensity deviation of NZ and constrained decomposition variants from the PDP8 Baseline.</w:t>
      </w:r>
    </w:p>
    <w:p>
      <w:pPr>
        <w:pStyle w:val="ReportNote"/>
      </w:pPr>
      <w:r>
        <w:t xml:space="preserve">Note: Values are index-point deviations from the Baseline energy-intensity</w:t>
      </w:r>
      <w:r>
        <w:t xml:space="preserve"> </w:t>
      </w:r>
      <w:r>
        <w:t xml:space="preserve">index (base year 2026). The ETS carbon price accelerates efficiency</w:t>
      </w:r>
      <w:r>
        <w:t xml:space="preserve"> </w:t>
      </w:r>
      <w:r>
        <w:t xml:space="preserve">investment beyond what PDP8 alone induces, amplifying the energy intensity</w:t>
      </w:r>
      <w:r>
        <w:t xml:space="preserve"> </w:t>
      </w:r>
      <w:r>
        <w:t xml:space="preserve">decline relative to the EE-only scenarios in §3.1.</w:t>
      </w:r>
    </w:p>
    <w:p>
      <w:pPr>
        <w:pStyle w:val="ReportNote"/>
      </w:pPr>
      <w:r>
        <w:t xml:space="preserve">Source: Generated by</w:t>
      </w:r>
      <w:r>
        <w:t xml:space="preserve"> </w:t>
      </w:r>
      <w:r>
        <w:rPr>
          <w:rStyle w:val="VerbatimChar"/>
        </w:rPr>
        <w:t xml:space="preserve">scripts/reporting/GenerateNZBaselineComparisonFigures.m</w:t>
      </w:r>
      <w:r>
        <w:t xml:space="preserve"> </w:t>
      </w:r>
      <w:r>
        <w:t xml:space="preserve">from scenario output CSV files in</w:t>
      </w:r>
      <w:r>
        <w:t xml:space="preserve"> </w:t>
      </w:r>
      <w:r>
        <w:rPr>
          <w:rStyle w:val="VerbatimChar"/>
        </w:rPr>
        <w:t xml:space="preserve">ExcelFiles/Output/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(Full discussion:</w:t>
      </w:r>
      <w:r>
        <w:rPr>
          <w:i/>
          <w:iCs/>
        </w:rPr>
        <w:t xml:space="preserve"> </w:t>
      </w:r>
      <w:hyperlink r:id="rId41">
        <w:r>
          <w:rPr>
            <w:rStyle w:val="Hyperlink"/>
            <w:i/>
            <w:iCs/>
          </w:rPr>
          <w:t xml:space="preserve">scenario.md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2">
        <w:r>
          <w:rPr>
            <w:rStyle w:val="Hyperlink"/>
            <w:i/>
            <w:iCs/>
          </w:rPr>
          <w:t xml:space="preserve">scenarios_overview.md</w:t>
        </w:r>
      </w:hyperlink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ross-cutting-findings"/>
    <w:p>
      <w:pPr>
        <w:pStyle w:val="Heading2"/>
      </w:pPr>
      <w:r>
        <w:t xml:space="preserve">4. Cross-Cutting Findings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Sectoral adjustment burden.</w:t>
      </w:r>
      <w:r>
        <w:t xml:space="preserve"> </w:t>
      </w:r>
      <w:r>
        <w:t xml:space="preserve">The fossil energy sector faces the</w:t>
      </w:r>
      <w:r>
        <w:t xml:space="preserve"> </w:t>
      </w:r>
      <w:r>
        <w:t xml:space="preserve">largest structural adjustment across all Net-Zero variants, as capital and</w:t>
      </w:r>
      <w:r>
        <w:t xml:space="preserve"> </w:t>
      </w:r>
      <w:r>
        <w:t xml:space="preserve">labor reallocate toward renewables and non-energy sectors under a rising</w:t>
      </w:r>
      <w:r>
        <w:t xml:space="preserve"> </w:t>
      </w:r>
      <w:r>
        <w:t xml:space="preserve">carbon price. Industry and services face demand-side pressure from</w:t>
      </w:r>
      <w:r>
        <w:t xml:space="preserve"> </w:t>
      </w:r>
      <w:r>
        <w:t xml:space="preserve">changing energy prices and are the natural target sectors for</w:t>
      </w:r>
      <w:r>
        <w:t xml:space="preserve"> </w:t>
      </w:r>
      <w:r>
        <w:t xml:space="preserve">efficiency policy.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Fiscal/ETS revenue implications.</w:t>
      </w:r>
      <w:r>
        <w:t xml:space="preserve"> </w:t>
      </w:r>
      <w:r>
        <w:t xml:space="preserve">Because tax rates on consumption,</w:t>
      </w:r>
      <w:r>
        <w:t xml:space="preserve"> </w:t>
      </w:r>
      <w:r>
        <w:t xml:space="preserve">labor, and capital are held constant in the model (no endogenous fiscal</w:t>
      </w:r>
      <w:r>
        <w:t xml:space="preserve"> </w:t>
      </w:r>
      <w:r>
        <w:t xml:space="preserve">rule), any change in government revenue from climate policy flows through</w:t>
      </w:r>
      <w:r>
        <w:t xml:space="preserve"> </w:t>
      </w:r>
      <w:r>
        <w:t xml:space="preserve">the tax base and ETS auction revenue alone. ETS revenue recycling design</w:t>
      </w:r>
      <w:r>
        <w:t xml:space="preserve"> </w:t>
      </w:r>
      <w:r>
        <w:t xml:space="preserve">— to the budget, to firms, or to households — is therefore a first-order</w:t>
      </w:r>
      <w:r>
        <w:t xml:space="preserve"> </w:t>
      </w:r>
      <w:r>
        <w:t xml:space="preserve">distributional policy choice not resolved by the model itself.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Instrument complementarity, not substitution.</w:t>
      </w:r>
      <w:r>
        <w:t xml:space="preserve"> </w:t>
      </w:r>
      <w:r>
        <w:t xml:space="preserve">Across all three</w:t>
      </w:r>
      <w:r>
        <w:t xml:space="preserve"> </w:t>
      </w:r>
      <w:r>
        <w:t xml:space="preserve">instruments assessed, the strongest results come from combinations rather</w:t>
      </w:r>
      <w:r>
        <w:t xml:space="preserve"> </w:t>
      </w:r>
      <w:r>
        <w:t xml:space="preserve">than any single lever in isolation: efficiency needs a carbon constraint</w:t>
      </w:r>
      <w:r>
        <w:t xml:space="preserve"> </w:t>
      </w:r>
      <w:r>
        <w:t xml:space="preserve">to reduce emissions; concessional finance is worth more under an ambitious</w:t>
      </w:r>
      <w:r>
        <w:t xml:space="preserve"> </w:t>
      </w:r>
      <w:r>
        <w:t xml:space="preserve">carbon price; and BESS’s case rests on system reliability rather than</w:t>
      </w:r>
      <w:r>
        <w:t xml:space="preserve"> </w:t>
      </w:r>
      <w:r>
        <w:t xml:space="preserve">competing with efficiency or finance on GDP grounds.</w:t>
      </w:r>
    </w:p>
    <w:p>
      <w:r>
        <w:pict>
          <v:rect style="width:0;height:1.5pt" o:hralign="center" o:hrstd="t" o:hr="t"/>
        </w:pict>
      </w:r>
    </w:p>
    <w:bookmarkEnd w:id="45"/>
    <w:bookmarkStart w:id="46" w:name="policy-recommendations"/>
    <w:p>
      <w:pPr>
        <w:pStyle w:val="Heading2"/>
      </w:pPr>
      <w:r>
        <w:t xml:space="preserve">5. Policy Recommendations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Prioritize energy efficiency as a low-cost, GDP-positive early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t xml:space="preserve">, and consider raising ambition toward Directive-10-equivalent</w:t>
      </w:r>
      <w:r>
        <w:t xml:space="preserve"> </w:t>
      </w:r>
      <w:r>
        <w:t xml:space="preserve">targets given the modest incremental cost and roughly doubled GDP return.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Pair energy efficiency with an active carbon-pricing mechanism.</w:t>
      </w:r>
      <w:r>
        <w:t xml:space="preserve"> </w:t>
      </w:r>
      <w:r>
        <w:t xml:space="preserve">Efficiency gains alone will not deliver emissions reductions under a</w:t>
      </w:r>
      <w:r>
        <w:t xml:space="preserve"> </w:t>
      </w:r>
      <w:r>
        <w:t xml:space="preserve">PDP8-only baseline; the emissions dividend requires a binding cap.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Prioritize mobilizing concessional and blended (public-led) finance</w:t>
      </w:r>
      <w:r>
        <w:rPr>
          <w:b/>
          <w:bCs/>
        </w:rPr>
        <w:t xml:space="preserve"> </w:t>
      </w:r>
      <w:r>
        <w:rPr>
          <w:b/>
          <w:bCs/>
        </w:rPr>
        <w:t xml:space="preserve">over market-rate capital</w:t>
      </w:r>
      <w:r>
        <w:t xml:space="preserve">, particularly in the pre-2035 window where the</w:t>
      </w:r>
      <w:r>
        <w:t xml:space="preserve"> </w:t>
      </w:r>
      <w:r>
        <w:t xml:space="preserve">financing gap is largest — the modeled USD ~3 billion/year saving is a</w:t>
      </w:r>
      <w:r>
        <w:t xml:space="preserve"> </w:t>
      </w:r>
      <w:r>
        <w:t xml:space="preserve">lower bound on the value of closing this gap, since it excludes volume</w:t>
      </w:r>
      <w:r>
        <w:t xml:space="preserve"> </w:t>
      </w:r>
      <w:r>
        <w:t xml:space="preserve">effects (§6).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Sequence concessional finance mobilization alongside — not instead of</w:t>
      </w:r>
      <w:r>
        <w:rPr>
          <w:b/>
          <w:bCs/>
        </w:rPr>
        <w:t xml:space="preserve"> </w:t>
      </w:r>
      <w:r>
        <w:rPr>
          <w:b/>
          <w:bCs/>
        </w:rPr>
        <w:t xml:space="preserve">— carbon-price ambition.</w:t>
      </w:r>
      <w:r>
        <w:t xml:space="preserve"> </w:t>
      </w:r>
      <w:r>
        <w:t xml:space="preserve">The model shows the two are complements: the</w:t>
      </w:r>
      <w:r>
        <w:t xml:space="preserve"> </w:t>
      </w:r>
      <w:r>
        <w:t xml:space="preserve">macroeconomic payoff to cheaper capital rises with climate ambition, so</w:t>
      </w:r>
      <w:r>
        <w:t xml:space="preserve"> </w:t>
      </w:r>
      <w:r>
        <w:t xml:space="preserve">development-partner engagement has more leverage in an ambitious</w:t>
      </w:r>
      <w:r>
        <w:t xml:space="preserve"> </w:t>
      </w:r>
      <w:r>
        <w:t xml:space="preserve">net-zero pathway than in a PDP8-only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 BESS investment as a reliability and system-stability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</w:t>
      </w:r>
      <w:r>
        <w:t xml:space="preserve">, not a mechanism to justify on aggregate GDP grounds alone —</w:t>
      </w:r>
      <w:r>
        <w:t xml:space="preserve"> </w:t>
      </w:r>
      <w:r>
        <w:t xml:space="preserve">the model shows negligible macro sensitivity to BESS removal, consistent</w:t>
      </w:r>
      <w:r>
        <w:t xml:space="preserve"> </w:t>
      </w:r>
      <w:r>
        <w:t xml:space="preserve">with its role being primarily technical (grid balancing) rather than</w:t>
      </w:r>
      <w:r>
        <w:t xml:space="preserve"> </w:t>
      </w:r>
      <w:r>
        <w:t xml:space="preserve">macroeconomic.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fuel-switching and efficiency support explicitly into the</w:t>
      </w:r>
      <w:r>
        <w:rPr>
          <w:b/>
          <w:bCs/>
        </w:rPr>
        <w:t xml:space="preserve"> </w:t>
      </w:r>
      <w:r>
        <w:rPr>
          <w:b/>
          <w:bCs/>
        </w:rPr>
        <w:t xml:space="preserve">net-zero pathway</w:t>
      </w:r>
      <w:r>
        <w:t xml:space="preserve">, since the decomposition scenarios show these channels</w:t>
      </w:r>
      <w:r>
        <w:t xml:space="preserve"> </w:t>
      </w:r>
      <w:r>
        <w:t xml:space="preserve">materially reduce the carbon price and GDP cost required to reach the</w:t>
      </w:r>
      <w:r>
        <w:t xml:space="preserve"> </w:t>
      </w:r>
      <w:r>
        <w:t xml:space="preserve">same emissions target — removing them raises both.</w:t>
      </w:r>
    </w:p>
    <w:p>
      <w:r>
        <w:pict>
          <v:rect style="width:0;height:1.5pt" o:hralign="center" o:hrstd="t" o:hr="t"/>
        </w:pict>
      </w:r>
    </w:p>
    <w:bookmarkEnd w:id="46"/>
    <w:bookmarkStart w:id="51" w:name="data-and-modeling-caveats"/>
    <w:p>
      <w:pPr>
        <w:pStyle w:val="Heading2"/>
      </w:pPr>
      <w:r>
        <w:t xml:space="preserve">6. Data and Modeling Caveats</w:t>
      </w:r>
    </w:p>
    <w:p>
      <w:pPr>
        <w:pStyle w:val="FirstParagraph"/>
      </w:pPr>
      <w:r>
        <w:t xml:space="preserve">Readers relying on this assessment for decision-making should be aware of</w:t>
      </w:r>
      <w:r>
        <w:t xml:space="preserve"> </w:t>
      </w:r>
      <w:r>
        <w:t xml:space="preserve">the following: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Reduced-form financial instruments.</w:t>
      </w:r>
      <w:r>
        <w:t xml:space="preserve"> </w:t>
      </w:r>
      <w:r>
        <w:t xml:space="preserve">DGE-METRIC does not model named</w:t>
      </w:r>
      <w:r>
        <w:t xml:space="preserve"> </w:t>
      </w:r>
      <w:r>
        <w:t xml:space="preserve">financial instruments (green bonds, guarantees, KfW loans) as explicit</w:t>
      </w:r>
      <w:r>
        <w:t xml:space="preserve"> </w:t>
      </w:r>
      <w:r>
        <w:t xml:space="preserve">balance-sheet items. All green-finance results are the</w:t>
      </w:r>
      <w:r>
        <w:t xml:space="preserve"> </w:t>
      </w:r>
      <w:r>
        <w:rPr>
          <w:i/>
          <w:iCs/>
        </w:rPr>
        <w:t xml:space="preserve">aggregate macro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of an assumed cost-of-capital or investment-price change —</w:t>
      </w:r>
      <w:r>
        <w:t xml:space="preserve"> </w:t>
      </w:r>
      <w:r>
        <w:t xml:space="preserve">not a tool-by-tool breakdown of which specific instrument delivers it.</w:t>
      </w:r>
      <w:r>
        <w:t xml:space="preserve"> </w:t>
      </w:r>
      <w:r>
        <w:t xml:space="preserve">Institutional feasibility of achieving the assumed WACF at scale is</w:t>
      </w:r>
      <w:r>
        <w:t xml:space="preserve"> </w:t>
      </w:r>
      <w:r>
        <w:t xml:space="preserve">outside the model’s scope (see</w:t>
      </w:r>
      <w:r>
        <w:t xml:space="preserve"> </w:t>
      </w:r>
      <w:hyperlink r:id="rId47">
        <w:r>
          <w:rPr>
            <w:rStyle w:val="Hyperlink"/>
          </w:rPr>
          <w:t xml:space="preserve">finance_instruments_comments_feasibility.md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Volume vs. price.</w:t>
      </w:r>
      <w:r>
        <w:t xml:space="preserve"> </w:t>
      </w:r>
      <w:r>
        <w:t xml:space="preserve">Current finance scenarios primarily represent</w:t>
      </w:r>
      <w:r>
        <w:t xml:space="preserve"> </w:t>
      </w:r>
      <w:r>
        <w:t xml:space="preserve">cost-of-capital/rate changes; concessional-finance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effects</w:t>
      </w:r>
      <w:r>
        <w:t xml:space="preserve"> </w:t>
      </w:r>
      <w:r>
        <w:t xml:space="preserve">(e.g., mobilization ratios, blended-finance leverage) are only captured to</w:t>
      </w:r>
      <w:r>
        <w:t xml:space="preserve"> </w:t>
      </w:r>
      <w:r>
        <w:t xml:space="preserve">the extent they are separately mapped into public-capital or FDI-volume</w:t>
      </w:r>
      <w:r>
        <w:t xml:space="preserve"> </w:t>
      </w:r>
      <w:r>
        <w:t xml:space="preserve">shock paths.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Reproducibility of cited figures.</w:t>
      </w:r>
      <w:r>
        <w:t xml:space="preserve"> </w:t>
      </w:r>
      <w:r>
        <w:rPr>
          <w:rStyle w:val="VerbatimChar"/>
        </w:rPr>
        <w:t xml:space="preserve">RunSimulations.m</w:t>
      </w:r>
      <w:r>
        <w:t xml:space="preserve"> </w:t>
      </w:r>
      <w:r>
        <w:t xml:space="preserve">runs only the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scenario by default. The EE, Green Finance, and Net-Zero results</w:t>
      </w:r>
      <w:r>
        <w:t xml:space="preserve"> </w:t>
      </w:r>
      <w:r>
        <w:t xml:space="preserve">in this report were generated with a specific non-default</w:t>
      </w:r>
      <w:r>
        <w:t xml:space="preserve"> </w:t>
      </w:r>
      <w:r>
        <w:rPr>
          <w:rStyle w:val="VerbatimChar"/>
        </w:rPr>
        <w:t xml:space="preserve">activeScenarioGroups</w:t>
      </w:r>
      <w:r>
        <w:t xml:space="preserve"> </w:t>
      </w:r>
      <w:r>
        <w:t xml:space="preserve">configuration (including</w:t>
      </w:r>
      <w:r>
        <w:t xml:space="preserve"> </w:t>
      </w:r>
      <w:r>
        <w:rPr>
          <w:rStyle w:val="VerbatimChar"/>
        </w:rPr>
        <w:t xml:space="preserve">EE</w:t>
      </w:r>
      <w:r>
        <w:t xml:space="preserve">,</w:t>
      </w:r>
      <w:r>
        <w:t xml:space="preserve"> </w:t>
      </w:r>
      <w:r>
        <w:rPr>
          <w:rStyle w:val="VerbatimChar"/>
        </w:rPr>
        <w:t xml:space="preserve">GF_PDP8</w:t>
      </w:r>
      <w:r>
        <w:t xml:space="preserve">,</w:t>
      </w:r>
      <w:r>
        <w:t xml:space="preserve"> </w:t>
      </w:r>
      <w:r>
        <w:rPr>
          <w:rStyle w:val="VerbatimChar"/>
        </w:rPr>
        <w:t xml:space="preserve">GF_NZ</w:t>
      </w:r>
      <w:r>
        <w:t xml:space="preserve">,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NZ_Sensitivity</w:t>
      </w:r>
      <w:r>
        <w:t xml:space="preserve">, as documented in</w:t>
      </w:r>
      <w:r>
        <w:t xml:space="preserve"> </w:t>
      </w:r>
      <w:hyperlink r:id="rId48">
        <w:r>
          <w:rPr>
            <w:rStyle w:val="Hyperlink"/>
          </w:rPr>
          <w:t xml:space="preserve">running.md</w:t>
        </w:r>
      </w:hyperlink>
      <w:r>
        <w:t xml:space="preserve">). Anyone reproducing these</w:t>
      </w:r>
      <w:r>
        <w:t xml:space="preserve"> </w:t>
      </w:r>
      <w:r>
        <w:t xml:space="preserve">figures should confirm the exact configuration and re-verify against</w:t>
      </w:r>
      <w:r>
        <w:t xml:space="preserve"> </w:t>
      </w:r>
      <w:r>
        <w:t xml:space="preserve">current calibration before re-citing them in a new context.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EE result completeness.</w:t>
      </w:r>
      <w:r>
        <w:t xml:space="preserve"> </w:t>
      </w:r>
      <w:r>
        <w:t xml:space="preserve">At the time some of the underlying EE result</w:t>
      </w:r>
      <w:r>
        <w:t xml:space="preserve"> </w:t>
      </w:r>
      <w:r>
        <w:t xml:space="preserve">CSVs were generated, two scenario 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EE_Directive10_PV_BESS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EE_PDP8_PV_BESS</w:t>
      </w:r>
      <w:r>
        <w:t xml:space="preserve">) were reported missing — see</w:t>
      </w:r>
      <w:r>
        <w:t xml:space="preserve"> </w:t>
      </w:r>
      <w:hyperlink r:id="rId49">
        <w:r>
          <w:rPr>
            <w:rStyle w:val="Hyperlink"/>
          </w:rPr>
          <w:t xml:space="preserve">implementation_plans/ee_simulation_scenarios_results.md</w:t>
        </w:r>
      </w:hyperlink>
      <w:r>
        <w:t xml:space="preserve">.</w:t>
      </w:r>
      <w:r>
        <w:t xml:space="preserve"> </w:t>
      </w:r>
      <w:r>
        <w:t xml:space="preserve">Confirm all four EE scenario CSVs are present and current before treating</w:t>
      </w:r>
      <w:r>
        <w:t xml:space="preserve"> </w:t>
      </w:r>
      <w:r>
        <w:t xml:space="preserve">the EE comparison table in §3.1 as final.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PDP8 optimism.</w:t>
      </w:r>
      <w:r>
        <w:t xml:space="preserve"> </w:t>
      </w:r>
      <w:r>
        <w:t xml:space="preserve">The PDP8 baseline itself may embed optimistic</w:t>
      </w:r>
      <w:r>
        <w:t xml:space="preserve"> </w:t>
      </w:r>
      <w:r>
        <w:t xml:space="preserve">implementation timelines relative to current institutional capacity; this</w:t>
      </w:r>
      <w:r>
        <w:t xml:space="preserve"> </w:t>
      </w:r>
      <w:r>
        <w:t xml:space="preserve">report does not independently stress-test PDP8 delay scenarios.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Single-region model.</w:t>
      </w:r>
      <w:r>
        <w:t xml:space="preserve"> </w:t>
      </w:r>
      <w:r>
        <w:t xml:space="preserve">Sub-national/provincial dynamics (where GIZ has</w:t>
      </w:r>
      <w:r>
        <w:t xml:space="preserve"> </w:t>
      </w:r>
      <w:r>
        <w:t xml:space="preserve">done prior related work) are not represented; sub-sovereign finance</w:t>
      </w:r>
      <w:r>
        <w:t xml:space="preserve"> </w:t>
      </w:r>
      <w:r>
        <w:t xml:space="preserve">questions can only be addressed narratively, not quantitatively.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Calibration sensitivity.</w:t>
      </w:r>
      <w:r>
        <w:t xml:space="preserve"> </w:t>
      </w:r>
      <w:r>
        <w:t xml:space="preserve">Key external-sector 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phiB_p</w:t>
      </w:r>
      <w:r>
        <w:t xml:space="preserve">,</w:t>
      </w:r>
      <w:r>
        <w:t xml:space="preserve"> </w:t>
      </w:r>
      <w:r>
        <w:rPr>
          <w:rStyle w:val="VerbatimChar"/>
        </w:rPr>
        <w:t xml:space="preserve">phiadjB_p</w:t>
      </w:r>
      <w:r>
        <w:t xml:space="preserve">) in the active calibration are far weaker than the</w:t>
      </w:r>
      <w:r>
        <w:t xml:space="preserve"> </w:t>
      </w:r>
      <w:r>
        <w:t xml:space="preserve">model’s built-in code defaults (two orders of magnitude apart) — see</w:t>
      </w:r>
      <w:r>
        <w:t xml:space="preserve"> </w:t>
      </w:r>
      <w:hyperlink r:id="rId50">
        <w:r>
          <w:rPr>
            <w:rStyle w:val="Hyperlink"/>
          </w:rPr>
          <w:t xml:space="preserve">calibration_model_detailed.md §12</w:t>
        </w:r>
      </w:hyperlink>
      <w:r>
        <w:t xml:space="preserve">.</w:t>
      </w:r>
      <w:r>
        <w:t xml:space="preserve"> </w:t>
      </w:r>
      <w:r>
        <w:t xml:space="preserve">Results involving external borrowing/foreign-asset dynamics should be</w:t>
      </w:r>
      <w:r>
        <w:t xml:space="preserve"> </w:t>
      </w:r>
      <w:r>
        <w:t xml:space="preserve">read alongside this sensitivity.</w:t>
      </w:r>
    </w:p>
    <w:p>
      <w:r>
        <w:pict>
          <v:rect style="width:0;height:1.5pt" o:hralign="center" o:hrstd="t" o:hr="t"/>
        </w:pict>
      </w:r>
    </w:p>
    <w:bookmarkEnd w:id="51"/>
    <w:bookmarkStart w:id="52" w:name="annex-methodology-summary"/>
    <w:p>
      <w:pPr>
        <w:pStyle w:val="Heading2"/>
      </w:pPr>
      <w:r>
        <w:t xml:space="preserve">7. Annex: Methodology Summary</w:t>
      </w:r>
    </w:p>
    <w:p>
      <w:pPr>
        <w:pStyle w:val="FirstParagraph"/>
      </w:pPr>
      <w:r>
        <w:t xml:space="preserve">DGE-METRIC is a five-sector, one-region dynamic general equilibrium model,</w:t>
      </w:r>
      <w:r>
        <w:t xml:space="preserve"> </w:t>
      </w:r>
      <w:r>
        <w:t xml:space="preserve">solved with Dynare as a deterministic (perfect-foresight) transition path</w:t>
      </w:r>
      <w:r>
        <w:t xml:space="preserve"> </w:t>
      </w:r>
      <w:r>
        <w:t xml:space="preserve">from 2026–2050, calibrated to Vietnam’s 2019 input-output structure and a</w:t>
      </w:r>
      <w:r>
        <w:t xml:space="preserve"> </w:t>
      </w:r>
      <w:r>
        <w:t xml:space="preserve">2026 baseline. Households, firms (five subsectors: non-energy aggregate,</w:t>
      </w:r>
      <w:r>
        <w:t xml:space="preserve"> </w:t>
      </w:r>
      <w:r>
        <w:t xml:space="preserve">fossil energy, renewable energy, industry, services), a</w:t>
      </w:r>
      <w:r>
        <w:t xml:space="preserve"> </w:t>
      </w:r>
      <w:r>
        <w:t xml:space="preserve">wholesale/retail/export trade chain, a government with an emissions trading</w:t>
      </w:r>
      <w:r>
        <w:t xml:space="preserve"> </w:t>
      </w:r>
      <w:r>
        <w:t xml:space="preserve">system, and the rest of the world interact through goods, labor, capital,</w:t>
      </w:r>
      <w:r>
        <w:t xml:space="preserve"> </w:t>
      </w:r>
      <w:r>
        <w:t xml:space="preserve">emissions-permit, and trade markets. Scenarios are constructed as shock paths</w:t>
      </w:r>
      <w:r>
        <w:t xml:space="preserve"> </w:t>
      </w:r>
      <w:r>
        <w:t xml:space="preserve">to exogenous variables (efficiency productivity, emission intensity, cost of</w:t>
      </w:r>
      <w:r>
        <w:t xml:space="preserve"> </w:t>
      </w:r>
      <w:r>
        <w:t xml:space="preserve">capital, ETS cap) applied to a common calibrated baseline, so that</w:t>
      </w:r>
      <w:r>
        <w:t xml:space="preserve"> </w:t>
      </w:r>
      <w:r>
        <w:t xml:space="preserve">differences across scenarios isolate the mechanism being tested.</w:t>
      </w:r>
    </w:p>
    <w:p>
      <w:pPr>
        <w:pStyle w:val="BodyText"/>
      </w:pPr>
      <w:r>
        <w:t xml:space="preserve">For the full model structure, calibration methodology, data sources,</w:t>
      </w:r>
      <w:r>
        <w:t xml:space="preserve"> </w:t>
      </w:r>
      <w:r>
        <w:t xml:space="preserve">solution method, and known limitations, see the companion</w:t>
      </w:r>
      <w:r>
        <w:t xml:space="preserve"> </w:t>
      </w:r>
      <w:hyperlink r:id="rId9">
        <w:r>
          <w:rPr>
            <w:rStyle w:val="Hyperlink"/>
          </w:rPr>
          <w:t xml:space="preserve">Technical Report</w:t>
        </w:r>
      </w:hyperlink>
      <w:r>
        <w:t xml:space="preserve">.</w:t>
      </w:r>
    </w:p>
    <w:bookmarkEnd w:id="52"/>
    <w:bookmarkEnd w:id="53"/>
    <w:sectPr>
      <w:headerReference w:type="default" r:id="rId10"/>
      <w:footerReference w:type="default" r:id="rId11"/>
      <w:footnotePr>
        <w:numRestart w:val="eachSect"/>
      </w:footnotePr>
      <w:pgMar w:top="1037" w:bottom="979" w:left="1181" w:right="1181" w:header="403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C8C"/>
        <w:sz w:val="16"/>
      </w:rPr>
      <w:t xml:space="preserve">IWH / GIZ Vietnam   •   </w:t>
    </w:r>
    <w:r>
      <w:rPr>
        <w:rFonts w:ascii="Aptos" w:hAnsi="Aptos"/>
        <w:color w:val="6B7C8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B7C9D8"/>
      </w:pBdr>
    </w:pPr>
    <w:r>
      <w:rPr>
        <w:rFonts w:ascii="Aptos" w:hAnsi="Aptos"/>
        <w:color w:val="536779"/>
        <w:sz w:val="16"/>
      </w:rPr>
      <w:t>DGE-METRIC  |  PDP8 Impact Assessment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Aptos" w:hAnsi="Aptos"/>
      <w:color w:val="263545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ptos Display" w:hAnsi="Aptos Display"/>
      <w:b/>
      <w:color w:val="17365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00"/>
    </w:pPr>
    <w:rPr>
      <w:rFonts w:cstheme="majorBidi" w:eastAsiaTheme="majorEastAsia" w:ascii="Aptos" w:hAnsi="Aptos"/>
      <w:i/>
      <w:color w:val="536779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40" w:after="20"/>
    </w:pPr>
    <w:rPr>
      <w:rFonts w:ascii="Aptos" w:hAnsi="Aptos"/>
      <w:color w:val="536779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80"/>
    </w:pPr>
    <w:rPr>
      <w:rFonts w:ascii="Aptos" w:hAnsi="Aptos"/>
      <w:color w:val="6B7C8C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Theme="majorHAnsi" w:cstheme="majorBidi" w:eastAsiaTheme="majorEastAsia" w:hAnsiTheme="majorHAnsi" w:ascii="Aptos Display" w:hAnsi="Aptos Display"/>
      <w:b/>
      <w:color w:val="17365D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/>
      <w:spacing w:after="140" w:before="280"/>
      <w:outlineLvl w:val="1"/>
    </w:pPr>
    <w:rPr>
      <w:rFonts w:asciiTheme="majorHAnsi" w:cstheme="majorBidi" w:eastAsiaTheme="majorEastAsia" w:hAnsiTheme="majorHAnsi" w:ascii="Aptos Display" w:hAnsi="Aptos Display"/>
      <w:b/>
      <w:color w:val="1F4E78"/>
      <w:sz w:val="3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20"/>
      <w:outlineLvl w:val="2"/>
    </w:pPr>
    <w:rPr>
      <w:rFonts w:cstheme="majorBidi" w:eastAsiaTheme="majorEastAsia" w:ascii="Aptos Display" w:hAnsi="Aptos Display"/>
      <w:b/>
      <w:color w:val="2E628F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120" w:before="0"/>
    </w:pPr>
    <w:rPr>
      <w:i w:val="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ReportNote">
    <w:name w:val="Report Note"/>
    <w:pPr>
      <w:spacing w:after="60" w:line="252" w:lineRule="auto"/>
    </w:pPr>
    <w:rPr>
      <w:rFonts w:ascii="Aptos" w:hAnsi="Aptos"/>
      <w:color w:val="536779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6" Type="http://schemas.openxmlformats.org/officeDocument/2006/relationships/image" Target="media/rId16.png"/><Relationship Id="rId13" Type="http://schemas.openxmlformats.org/officeDocument/2006/relationships/image" Target="media/rId13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32" Type="http://schemas.openxmlformats.org/officeDocument/2006/relationships/image" Target="media/rId32.png"/><Relationship Id="rId50" Type="http://schemas.openxmlformats.org/officeDocument/2006/relationships/hyperlink" Target="../calibration_model_detailed.md" TargetMode="External"/><Relationship Id="rId47" Type="http://schemas.openxmlformats.org/officeDocument/2006/relationships/hyperlink" Target="../finance_instruments_comments_feasibility.md" TargetMode="External"/><Relationship Id="rId49" Type="http://schemas.openxmlformats.org/officeDocument/2006/relationships/hyperlink" Target="../implementation_plans/ee_simulation_scenarios_results.md" TargetMode="External"/><Relationship Id="rId48" Type="http://schemas.openxmlformats.org/officeDocument/2006/relationships/hyperlink" Target="../running.md#scenario-groups" TargetMode="External"/><Relationship Id="rId41" Type="http://schemas.openxmlformats.org/officeDocument/2006/relationships/hyperlink" Target="../scenario.md" TargetMode="External"/><Relationship Id="rId42" Type="http://schemas.openxmlformats.org/officeDocument/2006/relationships/hyperlink" Target="../scenarios_overview.md" TargetMode="External"/><Relationship Id="rId22" Type="http://schemas.openxmlformats.org/officeDocument/2006/relationships/hyperlink" Target="../use_cases_ee.md" TargetMode="External"/><Relationship Id="rId30" Type="http://schemas.openxmlformats.org/officeDocument/2006/relationships/hyperlink" Target="../use_cases_finance.md" TargetMode="External"/><Relationship Id="rId9" Type="http://schemas.openxmlformats.org/officeDocument/2006/relationships/hyperlink" Target="TECHNICAL_REPORT.md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calibration_model_detailed.md" TargetMode="External"/><Relationship Id="rId47" Type="http://schemas.openxmlformats.org/officeDocument/2006/relationships/hyperlink" Target="../finance_instruments_comments_feasibility.md" TargetMode="External"/><Relationship Id="rId49" Type="http://schemas.openxmlformats.org/officeDocument/2006/relationships/hyperlink" Target="../implementation_plans/ee_simulation_scenarios_results.md" TargetMode="External"/><Relationship Id="rId48" Type="http://schemas.openxmlformats.org/officeDocument/2006/relationships/hyperlink" Target="../running.md#scenario-groups" TargetMode="External"/><Relationship Id="rId41" Type="http://schemas.openxmlformats.org/officeDocument/2006/relationships/hyperlink" Target="../scenario.md" TargetMode="External"/><Relationship Id="rId42" Type="http://schemas.openxmlformats.org/officeDocument/2006/relationships/hyperlink" Target="../scenarios_overview.md" TargetMode="External"/><Relationship Id="rId22" Type="http://schemas.openxmlformats.org/officeDocument/2006/relationships/hyperlink" Target="../use_cases_ee.md" TargetMode="External"/><Relationship Id="rId30" Type="http://schemas.openxmlformats.org/officeDocument/2006/relationships/hyperlink" Target="../use_cases_finance.md" TargetMode="External"/><Relationship Id="rId9" Type="http://schemas.openxmlformats.org/officeDocument/2006/relationships/hyperlink" Target="TECHNICAL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Macroeconomic Impact Assessment of Vietnam's Power Development Plan 8 and Associated Policy Instruments</dc:title>
  <dc:creator>Halle Institute for Economic Research (IWH), for GIZ Vietnam</dc:creator>
  <cp:keywords>DGE-METRIC, PDP8, Vietnam, energy transition, green finance, carbon pricing</cp:keywords>
  <dcterms:created xsi:type="dcterms:W3CDTF">2026-07-24T14:04:20Z</dcterms:created>
  <dcterms:modified xsi:type="dcterms:W3CDTF">2026-07-24T14:04:20Z</dcterms:modified>
  <dc:subject>DGE-METRIC model-based assessment of PDP8 and associated policy instruments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</vt:lpwstr>
  </property>
  <property fmtid="{D5CDD505-2E9C-101B-9397-08002B2CF9AE}" pid="3" name="output">
    <vt:lpwstr/>
  </property>
</Properties>
</file>