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20B" w14:textId="77777777" w:rsidR="00050AF7" w:rsidRPr="00E36010" w:rsidRDefault="00000000">
      <w:pPr>
        <w:pStyle w:val="Title"/>
        <w:rPr>
          <w:lang w:val="en-US"/>
        </w:rPr>
      </w:pPr>
      <w:r w:rsidRPr="00E36010">
        <w:rPr>
          <w:lang w:val="en-US"/>
        </w:rPr>
        <w:t>DGE-METRIC: A Dynamic General Equilibrium Model for Vietnam’s Energy Transition — Technical Report</w:t>
      </w:r>
    </w:p>
    <w:p w14:paraId="13D52083" w14:textId="77777777" w:rsidR="00050AF7" w:rsidRPr="00E36010" w:rsidRDefault="00000000">
      <w:pPr>
        <w:pStyle w:val="Author"/>
        <w:rPr>
          <w:lang w:val="en-US"/>
        </w:rPr>
      </w:pPr>
      <w:r w:rsidRPr="00E36010">
        <w:rPr>
          <w:lang w:val="en-US"/>
        </w:rPr>
        <w:t>Christoph Schult, Halle Institute for Economic Research (IWH)</w:t>
      </w:r>
    </w:p>
    <w:p w14:paraId="2726A852" w14:textId="74ECA225" w:rsidR="00050AF7" w:rsidRDefault="00000000">
      <w:pPr>
        <w:pStyle w:val="Date"/>
      </w:pPr>
      <w:r>
        <w:t>2026-07-14</w:t>
      </w:r>
      <w:bookmarkStart w:id="0" w:name="X735bccc18ce8fca99275a2e59be3577ef829e36"/>
      <w:bookmarkStart w:id="1" w:name="technical-report"/>
    </w:p>
    <w:p w14:paraId="11142590" w14:textId="77777777" w:rsidR="00050AF7" w:rsidRPr="00E36010" w:rsidRDefault="00000000">
      <w:pPr>
        <w:pStyle w:val="FirstParagraph"/>
        <w:rPr>
          <w:lang w:val="en-US"/>
        </w:rPr>
      </w:pPr>
      <w:r w:rsidRPr="00E36010">
        <w:rPr>
          <w:i/>
          <w:iCs/>
          <w:lang w:val="en-US"/>
        </w:rPr>
        <w:t>Prepared under the joint GIZ–IWH research project supporting Vietnam’s energy and climate policy dialogue.</w:t>
      </w:r>
    </w:p>
    <w:p w14:paraId="4CF1BBA3" w14:textId="77777777" w:rsidR="00050AF7" w:rsidRPr="00E36010" w:rsidRDefault="00000000">
      <w:pPr>
        <w:pStyle w:val="BlockText"/>
        <w:rPr>
          <w:lang w:val="en-US"/>
        </w:rPr>
      </w:pPr>
      <w:r w:rsidRPr="00E36010">
        <w:rPr>
          <w:b/>
          <w:bCs/>
          <w:lang w:val="en-US"/>
        </w:rPr>
        <w:t>How to use this document.</w:t>
      </w:r>
      <w:r w:rsidRPr="00E36010">
        <w:rPr>
          <w:lang w:val="en-US"/>
        </w:rPr>
        <w:t xml:space="preserve"> This is the methodological companion to the </w:t>
      </w:r>
      <w:hyperlink r:id="rId6">
        <w:r w:rsidRPr="00E36010">
          <w:rPr>
            <w:rStyle w:val="Hyperlink"/>
            <w:lang w:val="en-US"/>
          </w:rPr>
          <w:t>PDP8 Macroeconomic Impact Assessment</w:t>
        </w:r>
      </w:hyperlink>
      <w:r w:rsidRPr="00E36010">
        <w:rPr>
          <w:lang w:val="en-US"/>
        </w:rPr>
        <w:t xml:space="preserve">, which presents policy findings. This report documents the model, its data foundations, its solution method, and its limitations, so that results can be reproduced, audited, and extended. It is written to convert cleanly to Word/PDF (e.g. via </w:t>
      </w:r>
      <w:r w:rsidRPr="00E36010">
        <w:rPr>
          <w:rStyle w:val="VerbatimChar"/>
          <w:rFonts w:eastAsiaTheme="minorHAnsi"/>
          <w:lang w:val="en-US"/>
        </w:rPr>
        <w:t>pandoc</w:t>
      </w:r>
      <w:r w:rsidRPr="00E36010">
        <w:rPr>
          <w:lang w:val="en-US"/>
        </w:rPr>
        <w:t>) for circulation as a standalone technical annex.</w:t>
      </w:r>
    </w:p>
    <w:p w14:paraId="70B82A23" w14:textId="77777777" w:rsidR="00050AF7" w:rsidRPr="00E36010" w:rsidRDefault="00000000">
      <w:pPr>
        <w:pStyle w:val="BlockText"/>
        <w:rPr>
          <w:lang w:val="en-US"/>
        </w:rPr>
      </w:pPr>
      <w:r w:rsidRPr="00E36010">
        <w:rPr>
          <w:b/>
          <w:bCs/>
          <w:lang w:val="en-US"/>
        </w:rPr>
        <w:t>Reporting conventions used in this technical report.</w:t>
      </w:r>
      <w:r w:rsidRPr="00E36010">
        <w:rPr>
          <w:lang w:val="en-US"/>
        </w:rPr>
        <w:t xml:space="preserve"> The document follows standard technical-report practice used by international financial institutions: (i) clear separation of evidence, assumptions, and modeled outcomes; (ii) explicit statement of limitations and interpretation risks; (iii) figure-by-figure documentation using caption, note, and source; and (iv) reproducibility through direct file and script references.</w:t>
      </w:r>
    </w:p>
    <w:p w14:paraId="64357D52" w14:textId="77777777" w:rsidR="00050AF7" w:rsidRDefault="00000000">
      <w:r>
        <w:pict w14:anchorId="572E3B6A">
          <v:rect id="_x0000_i1466" style="width:0;height:1.5pt" o:hralign="center" o:hrstd="t" o:hr="t"/>
        </w:pict>
      </w:r>
    </w:p>
    <w:p w14:paraId="73158F53" w14:textId="77777777" w:rsidR="00050AF7" w:rsidRDefault="00000000" w:rsidP="00E36010">
      <w:pPr>
        <w:pStyle w:val="Heading1"/>
      </w:pPr>
      <w:bookmarkStart w:id="2" w:name="table-of-contents"/>
      <w:bookmarkStart w:id="3" w:name="_Toc235867041"/>
      <w:bookmarkEnd w:id="1"/>
      <w:r>
        <w:t>Table of Contents</w:t>
      </w:r>
      <w:bookmarkEnd w:id="3"/>
    </w:p>
    <w:sdt>
      <w:sdtPr>
        <w:id w:val="1663588966"/>
        <w:docPartObj>
          <w:docPartGallery w:val="Table of Contents"/>
          <w:docPartUnique/>
        </w:docPartObj>
      </w:sdtPr>
      <w:sdtEndPr>
        <w:rPr>
          <w:rFonts w:asciiTheme="minorHAnsi" w:eastAsiaTheme="minorHAnsi" w:hAnsiTheme="minorHAnsi" w:cstheme="minorBidi"/>
          <w:b/>
          <w:bCs/>
          <w:noProof/>
          <w:color w:val="auto"/>
          <w:sz w:val="22"/>
          <w:szCs w:val="22"/>
          <w:lang w:val="de-DE" w:eastAsia="en-US"/>
        </w:rPr>
      </w:sdtEndPr>
      <w:sdtContent>
        <w:p w14:paraId="7A785C38" w14:textId="7AB11525" w:rsidR="007F1682" w:rsidRDefault="007F1682">
          <w:pPr>
            <w:pStyle w:val="TOCHeading"/>
          </w:pPr>
          <w:r>
            <w:t>Table of Contents</w:t>
          </w:r>
        </w:p>
        <w:p w14:paraId="2AB225C5" w14:textId="708FB8A5" w:rsidR="007F1682" w:rsidRPr="007F1682" w:rsidRDefault="007F1682">
          <w:pPr>
            <w:pStyle w:val="TOC1"/>
            <w:rPr>
              <w:rFonts w:eastAsiaTheme="minorEastAsia"/>
              <w:b w:val="0"/>
              <w:kern w:val="2"/>
              <w:sz w:val="24"/>
              <w:szCs w:val="24"/>
              <w:lang w:val="en-DE" w:eastAsia="en-DE"/>
            </w:rPr>
          </w:pPr>
          <w:r>
            <w:fldChar w:fldCharType="begin"/>
          </w:r>
          <w:r>
            <w:instrText xml:space="preserve"> TOC \o "1-3" \h \z \u </w:instrText>
          </w:r>
          <w:r>
            <w:fldChar w:fldCharType="separate"/>
          </w:r>
          <w:hyperlink w:anchor="_Toc235867041" w:history="1">
            <w:r w:rsidRPr="00562140">
              <w:rPr>
                <w:rStyle w:val="Hyperlink"/>
              </w:rPr>
              <w:t>1</w:t>
            </w:r>
            <w:r w:rsidRPr="007F1682">
              <w:rPr>
                <w:rFonts w:eastAsiaTheme="minorEastAsia"/>
                <w:b w:val="0"/>
                <w:kern w:val="2"/>
                <w:sz w:val="24"/>
                <w:szCs w:val="24"/>
                <w:lang w:val="en-DE" w:eastAsia="en-DE"/>
              </w:rPr>
              <w:tab/>
            </w:r>
            <w:r w:rsidRPr="00562140">
              <w:rPr>
                <w:rStyle w:val="Hyperlink"/>
              </w:rPr>
              <w:t>Table of Contents</w:t>
            </w:r>
            <w:r>
              <w:rPr>
                <w:webHidden/>
              </w:rPr>
              <w:tab/>
            </w:r>
            <w:r>
              <w:rPr>
                <w:webHidden/>
              </w:rPr>
              <w:fldChar w:fldCharType="begin"/>
            </w:r>
            <w:r>
              <w:rPr>
                <w:webHidden/>
              </w:rPr>
              <w:instrText xml:space="preserve"> PAGEREF _Toc235867041 \h </w:instrText>
            </w:r>
            <w:r>
              <w:rPr>
                <w:webHidden/>
              </w:rPr>
            </w:r>
            <w:r>
              <w:rPr>
                <w:webHidden/>
              </w:rPr>
              <w:fldChar w:fldCharType="separate"/>
            </w:r>
            <w:r>
              <w:rPr>
                <w:webHidden/>
              </w:rPr>
              <w:t>1</w:t>
            </w:r>
            <w:r>
              <w:rPr>
                <w:webHidden/>
              </w:rPr>
              <w:fldChar w:fldCharType="end"/>
            </w:r>
          </w:hyperlink>
        </w:p>
        <w:p w14:paraId="0F5FB4FC" w14:textId="51273466" w:rsidR="007F1682" w:rsidRPr="007F1682" w:rsidRDefault="007F1682">
          <w:pPr>
            <w:pStyle w:val="TOC1"/>
            <w:rPr>
              <w:rFonts w:eastAsiaTheme="minorEastAsia"/>
              <w:b w:val="0"/>
              <w:kern w:val="2"/>
              <w:sz w:val="24"/>
              <w:szCs w:val="24"/>
              <w:lang w:val="en-DE" w:eastAsia="en-DE"/>
            </w:rPr>
          </w:pPr>
          <w:hyperlink w:anchor="_Toc235867042" w:history="1">
            <w:r w:rsidRPr="00562140">
              <w:rPr>
                <w:rStyle w:val="Hyperlink"/>
              </w:rPr>
              <w:t>2</w:t>
            </w:r>
            <w:r w:rsidRPr="007F1682">
              <w:rPr>
                <w:rFonts w:eastAsiaTheme="minorEastAsia"/>
                <w:b w:val="0"/>
                <w:kern w:val="2"/>
                <w:sz w:val="24"/>
                <w:szCs w:val="24"/>
                <w:lang w:val="en-DE" w:eastAsia="en-DE"/>
              </w:rPr>
              <w:tab/>
            </w:r>
            <w:r w:rsidRPr="00562140">
              <w:rPr>
                <w:rStyle w:val="Hyperlink"/>
              </w:rPr>
              <w:t>List of Figures</w:t>
            </w:r>
            <w:r>
              <w:rPr>
                <w:webHidden/>
              </w:rPr>
              <w:tab/>
            </w:r>
            <w:r>
              <w:rPr>
                <w:webHidden/>
              </w:rPr>
              <w:fldChar w:fldCharType="begin"/>
            </w:r>
            <w:r>
              <w:rPr>
                <w:webHidden/>
              </w:rPr>
              <w:instrText xml:space="preserve"> PAGEREF _Toc235867042 \h </w:instrText>
            </w:r>
            <w:r>
              <w:rPr>
                <w:webHidden/>
              </w:rPr>
            </w:r>
            <w:r>
              <w:rPr>
                <w:webHidden/>
              </w:rPr>
              <w:fldChar w:fldCharType="separate"/>
            </w:r>
            <w:r>
              <w:rPr>
                <w:webHidden/>
              </w:rPr>
              <w:t>2</w:t>
            </w:r>
            <w:r>
              <w:rPr>
                <w:webHidden/>
              </w:rPr>
              <w:fldChar w:fldCharType="end"/>
            </w:r>
          </w:hyperlink>
        </w:p>
        <w:p w14:paraId="65AEE6C9" w14:textId="15B67B57" w:rsidR="007F1682" w:rsidRPr="007F1682" w:rsidRDefault="007F1682">
          <w:pPr>
            <w:pStyle w:val="TOC1"/>
            <w:rPr>
              <w:rFonts w:eastAsiaTheme="minorEastAsia"/>
              <w:b w:val="0"/>
              <w:kern w:val="2"/>
              <w:sz w:val="24"/>
              <w:szCs w:val="24"/>
              <w:lang w:val="en-DE" w:eastAsia="en-DE"/>
            </w:rPr>
          </w:pPr>
          <w:hyperlink w:anchor="_Toc235867043" w:history="1">
            <w:r w:rsidRPr="00562140">
              <w:rPr>
                <w:rStyle w:val="Hyperlink"/>
              </w:rPr>
              <w:t>3</w:t>
            </w:r>
            <w:r w:rsidRPr="007F1682">
              <w:rPr>
                <w:rFonts w:eastAsiaTheme="minorEastAsia"/>
                <w:b w:val="0"/>
                <w:kern w:val="2"/>
                <w:sz w:val="24"/>
                <w:szCs w:val="24"/>
                <w:lang w:val="en-DE" w:eastAsia="en-DE"/>
              </w:rPr>
              <w:tab/>
            </w:r>
            <w:r w:rsidRPr="00562140">
              <w:rPr>
                <w:rStyle w:val="Hyperlink"/>
              </w:rPr>
              <w:t>Abbreviations</w:t>
            </w:r>
            <w:r>
              <w:rPr>
                <w:webHidden/>
              </w:rPr>
              <w:tab/>
            </w:r>
            <w:r>
              <w:rPr>
                <w:webHidden/>
              </w:rPr>
              <w:fldChar w:fldCharType="begin"/>
            </w:r>
            <w:r>
              <w:rPr>
                <w:webHidden/>
              </w:rPr>
              <w:instrText xml:space="preserve"> PAGEREF _Toc235867043 \h </w:instrText>
            </w:r>
            <w:r>
              <w:rPr>
                <w:webHidden/>
              </w:rPr>
            </w:r>
            <w:r>
              <w:rPr>
                <w:webHidden/>
              </w:rPr>
              <w:fldChar w:fldCharType="separate"/>
            </w:r>
            <w:r>
              <w:rPr>
                <w:webHidden/>
              </w:rPr>
              <w:t>2</w:t>
            </w:r>
            <w:r>
              <w:rPr>
                <w:webHidden/>
              </w:rPr>
              <w:fldChar w:fldCharType="end"/>
            </w:r>
          </w:hyperlink>
        </w:p>
        <w:p w14:paraId="01D8928D" w14:textId="5383E5A6" w:rsidR="007F1682" w:rsidRPr="007F1682" w:rsidRDefault="007F1682">
          <w:pPr>
            <w:pStyle w:val="TOC1"/>
            <w:rPr>
              <w:rFonts w:eastAsiaTheme="minorEastAsia"/>
              <w:b w:val="0"/>
              <w:kern w:val="2"/>
              <w:sz w:val="24"/>
              <w:szCs w:val="24"/>
              <w:lang w:val="en-DE" w:eastAsia="en-DE"/>
            </w:rPr>
          </w:pPr>
          <w:hyperlink w:anchor="_Toc235867044" w:history="1">
            <w:r w:rsidRPr="00562140">
              <w:rPr>
                <w:rStyle w:val="Hyperlink"/>
              </w:rPr>
              <w:t>4</w:t>
            </w:r>
            <w:r w:rsidRPr="007F1682">
              <w:rPr>
                <w:rFonts w:eastAsiaTheme="minorEastAsia"/>
                <w:b w:val="0"/>
                <w:kern w:val="2"/>
                <w:sz w:val="24"/>
                <w:szCs w:val="24"/>
                <w:lang w:val="en-DE" w:eastAsia="en-DE"/>
              </w:rPr>
              <w:tab/>
            </w:r>
            <w:r w:rsidRPr="00562140">
              <w:rPr>
                <w:rStyle w:val="Hyperlink"/>
              </w:rPr>
              <w:t>Executive Summary</w:t>
            </w:r>
            <w:r>
              <w:rPr>
                <w:webHidden/>
              </w:rPr>
              <w:tab/>
            </w:r>
            <w:r>
              <w:rPr>
                <w:webHidden/>
              </w:rPr>
              <w:fldChar w:fldCharType="begin"/>
            </w:r>
            <w:r>
              <w:rPr>
                <w:webHidden/>
              </w:rPr>
              <w:instrText xml:space="preserve"> PAGEREF _Toc235867044 \h </w:instrText>
            </w:r>
            <w:r>
              <w:rPr>
                <w:webHidden/>
              </w:rPr>
            </w:r>
            <w:r>
              <w:rPr>
                <w:webHidden/>
              </w:rPr>
              <w:fldChar w:fldCharType="separate"/>
            </w:r>
            <w:r>
              <w:rPr>
                <w:webHidden/>
              </w:rPr>
              <w:t>2</w:t>
            </w:r>
            <w:r>
              <w:rPr>
                <w:webHidden/>
              </w:rPr>
              <w:fldChar w:fldCharType="end"/>
            </w:r>
          </w:hyperlink>
        </w:p>
        <w:p w14:paraId="6C7AE36B" w14:textId="5F675796" w:rsidR="007F1682" w:rsidRPr="007F1682" w:rsidRDefault="007F1682">
          <w:pPr>
            <w:pStyle w:val="TOC1"/>
            <w:rPr>
              <w:rFonts w:eastAsiaTheme="minorEastAsia"/>
              <w:b w:val="0"/>
              <w:kern w:val="2"/>
              <w:sz w:val="24"/>
              <w:szCs w:val="24"/>
              <w:lang w:val="en-DE" w:eastAsia="en-DE"/>
            </w:rPr>
          </w:pPr>
          <w:hyperlink w:anchor="_Toc235867045" w:history="1">
            <w:r w:rsidRPr="00562140">
              <w:rPr>
                <w:rStyle w:val="Hyperlink"/>
              </w:rPr>
              <w:t>5</w:t>
            </w:r>
            <w:r w:rsidRPr="007F1682">
              <w:rPr>
                <w:rFonts w:eastAsiaTheme="minorEastAsia"/>
                <w:b w:val="0"/>
                <w:kern w:val="2"/>
                <w:sz w:val="24"/>
                <w:szCs w:val="24"/>
                <w:lang w:val="en-DE" w:eastAsia="en-DE"/>
              </w:rPr>
              <w:tab/>
            </w:r>
            <w:r w:rsidRPr="00562140">
              <w:rPr>
                <w:rStyle w:val="Hyperlink"/>
              </w:rPr>
              <w:t>Introduction and Motivation</w:t>
            </w:r>
            <w:r>
              <w:rPr>
                <w:webHidden/>
              </w:rPr>
              <w:tab/>
            </w:r>
            <w:r>
              <w:rPr>
                <w:webHidden/>
              </w:rPr>
              <w:fldChar w:fldCharType="begin"/>
            </w:r>
            <w:r>
              <w:rPr>
                <w:webHidden/>
              </w:rPr>
              <w:instrText xml:space="preserve"> PAGEREF _Toc235867045 \h </w:instrText>
            </w:r>
            <w:r>
              <w:rPr>
                <w:webHidden/>
              </w:rPr>
            </w:r>
            <w:r>
              <w:rPr>
                <w:webHidden/>
              </w:rPr>
              <w:fldChar w:fldCharType="separate"/>
            </w:r>
            <w:r>
              <w:rPr>
                <w:webHidden/>
              </w:rPr>
              <w:t>3</w:t>
            </w:r>
            <w:r>
              <w:rPr>
                <w:webHidden/>
              </w:rPr>
              <w:fldChar w:fldCharType="end"/>
            </w:r>
          </w:hyperlink>
        </w:p>
        <w:p w14:paraId="4173628E" w14:textId="5315B26B" w:rsidR="007F1682" w:rsidRPr="007F1682" w:rsidRDefault="007F1682">
          <w:pPr>
            <w:pStyle w:val="TOC2"/>
            <w:rPr>
              <w:rFonts w:eastAsiaTheme="minorEastAsia"/>
              <w:noProof/>
              <w:kern w:val="2"/>
              <w:sz w:val="24"/>
              <w:szCs w:val="24"/>
              <w:lang w:val="en-DE" w:eastAsia="en-DE"/>
            </w:rPr>
          </w:pPr>
          <w:hyperlink w:anchor="_Toc235867046" w:history="1">
            <w:r w:rsidRPr="00562140">
              <w:rPr>
                <w:rStyle w:val="Hyperlink"/>
                <w:noProof/>
              </w:rPr>
              <w:t>5.1</w:t>
            </w:r>
            <w:r w:rsidRPr="007F1682">
              <w:rPr>
                <w:rFonts w:eastAsiaTheme="minorEastAsia"/>
                <w:noProof/>
                <w:kern w:val="2"/>
                <w:sz w:val="24"/>
                <w:szCs w:val="24"/>
                <w:lang w:val="en-DE" w:eastAsia="en-DE"/>
              </w:rPr>
              <w:tab/>
            </w:r>
            <w:r w:rsidRPr="00562140">
              <w:rPr>
                <w:rStyle w:val="Hyperlink"/>
                <w:noProof/>
              </w:rPr>
              <w:t>The Policy Motivation</w:t>
            </w:r>
            <w:r>
              <w:rPr>
                <w:noProof/>
                <w:webHidden/>
              </w:rPr>
              <w:tab/>
            </w:r>
            <w:r>
              <w:rPr>
                <w:noProof/>
                <w:webHidden/>
              </w:rPr>
              <w:fldChar w:fldCharType="begin"/>
            </w:r>
            <w:r>
              <w:rPr>
                <w:noProof/>
                <w:webHidden/>
              </w:rPr>
              <w:instrText xml:space="preserve"> PAGEREF _Toc235867046 \h </w:instrText>
            </w:r>
            <w:r>
              <w:rPr>
                <w:noProof/>
                <w:webHidden/>
              </w:rPr>
            </w:r>
            <w:r>
              <w:rPr>
                <w:noProof/>
                <w:webHidden/>
              </w:rPr>
              <w:fldChar w:fldCharType="separate"/>
            </w:r>
            <w:r>
              <w:rPr>
                <w:noProof/>
                <w:webHidden/>
              </w:rPr>
              <w:t>3</w:t>
            </w:r>
            <w:r>
              <w:rPr>
                <w:noProof/>
                <w:webHidden/>
              </w:rPr>
              <w:fldChar w:fldCharType="end"/>
            </w:r>
          </w:hyperlink>
        </w:p>
        <w:p w14:paraId="0298B489" w14:textId="4F0EF7FC" w:rsidR="007F1682" w:rsidRPr="007F1682" w:rsidRDefault="007F1682">
          <w:pPr>
            <w:pStyle w:val="TOC2"/>
            <w:rPr>
              <w:rFonts w:eastAsiaTheme="minorEastAsia"/>
              <w:noProof/>
              <w:kern w:val="2"/>
              <w:sz w:val="24"/>
              <w:szCs w:val="24"/>
              <w:lang w:val="en-DE" w:eastAsia="en-DE"/>
            </w:rPr>
          </w:pPr>
          <w:hyperlink w:anchor="_Toc235867047" w:history="1">
            <w:r w:rsidRPr="00562140">
              <w:rPr>
                <w:rStyle w:val="Hyperlink"/>
                <w:noProof/>
              </w:rPr>
              <w:t>5.2</w:t>
            </w:r>
            <w:r w:rsidRPr="007F1682">
              <w:rPr>
                <w:rFonts w:eastAsiaTheme="minorEastAsia"/>
                <w:noProof/>
                <w:kern w:val="2"/>
                <w:sz w:val="24"/>
                <w:szCs w:val="24"/>
                <w:lang w:val="en-DE" w:eastAsia="en-DE"/>
              </w:rPr>
              <w:tab/>
            </w:r>
            <w:r w:rsidRPr="00562140">
              <w:rPr>
                <w:rStyle w:val="Hyperlink"/>
                <w:noProof/>
              </w:rPr>
              <w:t>Scope of the Model</w:t>
            </w:r>
            <w:r>
              <w:rPr>
                <w:noProof/>
                <w:webHidden/>
              </w:rPr>
              <w:tab/>
            </w:r>
            <w:r>
              <w:rPr>
                <w:noProof/>
                <w:webHidden/>
              </w:rPr>
              <w:fldChar w:fldCharType="begin"/>
            </w:r>
            <w:r>
              <w:rPr>
                <w:noProof/>
                <w:webHidden/>
              </w:rPr>
              <w:instrText xml:space="preserve"> PAGEREF _Toc235867047 \h </w:instrText>
            </w:r>
            <w:r>
              <w:rPr>
                <w:noProof/>
                <w:webHidden/>
              </w:rPr>
            </w:r>
            <w:r>
              <w:rPr>
                <w:noProof/>
                <w:webHidden/>
              </w:rPr>
              <w:fldChar w:fldCharType="separate"/>
            </w:r>
            <w:r>
              <w:rPr>
                <w:noProof/>
                <w:webHidden/>
              </w:rPr>
              <w:t>4</w:t>
            </w:r>
            <w:r>
              <w:rPr>
                <w:noProof/>
                <w:webHidden/>
              </w:rPr>
              <w:fldChar w:fldCharType="end"/>
            </w:r>
          </w:hyperlink>
        </w:p>
        <w:p w14:paraId="3752A22B" w14:textId="67499DC0" w:rsidR="007F1682" w:rsidRPr="007F1682" w:rsidRDefault="007F1682">
          <w:pPr>
            <w:pStyle w:val="TOC2"/>
            <w:rPr>
              <w:rFonts w:eastAsiaTheme="minorEastAsia"/>
              <w:noProof/>
              <w:kern w:val="2"/>
              <w:sz w:val="24"/>
              <w:szCs w:val="24"/>
              <w:lang w:val="en-DE" w:eastAsia="en-DE"/>
            </w:rPr>
          </w:pPr>
          <w:hyperlink w:anchor="_Toc235867048" w:history="1">
            <w:r w:rsidRPr="00562140">
              <w:rPr>
                <w:rStyle w:val="Hyperlink"/>
                <w:noProof/>
              </w:rPr>
              <w:t>5.3</w:t>
            </w:r>
            <w:r w:rsidRPr="007F1682">
              <w:rPr>
                <w:rFonts w:eastAsiaTheme="minorEastAsia"/>
                <w:noProof/>
                <w:kern w:val="2"/>
                <w:sz w:val="24"/>
                <w:szCs w:val="24"/>
                <w:lang w:val="en-DE" w:eastAsia="en-DE"/>
              </w:rPr>
              <w:tab/>
            </w:r>
            <w:r w:rsidRPr="00562140">
              <w:rPr>
                <w:rStyle w:val="Hyperlink"/>
                <w:noProof/>
              </w:rPr>
              <w:t>Scope of the Model</w:t>
            </w:r>
            <w:r>
              <w:rPr>
                <w:noProof/>
                <w:webHidden/>
              </w:rPr>
              <w:tab/>
            </w:r>
            <w:r>
              <w:rPr>
                <w:noProof/>
                <w:webHidden/>
              </w:rPr>
              <w:fldChar w:fldCharType="begin"/>
            </w:r>
            <w:r>
              <w:rPr>
                <w:noProof/>
                <w:webHidden/>
              </w:rPr>
              <w:instrText xml:space="preserve"> PAGEREF _Toc235867048 \h </w:instrText>
            </w:r>
            <w:r>
              <w:rPr>
                <w:noProof/>
                <w:webHidden/>
              </w:rPr>
            </w:r>
            <w:r>
              <w:rPr>
                <w:noProof/>
                <w:webHidden/>
              </w:rPr>
              <w:fldChar w:fldCharType="separate"/>
            </w:r>
            <w:r>
              <w:rPr>
                <w:noProof/>
                <w:webHidden/>
              </w:rPr>
              <w:t>4</w:t>
            </w:r>
            <w:r>
              <w:rPr>
                <w:noProof/>
                <w:webHidden/>
              </w:rPr>
              <w:fldChar w:fldCharType="end"/>
            </w:r>
          </w:hyperlink>
        </w:p>
        <w:p w14:paraId="78242084" w14:textId="3F5D0ED1" w:rsidR="007F1682" w:rsidRPr="007F1682" w:rsidRDefault="007F1682">
          <w:pPr>
            <w:pStyle w:val="TOC2"/>
            <w:rPr>
              <w:rFonts w:eastAsiaTheme="minorEastAsia"/>
              <w:noProof/>
              <w:kern w:val="2"/>
              <w:sz w:val="24"/>
              <w:szCs w:val="24"/>
              <w:lang w:val="en-DE" w:eastAsia="en-DE"/>
            </w:rPr>
          </w:pPr>
          <w:hyperlink w:anchor="_Toc235867049" w:history="1">
            <w:r w:rsidRPr="00562140">
              <w:rPr>
                <w:rStyle w:val="Hyperlink"/>
                <w:noProof/>
              </w:rPr>
              <w:t>5.4</w:t>
            </w:r>
            <w:r w:rsidRPr="007F1682">
              <w:rPr>
                <w:rFonts w:eastAsiaTheme="minorEastAsia"/>
                <w:noProof/>
                <w:kern w:val="2"/>
                <w:sz w:val="24"/>
                <w:szCs w:val="24"/>
                <w:lang w:val="en-DE" w:eastAsia="en-DE"/>
              </w:rPr>
              <w:tab/>
            </w:r>
            <w:r w:rsidRPr="00562140">
              <w:rPr>
                <w:rStyle w:val="Hyperlink"/>
                <w:noProof/>
              </w:rPr>
              <w:t>Model Structure and Theory</w:t>
            </w:r>
            <w:r>
              <w:rPr>
                <w:noProof/>
                <w:webHidden/>
              </w:rPr>
              <w:tab/>
            </w:r>
            <w:r>
              <w:rPr>
                <w:noProof/>
                <w:webHidden/>
              </w:rPr>
              <w:fldChar w:fldCharType="begin"/>
            </w:r>
            <w:r>
              <w:rPr>
                <w:noProof/>
                <w:webHidden/>
              </w:rPr>
              <w:instrText xml:space="preserve"> PAGEREF _Toc235867049 \h </w:instrText>
            </w:r>
            <w:r>
              <w:rPr>
                <w:noProof/>
                <w:webHidden/>
              </w:rPr>
            </w:r>
            <w:r>
              <w:rPr>
                <w:noProof/>
                <w:webHidden/>
              </w:rPr>
              <w:fldChar w:fldCharType="separate"/>
            </w:r>
            <w:r>
              <w:rPr>
                <w:noProof/>
                <w:webHidden/>
              </w:rPr>
              <w:t>5</w:t>
            </w:r>
            <w:r>
              <w:rPr>
                <w:noProof/>
                <w:webHidden/>
              </w:rPr>
              <w:fldChar w:fldCharType="end"/>
            </w:r>
          </w:hyperlink>
        </w:p>
        <w:p w14:paraId="1D005114" w14:textId="6C266315" w:rsidR="007F1682" w:rsidRPr="007F1682" w:rsidRDefault="007F1682">
          <w:pPr>
            <w:pStyle w:val="TOC3"/>
            <w:rPr>
              <w:rFonts w:eastAsiaTheme="minorEastAsia"/>
              <w:noProof/>
              <w:kern w:val="2"/>
              <w:sz w:val="24"/>
              <w:szCs w:val="24"/>
              <w:lang w:val="en-DE" w:eastAsia="en-DE"/>
            </w:rPr>
          </w:pPr>
          <w:hyperlink w:anchor="_Toc235867050" w:history="1">
            <w:r w:rsidRPr="00562140">
              <w:rPr>
                <w:rStyle w:val="Hyperlink"/>
                <w:noProof/>
              </w:rPr>
              <w:t>5.4.1</w:t>
            </w:r>
            <w:r w:rsidRPr="007F1682">
              <w:rPr>
                <w:rFonts w:eastAsiaTheme="minorEastAsia"/>
                <w:noProof/>
                <w:kern w:val="2"/>
                <w:sz w:val="24"/>
                <w:szCs w:val="24"/>
                <w:lang w:val="en-DE" w:eastAsia="en-DE"/>
              </w:rPr>
              <w:tab/>
            </w:r>
            <w:r w:rsidRPr="00562140">
              <w:rPr>
                <w:rStyle w:val="Hyperlink"/>
                <w:noProof/>
              </w:rPr>
              <w:t>2.1 Sectors</w:t>
            </w:r>
            <w:r>
              <w:rPr>
                <w:noProof/>
                <w:webHidden/>
              </w:rPr>
              <w:tab/>
            </w:r>
            <w:r>
              <w:rPr>
                <w:noProof/>
                <w:webHidden/>
              </w:rPr>
              <w:fldChar w:fldCharType="begin"/>
            </w:r>
            <w:r>
              <w:rPr>
                <w:noProof/>
                <w:webHidden/>
              </w:rPr>
              <w:instrText xml:space="preserve"> PAGEREF _Toc235867050 \h </w:instrText>
            </w:r>
            <w:r>
              <w:rPr>
                <w:noProof/>
                <w:webHidden/>
              </w:rPr>
            </w:r>
            <w:r>
              <w:rPr>
                <w:noProof/>
                <w:webHidden/>
              </w:rPr>
              <w:fldChar w:fldCharType="separate"/>
            </w:r>
            <w:r>
              <w:rPr>
                <w:noProof/>
                <w:webHidden/>
              </w:rPr>
              <w:t>5</w:t>
            </w:r>
            <w:r>
              <w:rPr>
                <w:noProof/>
                <w:webHidden/>
              </w:rPr>
              <w:fldChar w:fldCharType="end"/>
            </w:r>
          </w:hyperlink>
        </w:p>
        <w:p w14:paraId="3033401D" w14:textId="718402FD" w:rsidR="007F1682" w:rsidRPr="007F1682" w:rsidRDefault="007F1682">
          <w:pPr>
            <w:pStyle w:val="TOC2"/>
            <w:rPr>
              <w:rFonts w:eastAsiaTheme="minorEastAsia"/>
              <w:noProof/>
              <w:kern w:val="2"/>
              <w:sz w:val="24"/>
              <w:szCs w:val="24"/>
              <w:lang w:val="en-DE" w:eastAsia="en-DE"/>
            </w:rPr>
          </w:pPr>
          <w:hyperlink w:anchor="_Toc235867051" w:history="1">
            <w:r w:rsidRPr="00562140">
              <w:rPr>
                <w:rStyle w:val="Hyperlink"/>
                <w:noProof/>
              </w:rPr>
              <w:t>5.5</w:t>
            </w:r>
            <w:r w:rsidRPr="007F1682">
              <w:rPr>
                <w:rFonts w:eastAsiaTheme="minorEastAsia"/>
                <w:noProof/>
                <w:kern w:val="2"/>
                <w:sz w:val="24"/>
                <w:szCs w:val="24"/>
                <w:lang w:val="en-DE" w:eastAsia="en-DE"/>
              </w:rPr>
              <w:tab/>
            </w:r>
            <w:r w:rsidRPr="00562140">
              <w:rPr>
                <w:rStyle w:val="Hyperlink"/>
                <w:noProof/>
              </w:rPr>
              <w:t>Household</w:t>
            </w:r>
            <w:r>
              <w:rPr>
                <w:noProof/>
                <w:webHidden/>
              </w:rPr>
              <w:tab/>
            </w:r>
            <w:r>
              <w:rPr>
                <w:noProof/>
                <w:webHidden/>
              </w:rPr>
              <w:fldChar w:fldCharType="begin"/>
            </w:r>
            <w:r>
              <w:rPr>
                <w:noProof/>
                <w:webHidden/>
              </w:rPr>
              <w:instrText xml:space="preserve"> PAGEREF _Toc235867051 \h </w:instrText>
            </w:r>
            <w:r>
              <w:rPr>
                <w:noProof/>
                <w:webHidden/>
              </w:rPr>
            </w:r>
            <w:r>
              <w:rPr>
                <w:noProof/>
                <w:webHidden/>
              </w:rPr>
              <w:fldChar w:fldCharType="separate"/>
            </w:r>
            <w:r>
              <w:rPr>
                <w:noProof/>
                <w:webHidden/>
              </w:rPr>
              <w:t>5</w:t>
            </w:r>
            <w:r>
              <w:rPr>
                <w:noProof/>
                <w:webHidden/>
              </w:rPr>
              <w:fldChar w:fldCharType="end"/>
            </w:r>
          </w:hyperlink>
        </w:p>
        <w:p w14:paraId="392F55D4" w14:textId="1D6EF540" w:rsidR="007F1682" w:rsidRPr="007F1682" w:rsidRDefault="007F1682">
          <w:pPr>
            <w:pStyle w:val="TOC2"/>
            <w:rPr>
              <w:rFonts w:eastAsiaTheme="minorEastAsia"/>
              <w:noProof/>
              <w:kern w:val="2"/>
              <w:sz w:val="24"/>
              <w:szCs w:val="24"/>
              <w:lang w:val="en-DE" w:eastAsia="en-DE"/>
            </w:rPr>
          </w:pPr>
          <w:hyperlink w:anchor="_Toc235867052" w:history="1">
            <w:r w:rsidRPr="00562140">
              <w:rPr>
                <w:rStyle w:val="Hyperlink"/>
                <w:noProof/>
                <w:lang w:val="en-US"/>
              </w:rPr>
              <w:t>5.6</w:t>
            </w:r>
            <w:r w:rsidRPr="007F1682">
              <w:rPr>
                <w:rFonts w:eastAsiaTheme="minorEastAsia"/>
                <w:noProof/>
                <w:kern w:val="2"/>
                <w:sz w:val="24"/>
                <w:szCs w:val="24"/>
                <w:lang w:val="en-DE" w:eastAsia="en-DE"/>
              </w:rPr>
              <w:tab/>
            </w:r>
            <w:r w:rsidRPr="00562140">
              <w:rPr>
                <w:rStyle w:val="Hyperlink"/>
                <w:noProof/>
                <w:lang w:val="en-US"/>
              </w:rPr>
              <w:t>Firms and the production structure</w:t>
            </w:r>
            <w:r>
              <w:rPr>
                <w:noProof/>
                <w:webHidden/>
              </w:rPr>
              <w:tab/>
            </w:r>
            <w:r>
              <w:rPr>
                <w:noProof/>
                <w:webHidden/>
              </w:rPr>
              <w:fldChar w:fldCharType="begin"/>
            </w:r>
            <w:r>
              <w:rPr>
                <w:noProof/>
                <w:webHidden/>
              </w:rPr>
              <w:instrText xml:space="preserve"> PAGEREF _Toc235867052 \h </w:instrText>
            </w:r>
            <w:r>
              <w:rPr>
                <w:noProof/>
                <w:webHidden/>
              </w:rPr>
            </w:r>
            <w:r>
              <w:rPr>
                <w:noProof/>
                <w:webHidden/>
              </w:rPr>
              <w:fldChar w:fldCharType="separate"/>
            </w:r>
            <w:r>
              <w:rPr>
                <w:noProof/>
                <w:webHidden/>
              </w:rPr>
              <w:t>6</w:t>
            </w:r>
            <w:r>
              <w:rPr>
                <w:noProof/>
                <w:webHidden/>
              </w:rPr>
              <w:fldChar w:fldCharType="end"/>
            </w:r>
          </w:hyperlink>
        </w:p>
        <w:p w14:paraId="67FC6FD1" w14:textId="155957EF" w:rsidR="007F1682" w:rsidRPr="007F1682" w:rsidRDefault="007F1682">
          <w:pPr>
            <w:pStyle w:val="TOC2"/>
            <w:rPr>
              <w:rFonts w:eastAsiaTheme="minorEastAsia"/>
              <w:noProof/>
              <w:kern w:val="2"/>
              <w:sz w:val="24"/>
              <w:szCs w:val="24"/>
              <w:lang w:val="en-DE" w:eastAsia="en-DE"/>
            </w:rPr>
          </w:pPr>
          <w:hyperlink w:anchor="_Toc235867053" w:history="1">
            <w:r w:rsidRPr="00562140">
              <w:rPr>
                <w:rStyle w:val="Hyperlink"/>
                <w:noProof/>
              </w:rPr>
              <w:t>5.7</w:t>
            </w:r>
            <w:r w:rsidRPr="007F1682">
              <w:rPr>
                <w:rFonts w:eastAsiaTheme="minorEastAsia"/>
                <w:noProof/>
                <w:kern w:val="2"/>
                <w:sz w:val="24"/>
                <w:szCs w:val="24"/>
                <w:lang w:val="en-DE" w:eastAsia="en-DE"/>
              </w:rPr>
              <w:tab/>
            </w:r>
            <w:r w:rsidRPr="00562140">
              <w:rPr>
                <w:rStyle w:val="Hyperlink"/>
                <w:noProof/>
              </w:rPr>
              <w:t>Wholesaler, retailer, exporter</w:t>
            </w:r>
            <w:r>
              <w:rPr>
                <w:noProof/>
                <w:webHidden/>
              </w:rPr>
              <w:tab/>
            </w:r>
            <w:r>
              <w:rPr>
                <w:noProof/>
                <w:webHidden/>
              </w:rPr>
              <w:fldChar w:fldCharType="begin"/>
            </w:r>
            <w:r>
              <w:rPr>
                <w:noProof/>
                <w:webHidden/>
              </w:rPr>
              <w:instrText xml:space="preserve"> PAGEREF _Toc235867053 \h </w:instrText>
            </w:r>
            <w:r>
              <w:rPr>
                <w:noProof/>
                <w:webHidden/>
              </w:rPr>
            </w:r>
            <w:r>
              <w:rPr>
                <w:noProof/>
                <w:webHidden/>
              </w:rPr>
              <w:fldChar w:fldCharType="separate"/>
            </w:r>
            <w:r>
              <w:rPr>
                <w:noProof/>
                <w:webHidden/>
              </w:rPr>
              <w:t>6</w:t>
            </w:r>
            <w:r>
              <w:rPr>
                <w:noProof/>
                <w:webHidden/>
              </w:rPr>
              <w:fldChar w:fldCharType="end"/>
            </w:r>
          </w:hyperlink>
        </w:p>
        <w:p w14:paraId="5A5AA1E8" w14:textId="4F7FEC5A" w:rsidR="007F1682" w:rsidRPr="007F1682" w:rsidRDefault="007F1682">
          <w:pPr>
            <w:pStyle w:val="TOC2"/>
            <w:rPr>
              <w:rFonts w:eastAsiaTheme="minorEastAsia"/>
              <w:noProof/>
              <w:kern w:val="2"/>
              <w:sz w:val="24"/>
              <w:szCs w:val="24"/>
              <w:lang w:val="en-DE" w:eastAsia="en-DE"/>
            </w:rPr>
          </w:pPr>
          <w:hyperlink w:anchor="_Toc235867054" w:history="1">
            <w:r w:rsidRPr="00562140">
              <w:rPr>
                <w:rStyle w:val="Hyperlink"/>
                <w:noProof/>
                <w:lang w:val="en-US"/>
              </w:rPr>
              <w:t>5.8</w:t>
            </w:r>
            <w:r w:rsidRPr="007F1682">
              <w:rPr>
                <w:rFonts w:eastAsiaTheme="minorEastAsia"/>
                <w:noProof/>
                <w:kern w:val="2"/>
                <w:sz w:val="24"/>
                <w:szCs w:val="24"/>
                <w:lang w:val="en-DE" w:eastAsia="en-DE"/>
              </w:rPr>
              <w:tab/>
            </w:r>
            <w:r w:rsidRPr="00562140">
              <w:rPr>
                <w:rStyle w:val="Hyperlink"/>
                <w:noProof/>
                <w:lang w:val="en-US"/>
              </w:rPr>
              <w:t>Government and the Emissions Trading System</w:t>
            </w:r>
            <w:r>
              <w:rPr>
                <w:noProof/>
                <w:webHidden/>
              </w:rPr>
              <w:tab/>
            </w:r>
            <w:r>
              <w:rPr>
                <w:noProof/>
                <w:webHidden/>
              </w:rPr>
              <w:fldChar w:fldCharType="begin"/>
            </w:r>
            <w:r>
              <w:rPr>
                <w:noProof/>
                <w:webHidden/>
              </w:rPr>
              <w:instrText xml:space="preserve"> PAGEREF _Toc235867054 \h </w:instrText>
            </w:r>
            <w:r>
              <w:rPr>
                <w:noProof/>
                <w:webHidden/>
              </w:rPr>
            </w:r>
            <w:r>
              <w:rPr>
                <w:noProof/>
                <w:webHidden/>
              </w:rPr>
              <w:fldChar w:fldCharType="separate"/>
            </w:r>
            <w:r>
              <w:rPr>
                <w:noProof/>
                <w:webHidden/>
              </w:rPr>
              <w:t>6</w:t>
            </w:r>
            <w:r>
              <w:rPr>
                <w:noProof/>
                <w:webHidden/>
              </w:rPr>
              <w:fldChar w:fldCharType="end"/>
            </w:r>
          </w:hyperlink>
        </w:p>
        <w:p w14:paraId="62021A38" w14:textId="4F4ACA9C" w:rsidR="007F1682" w:rsidRPr="007F1682" w:rsidRDefault="007F1682">
          <w:pPr>
            <w:pStyle w:val="TOC3"/>
            <w:rPr>
              <w:rFonts w:eastAsiaTheme="minorEastAsia"/>
              <w:noProof/>
              <w:kern w:val="2"/>
              <w:sz w:val="24"/>
              <w:szCs w:val="24"/>
              <w:lang w:val="en-DE" w:eastAsia="en-DE"/>
            </w:rPr>
          </w:pPr>
          <w:hyperlink w:anchor="_Toc235867055" w:history="1">
            <w:r w:rsidRPr="00562140">
              <w:rPr>
                <w:rStyle w:val="Hyperlink"/>
                <w:noProof/>
                <w:lang w:val="en-US"/>
              </w:rPr>
              <w:t>5.8.1</w:t>
            </w:r>
            <w:r w:rsidRPr="007F1682">
              <w:rPr>
                <w:rFonts w:eastAsiaTheme="minorEastAsia"/>
                <w:noProof/>
                <w:kern w:val="2"/>
                <w:sz w:val="24"/>
                <w:szCs w:val="24"/>
                <w:lang w:val="en-DE" w:eastAsia="en-DE"/>
              </w:rPr>
              <w:tab/>
            </w:r>
            <w:r w:rsidRPr="00562140">
              <w:rPr>
                <w:rStyle w:val="Hyperlink"/>
                <w:noProof/>
                <w:lang w:val="en-US"/>
              </w:rPr>
              <w:t>2.6 Key extensions beyond a textbook DGE model</w:t>
            </w:r>
            <w:r>
              <w:rPr>
                <w:noProof/>
                <w:webHidden/>
              </w:rPr>
              <w:tab/>
            </w:r>
            <w:r>
              <w:rPr>
                <w:noProof/>
                <w:webHidden/>
              </w:rPr>
              <w:fldChar w:fldCharType="begin"/>
            </w:r>
            <w:r>
              <w:rPr>
                <w:noProof/>
                <w:webHidden/>
              </w:rPr>
              <w:instrText xml:space="preserve"> PAGEREF _Toc235867055 \h </w:instrText>
            </w:r>
            <w:r>
              <w:rPr>
                <w:noProof/>
                <w:webHidden/>
              </w:rPr>
            </w:r>
            <w:r>
              <w:rPr>
                <w:noProof/>
                <w:webHidden/>
              </w:rPr>
              <w:fldChar w:fldCharType="separate"/>
            </w:r>
            <w:r>
              <w:rPr>
                <w:noProof/>
                <w:webHidden/>
              </w:rPr>
              <w:t>7</w:t>
            </w:r>
            <w:r>
              <w:rPr>
                <w:noProof/>
                <w:webHidden/>
              </w:rPr>
              <w:fldChar w:fldCharType="end"/>
            </w:r>
          </w:hyperlink>
        </w:p>
        <w:p w14:paraId="05B4C77D" w14:textId="08DC86F4" w:rsidR="007F1682" w:rsidRPr="007F1682" w:rsidRDefault="007F1682">
          <w:pPr>
            <w:pStyle w:val="TOC2"/>
            <w:rPr>
              <w:rFonts w:eastAsiaTheme="minorEastAsia"/>
              <w:noProof/>
              <w:kern w:val="2"/>
              <w:sz w:val="24"/>
              <w:szCs w:val="24"/>
              <w:lang w:val="en-DE" w:eastAsia="en-DE"/>
            </w:rPr>
          </w:pPr>
          <w:hyperlink w:anchor="_Toc235867056" w:history="1">
            <w:r w:rsidRPr="00562140">
              <w:rPr>
                <w:rStyle w:val="Hyperlink"/>
                <w:noProof/>
              </w:rPr>
              <w:t>5.9</w:t>
            </w:r>
            <w:r w:rsidRPr="007F1682">
              <w:rPr>
                <w:rFonts w:eastAsiaTheme="minorEastAsia"/>
                <w:noProof/>
                <w:kern w:val="2"/>
                <w:sz w:val="24"/>
                <w:szCs w:val="24"/>
                <w:lang w:val="en-DE" w:eastAsia="en-DE"/>
              </w:rPr>
              <w:tab/>
            </w:r>
            <w:r w:rsidRPr="00562140">
              <w:rPr>
                <w:rStyle w:val="Hyperlink"/>
                <w:noProof/>
              </w:rPr>
              <w:t>External sector</w:t>
            </w:r>
            <w:r>
              <w:rPr>
                <w:noProof/>
                <w:webHidden/>
              </w:rPr>
              <w:tab/>
            </w:r>
            <w:r>
              <w:rPr>
                <w:noProof/>
                <w:webHidden/>
              </w:rPr>
              <w:fldChar w:fldCharType="begin"/>
            </w:r>
            <w:r>
              <w:rPr>
                <w:noProof/>
                <w:webHidden/>
              </w:rPr>
              <w:instrText xml:space="preserve"> PAGEREF _Toc235867056 \h </w:instrText>
            </w:r>
            <w:r>
              <w:rPr>
                <w:noProof/>
                <w:webHidden/>
              </w:rPr>
            </w:r>
            <w:r>
              <w:rPr>
                <w:noProof/>
                <w:webHidden/>
              </w:rPr>
              <w:fldChar w:fldCharType="separate"/>
            </w:r>
            <w:r>
              <w:rPr>
                <w:noProof/>
                <w:webHidden/>
              </w:rPr>
              <w:t>7</w:t>
            </w:r>
            <w:r>
              <w:rPr>
                <w:noProof/>
                <w:webHidden/>
              </w:rPr>
              <w:fldChar w:fldCharType="end"/>
            </w:r>
          </w:hyperlink>
        </w:p>
        <w:p w14:paraId="0355C488" w14:textId="08F19F47" w:rsidR="007F1682" w:rsidRPr="007F1682" w:rsidRDefault="007F1682">
          <w:pPr>
            <w:pStyle w:val="TOC2"/>
            <w:rPr>
              <w:rFonts w:eastAsiaTheme="minorEastAsia"/>
              <w:noProof/>
              <w:kern w:val="2"/>
              <w:sz w:val="24"/>
              <w:szCs w:val="24"/>
              <w:lang w:val="en-DE" w:eastAsia="en-DE"/>
            </w:rPr>
          </w:pPr>
          <w:hyperlink w:anchor="_Toc235867057" w:history="1">
            <w:r w:rsidRPr="00562140">
              <w:rPr>
                <w:rStyle w:val="Hyperlink"/>
                <w:noProof/>
              </w:rPr>
              <w:t>5.10</w:t>
            </w:r>
            <w:r w:rsidRPr="007F1682">
              <w:rPr>
                <w:rFonts w:eastAsiaTheme="minorEastAsia"/>
                <w:noProof/>
                <w:kern w:val="2"/>
                <w:sz w:val="24"/>
                <w:szCs w:val="24"/>
                <w:lang w:val="en-DE" w:eastAsia="en-DE"/>
              </w:rPr>
              <w:tab/>
            </w:r>
            <w:r w:rsidRPr="00562140">
              <w:rPr>
                <w:rStyle w:val="Hyperlink"/>
                <w:noProof/>
              </w:rPr>
              <w:t>Data and Calibration</w:t>
            </w:r>
            <w:r>
              <w:rPr>
                <w:noProof/>
                <w:webHidden/>
              </w:rPr>
              <w:tab/>
            </w:r>
            <w:r>
              <w:rPr>
                <w:noProof/>
                <w:webHidden/>
              </w:rPr>
              <w:fldChar w:fldCharType="begin"/>
            </w:r>
            <w:r>
              <w:rPr>
                <w:noProof/>
                <w:webHidden/>
              </w:rPr>
              <w:instrText xml:space="preserve"> PAGEREF _Toc235867057 \h </w:instrText>
            </w:r>
            <w:r>
              <w:rPr>
                <w:noProof/>
                <w:webHidden/>
              </w:rPr>
            </w:r>
            <w:r>
              <w:rPr>
                <w:noProof/>
                <w:webHidden/>
              </w:rPr>
              <w:fldChar w:fldCharType="separate"/>
            </w:r>
            <w:r>
              <w:rPr>
                <w:noProof/>
                <w:webHidden/>
              </w:rPr>
              <w:t>8</w:t>
            </w:r>
            <w:r>
              <w:rPr>
                <w:noProof/>
                <w:webHidden/>
              </w:rPr>
              <w:fldChar w:fldCharType="end"/>
            </w:r>
          </w:hyperlink>
        </w:p>
        <w:p w14:paraId="0C6138C7" w14:textId="7117BBDF" w:rsidR="007F1682" w:rsidRPr="007F1682" w:rsidRDefault="007F1682">
          <w:pPr>
            <w:pStyle w:val="TOC3"/>
            <w:tabs>
              <w:tab w:val="left" w:pos="1680"/>
            </w:tabs>
            <w:rPr>
              <w:rFonts w:eastAsiaTheme="minorEastAsia"/>
              <w:noProof/>
              <w:kern w:val="2"/>
              <w:sz w:val="24"/>
              <w:szCs w:val="24"/>
              <w:lang w:val="en-DE" w:eastAsia="en-DE"/>
            </w:rPr>
          </w:pPr>
          <w:hyperlink w:anchor="_Toc235867058" w:history="1">
            <w:r w:rsidRPr="00562140">
              <w:rPr>
                <w:rStyle w:val="Hyperlink"/>
                <w:noProof/>
              </w:rPr>
              <w:t>5.10.1</w:t>
            </w:r>
            <w:r w:rsidRPr="007F1682">
              <w:rPr>
                <w:rFonts w:eastAsiaTheme="minorEastAsia"/>
                <w:noProof/>
                <w:kern w:val="2"/>
                <w:sz w:val="24"/>
                <w:szCs w:val="24"/>
                <w:lang w:val="en-DE" w:eastAsia="en-DE"/>
              </w:rPr>
              <w:tab/>
            </w:r>
            <w:r w:rsidRPr="00562140">
              <w:rPr>
                <w:rStyle w:val="Hyperlink"/>
                <w:noProof/>
              </w:rPr>
              <w:t>3.1 Data sources</w:t>
            </w:r>
            <w:r>
              <w:rPr>
                <w:noProof/>
                <w:webHidden/>
              </w:rPr>
              <w:tab/>
            </w:r>
            <w:r>
              <w:rPr>
                <w:noProof/>
                <w:webHidden/>
              </w:rPr>
              <w:fldChar w:fldCharType="begin"/>
            </w:r>
            <w:r>
              <w:rPr>
                <w:noProof/>
                <w:webHidden/>
              </w:rPr>
              <w:instrText xml:space="preserve"> PAGEREF _Toc235867058 \h </w:instrText>
            </w:r>
            <w:r>
              <w:rPr>
                <w:noProof/>
                <w:webHidden/>
              </w:rPr>
            </w:r>
            <w:r>
              <w:rPr>
                <w:noProof/>
                <w:webHidden/>
              </w:rPr>
              <w:fldChar w:fldCharType="separate"/>
            </w:r>
            <w:r>
              <w:rPr>
                <w:noProof/>
                <w:webHidden/>
              </w:rPr>
              <w:t>8</w:t>
            </w:r>
            <w:r>
              <w:rPr>
                <w:noProof/>
                <w:webHidden/>
              </w:rPr>
              <w:fldChar w:fldCharType="end"/>
            </w:r>
          </w:hyperlink>
        </w:p>
        <w:p w14:paraId="08CBD395" w14:textId="32E9B426" w:rsidR="007F1682" w:rsidRPr="007F1682" w:rsidRDefault="007F1682">
          <w:pPr>
            <w:pStyle w:val="TOC2"/>
            <w:rPr>
              <w:rFonts w:eastAsiaTheme="minorEastAsia"/>
              <w:noProof/>
              <w:kern w:val="2"/>
              <w:sz w:val="24"/>
              <w:szCs w:val="24"/>
              <w:lang w:val="en-DE" w:eastAsia="en-DE"/>
            </w:rPr>
          </w:pPr>
          <w:hyperlink w:anchor="_Toc235867059" w:history="1">
            <w:r w:rsidRPr="00562140">
              <w:rPr>
                <w:rStyle w:val="Hyperlink"/>
                <w:noProof/>
                <w:lang w:val="en-US"/>
              </w:rPr>
              <w:t>5.11</w:t>
            </w:r>
            <w:r w:rsidRPr="007F1682">
              <w:rPr>
                <w:rFonts w:eastAsiaTheme="minorEastAsia"/>
                <w:noProof/>
                <w:kern w:val="2"/>
                <w:sz w:val="24"/>
                <w:szCs w:val="24"/>
                <w:lang w:val="en-DE" w:eastAsia="en-DE"/>
              </w:rPr>
              <w:tab/>
            </w:r>
            <w:r w:rsidRPr="00562140">
              <w:rPr>
                <w:rStyle w:val="Hyperlink"/>
                <w:noProof/>
                <w:lang w:val="en-US"/>
              </w:rPr>
              <w:t>Expenditure-side GDP cross-check output</w:t>
            </w:r>
            <w:r>
              <w:rPr>
                <w:noProof/>
                <w:webHidden/>
              </w:rPr>
              <w:tab/>
            </w:r>
            <w:r>
              <w:rPr>
                <w:noProof/>
                <w:webHidden/>
              </w:rPr>
              <w:fldChar w:fldCharType="begin"/>
            </w:r>
            <w:r>
              <w:rPr>
                <w:noProof/>
                <w:webHidden/>
              </w:rPr>
              <w:instrText xml:space="preserve"> PAGEREF _Toc235867059 \h </w:instrText>
            </w:r>
            <w:r>
              <w:rPr>
                <w:noProof/>
                <w:webHidden/>
              </w:rPr>
            </w:r>
            <w:r>
              <w:rPr>
                <w:noProof/>
                <w:webHidden/>
              </w:rPr>
              <w:fldChar w:fldCharType="separate"/>
            </w:r>
            <w:r>
              <w:rPr>
                <w:noProof/>
                <w:webHidden/>
              </w:rPr>
              <w:t>8</w:t>
            </w:r>
            <w:r>
              <w:rPr>
                <w:noProof/>
                <w:webHidden/>
              </w:rPr>
              <w:fldChar w:fldCharType="end"/>
            </w:r>
          </w:hyperlink>
        </w:p>
        <w:p w14:paraId="0E80B1D4" w14:textId="7D2929AD" w:rsidR="007F1682" w:rsidRPr="007F1682" w:rsidRDefault="007F1682">
          <w:pPr>
            <w:pStyle w:val="TOC2"/>
            <w:rPr>
              <w:rFonts w:eastAsiaTheme="minorEastAsia"/>
              <w:noProof/>
              <w:kern w:val="2"/>
              <w:sz w:val="24"/>
              <w:szCs w:val="24"/>
              <w:lang w:val="en-DE" w:eastAsia="en-DE"/>
            </w:rPr>
          </w:pPr>
          <w:hyperlink w:anchor="_Toc235867060" w:history="1">
            <w:r w:rsidRPr="00562140">
              <w:rPr>
                <w:rStyle w:val="Hyperlink"/>
                <w:noProof/>
                <w:lang w:val="en-US"/>
              </w:rPr>
              <w:t>5.12</w:t>
            </w:r>
            <w:r w:rsidRPr="007F1682">
              <w:rPr>
                <w:rFonts w:eastAsiaTheme="minorEastAsia"/>
                <w:noProof/>
                <w:kern w:val="2"/>
                <w:sz w:val="24"/>
                <w:szCs w:val="24"/>
                <w:lang w:val="en-DE" w:eastAsia="en-DE"/>
              </w:rPr>
              <w:tab/>
            </w:r>
            <w:r w:rsidRPr="00562140">
              <w:rPr>
                <w:rStyle w:val="Hyperlink"/>
                <w:noProof/>
                <w:lang w:val="en-US"/>
              </w:rPr>
              <w:t>Expenditure-side GDP cross-check output</w:t>
            </w:r>
            <w:r>
              <w:rPr>
                <w:noProof/>
                <w:webHidden/>
              </w:rPr>
              <w:tab/>
            </w:r>
            <w:r>
              <w:rPr>
                <w:noProof/>
                <w:webHidden/>
              </w:rPr>
              <w:fldChar w:fldCharType="begin"/>
            </w:r>
            <w:r>
              <w:rPr>
                <w:noProof/>
                <w:webHidden/>
              </w:rPr>
              <w:instrText xml:space="preserve"> PAGEREF _Toc235867060 \h </w:instrText>
            </w:r>
            <w:r>
              <w:rPr>
                <w:noProof/>
                <w:webHidden/>
              </w:rPr>
            </w:r>
            <w:r>
              <w:rPr>
                <w:noProof/>
                <w:webHidden/>
              </w:rPr>
              <w:fldChar w:fldCharType="separate"/>
            </w:r>
            <w:r>
              <w:rPr>
                <w:noProof/>
                <w:webHidden/>
              </w:rPr>
              <w:t>8</w:t>
            </w:r>
            <w:r>
              <w:rPr>
                <w:noProof/>
                <w:webHidden/>
              </w:rPr>
              <w:fldChar w:fldCharType="end"/>
            </w:r>
          </w:hyperlink>
        </w:p>
        <w:p w14:paraId="7A32DC6B" w14:textId="7D957E4C" w:rsidR="007F1682" w:rsidRPr="007F1682" w:rsidRDefault="007F1682">
          <w:pPr>
            <w:pStyle w:val="TOC2"/>
            <w:rPr>
              <w:rFonts w:eastAsiaTheme="minorEastAsia"/>
              <w:noProof/>
              <w:kern w:val="2"/>
              <w:sz w:val="24"/>
              <w:szCs w:val="24"/>
              <w:lang w:val="en-DE" w:eastAsia="en-DE"/>
            </w:rPr>
          </w:pPr>
          <w:hyperlink w:anchor="_Toc235867061" w:history="1">
            <w:r w:rsidRPr="00562140">
              <w:rPr>
                <w:rStyle w:val="Hyperlink"/>
                <w:noProof/>
              </w:rPr>
              <w:t>5.13</w:t>
            </w:r>
            <w:r w:rsidRPr="007F1682">
              <w:rPr>
                <w:rFonts w:eastAsiaTheme="minorEastAsia"/>
                <w:noProof/>
                <w:kern w:val="2"/>
                <w:sz w:val="24"/>
                <w:szCs w:val="24"/>
                <w:lang w:val="en-DE" w:eastAsia="en-DE"/>
              </w:rPr>
              <w:tab/>
            </w:r>
            <w:r w:rsidRPr="00562140">
              <w:rPr>
                <w:rStyle w:val="Hyperlink"/>
                <w:noProof/>
              </w:rPr>
              <w:t>Calibration workflow</w:t>
            </w:r>
            <w:r>
              <w:rPr>
                <w:noProof/>
                <w:webHidden/>
              </w:rPr>
              <w:tab/>
            </w:r>
            <w:r>
              <w:rPr>
                <w:noProof/>
                <w:webHidden/>
              </w:rPr>
              <w:fldChar w:fldCharType="begin"/>
            </w:r>
            <w:r>
              <w:rPr>
                <w:noProof/>
                <w:webHidden/>
              </w:rPr>
              <w:instrText xml:space="preserve"> PAGEREF _Toc235867061 \h </w:instrText>
            </w:r>
            <w:r>
              <w:rPr>
                <w:noProof/>
                <w:webHidden/>
              </w:rPr>
            </w:r>
            <w:r>
              <w:rPr>
                <w:noProof/>
                <w:webHidden/>
              </w:rPr>
              <w:fldChar w:fldCharType="separate"/>
            </w:r>
            <w:r>
              <w:rPr>
                <w:noProof/>
                <w:webHidden/>
              </w:rPr>
              <w:t>9</w:t>
            </w:r>
            <w:r>
              <w:rPr>
                <w:noProof/>
                <w:webHidden/>
              </w:rPr>
              <w:fldChar w:fldCharType="end"/>
            </w:r>
          </w:hyperlink>
        </w:p>
        <w:p w14:paraId="0C3EDCE0" w14:textId="0D47F511" w:rsidR="007F1682" w:rsidRPr="007F1682" w:rsidRDefault="007F1682">
          <w:pPr>
            <w:pStyle w:val="TOC2"/>
            <w:rPr>
              <w:rFonts w:eastAsiaTheme="minorEastAsia"/>
              <w:noProof/>
              <w:kern w:val="2"/>
              <w:sz w:val="24"/>
              <w:szCs w:val="24"/>
              <w:lang w:val="en-DE" w:eastAsia="en-DE"/>
            </w:rPr>
          </w:pPr>
          <w:hyperlink w:anchor="_Toc235867062" w:history="1">
            <w:r w:rsidRPr="00562140">
              <w:rPr>
                <w:rStyle w:val="Hyperlink"/>
                <w:noProof/>
                <w:lang w:val="en-US"/>
              </w:rPr>
              <w:t>5.14</w:t>
            </w:r>
            <w:r w:rsidRPr="007F1682">
              <w:rPr>
                <w:rFonts w:eastAsiaTheme="minorEastAsia"/>
                <w:noProof/>
                <w:kern w:val="2"/>
                <w:sz w:val="24"/>
                <w:szCs w:val="24"/>
                <w:lang w:val="en-DE" w:eastAsia="en-DE"/>
              </w:rPr>
              <w:tab/>
            </w:r>
            <w:r w:rsidRPr="00562140">
              <w:rPr>
                <w:rStyle w:val="Hyperlink"/>
                <w:noProof/>
                <w:lang w:val="en-US"/>
              </w:rPr>
              <w:t>The factor-cost GVA identity</w:t>
            </w:r>
            <w:r>
              <w:rPr>
                <w:noProof/>
                <w:webHidden/>
              </w:rPr>
              <w:tab/>
            </w:r>
            <w:r>
              <w:rPr>
                <w:noProof/>
                <w:webHidden/>
              </w:rPr>
              <w:fldChar w:fldCharType="begin"/>
            </w:r>
            <w:r>
              <w:rPr>
                <w:noProof/>
                <w:webHidden/>
              </w:rPr>
              <w:instrText xml:space="preserve"> PAGEREF _Toc235867062 \h </w:instrText>
            </w:r>
            <w:r>
              <w:rPr>
                <w:noProof/>
                <w:webHidden/>
              </w:rPr>
            </w:r>
            <w:r>
              <w:rPr>
                <w:noProof/>
                <w:webHidden/>
              </w:rPr>
              <w:fldChar w:fldCharType="separate"/>
            </w:r>
            <w:r>
              <w:rPr>
                <w:noProof/>
                <w:webHidden/>
              </w:rPr>
              <w:t>10</w:t>
            </w:r>
            <w:r>
              <w:rPr>
                <w:noProof/>
                <w:webHidden/>
              </w:rPr>
              <w:fldChar w:fldCharType="end"/>
            </w:r>
          </w:hyperlink>
        </w:p>
        <w:p w14:paraId="62AC3558" w14:textId="0D138534" w:rsidR="007F1682" w:rsidRPr="007F1682" w:rsidRDefault="007F1682">
          <w:pPr>
            <w:pStyle w:val="TOC2"/>
            <w:rPr>
              <w:rFonts w:eastAsiaTheme="minorEastAsia"/>
              <w:noProof/>
              <w:kern w:val="2"/>
              <w:sz w:val="24"/>
              <w:szCs w:val="24"/>
              <w:lang w:val="en-DE" w:eastAsia="en-DE"/>
            </w:rPr>
          </w:pPr>
          <w:hyperlink w:anchor="_Toc235867063" w:history="1">
            <w:r w:rsidRPr="00562140">
              <w:rPr>
                <w:rStyle w:val="Hyperlink"/>
                <w:noProof/>
                <w:lang w:val="en-US"/>
              </w:rPr>
              <w:t>5.15</w:t>
            </w:r>
            <w:r w:rsidRPr="007F1682">
              <w:rPr>
                <w:rFonts w:eastAsiaTheme="minorEastAsia"/>
                <w:noProof/>
                <w:kern w:val="2"/>
                <w:sz w:val="24"/>
                <w:szCs w:val="24"/>
                <w:lang w:val="en-DE" w:eastAsia="en-DE"/>
              </w:rPr>
              <w:tab/>
            </w:r>
            <w:r w:rsidRPr="00562140">
              <w:rPr>
                <w:rStyle w:val="Hyperlink"/>
                <w:noProof/>
                <w:lang w:val="en-US"/>
              </w:rPr>
              <w:t>Code defaults vs. active calibration</w:t>
            </w:r>
            <w:r>
              <w:rPr>
                <w:noProof/>
                <w:webHidden/>
              </w:rPr>
              <w:tab/>
            </w:r>
            <w:r>
              <w:rPr>
                <w:noProof/>
                <w:webHidden/>
              </w:rPr>
              <w:fldChar w:fldCharType="begin"/>
            </w:r>
            <w:r>
              <w:rPr>
                <w:noProof/>
                <w:webHidden/>
              </w:rPr>
              <w:instrText xml:space="preserve"> PAGEREF _Toc235867063 \h </w:instrText>
            </w:r>
            <w:r>
              <w:rPr>
                <w:noProof/>
                <w:webHidden/>
              </w:rPr>
            </w:r>
            <w:r>
              <w:rPr>
                <w:noProof/>
                <w:webHidden/>
              </w:rPr>
              <w:fldChar w:fldCharType="separate"/>
            </w:r>
            <w:r>
              <w:rPr>
                <w:noProof/>
                <w:webHidden/>
              </w:rPr>
              <w:t>10</w:t>
            </w:r>
            <w:r>
              <w:rPr>
                <w:noProof/>
                <w:webHidden/>
              </w:rPr>
              <w:fldChar w:fldCharType="end"/>
            </w:r>
          </w:hyperlink>
        </w:p>
        <w:p w14:paraId="0387651D" w14:textId="654954DF" w:rsidR="007F1682" w:rsidRPr="007F1682" w:rsidRDefault="007F1682">
          <w:pPr>
            <w:pStyle w:val="TOC2"/>
            <w:rPr>
              <w:rFonts w:eastAsiaTheme="minorEastAsia"/>
              <w:noProof/>
              <w:kern w:val="2"/>
              <w:sz w:val="24"/>
              <w:szCs w:val="24"/>
              <w:lang w:val="en-DE" w:eastAsia="en-DE"/>
            </w:rPr>
          </w:pPr>
          <w:hyperlink w:anchor="_Toc235867064" w:history="1">
            <w:r w:rsidRPr="00562140">
              <w:rPr>
                <w:rStyle w:val="Hyperlink"/>
                <w:noProof/>
                <w:lang w:val="en-US"/>
              </w:rPr>
              <w:t>5.16</w:t>
            </w:r>
            <w:r w:rsidRPr="007F1682">
              <w:rPr>
                <w:rFonts w:eastAsiaTheme="minorEastAsia"/>
                <w:noProof/>
                <w:kern w:val="2"/>
                <w:sz w:val="24"/>
                <w:szCs w:val="24"/>
                <w:lang w:val="en-DE" w:eastAsia="en-DE"/>
              </w:rPr>
              <w:tab/>
            </w:r>
            <w:r w:rsidRPr="00562140">
              <w:rPr>
                <w:rStyle w:val="Hyperlink"/>
                <w:noProof/>
                <w:lang w:val="en-US"/>
              </w:rPr>
              <w:t>Baseline diagnostics plots used for calibration checks</w:t>
            </w:r>
            <w:r>
              <w:rPr>
                <w:noProof/>
                <w:webHidden/>
              </w:rPr>
              <w:tab/>
            </w:r>
            <w:r>
              <w:rPr>
                <w:noProof/>
                <w:webHidden/>
              </w:rPr>
              <w:fldChar w:fldCharType="begin"/>
            </w:r>
            <w:r>
              <w:rPr>
                <w:noProof/>
                <w:webHidden/>
              </w:rPr>
              <w:instrText xml:space="preserve"> PAGEREF _Toc235867064 \h </w:instrText>
            </w:r>
            <w:r>
              <w:rPr>
                <w:noProof/>
                <w:webHidden/>
              </w:rPr>
            </w:r>
            <w:r>
              <w:rPr>
                <w:noProof/>
                <w:webHidden/>
              </w:rPr>
              <w:fldChar w:fldCharType="separate"/>
            </w:r>
            <w:r>
              <w:rPr>
                <w:noProof/>
                <w:webHidden/>
              </w:rPr>
              <w:t>11</w:t>
            </w:r>
            <w:r>
              <w:rPr>
                <w:noProof/>
                <w:webHidden/>
              </w:rPr>
              <w:fldChar w:fldCharType="end"/>
            </w:r>
          </w:hyperlink>
        </w:p>
        <w:p w14:paraId="7C3EAB79" w14:textId="2EF021C4" w:rsidR="007F1682" w:rsidRPr="007F1682" w:rsidRDefault="007F1682">
          <w:pPr>
            <w:pStyle w:val="TOC1"/>
            <w:rPr>
              <w:rFonts w:eastAsiaTheme="minorEastAsia"/>
              <w:b w:val="0"/>
              <w:kern w:val="2"/>
              <w:sz w:val="24"/>
              <w:szCs w:val="24"/>
              <w:lang w:val="en-DE" w:eastAsia="en-DE"/>
            </w:rPr>
          </w:pPr>
          <w:hyperlink w:anchor="_Toc235867065" w:history="1">
            <w:r w:rsidRPr="00562140">
              <w:rPr>
                <w:rStyle w:val="Hyperlink"/>
              </w:rPr>
              <w:t>6</w:t>
            </w:r>
            <w:r w:rsidRPr="007F1682">
              <w:rPr>
                <w:rFonts w:eastAsiaTheme="minorEastAsia"/>
                <w:b w:val="0"/>
                <w:kern w:val="2"/>
                <w:sz w:val="24"/>
                <w:szCs w:val="24"/>
                <w:lang w:val="en-DE" w:eastAsia="en-DE"/>
              </w:rPr>
              <w:tab/>
            </w:r>
            <w:r w:rsidRPr="00562140">
              <w:rPr>
                <w:rStyle w:val="Hyperlink"/>
              </w:rPr>
              <w:t>Solution Method</w:t>
            </w:r>
            <w:r>
              <w:rPr>
                <w:webHidden/>
              </w:rPr>
              <w:tab/>
            </w:r>
            <w:r>
              <w:rPr>
                <w:webHidden/>
              </w:rPr>
              <w:fldChar w:fldCharType="begin"/>
            </w:r>
            <w:r>
              <w:rPr>
                <w:webHidden/>
              </w:rPr>
              <w:instrText xml:space="preserve"> PAGEREF _Toc235867065 \h </w:instrText>
            </w:r>
            <w:r>
              <w:rPr>
                <w:webHidden/>
              </w:rPr>
            </w:r>
            <w:r>
              <w:rPr>
                <w:webHidden/>
              </w:rPr>
              <w:fldChar w:fldCharType="separate"/>
            </w:r>
            <w:r>
              <w:rPr>
                <w:webHidden/>
              </w:rPr>
              <w:t>15</w:t>
            </w:r>
            <w:r>
              <w:rPr>
                <w:webHidden/>
              </w:rPr>
              <w:fldChar w:fldCharType="end"/>
            </w:r>
          </w:hyperlink>
        </w:p>
        <w:p w14:paraId="0B454C07" w14:textId="7C5DFCB9" w:rsidR="007F1682" w:rsidRPr="007F1682" w:rsidRDefault="007F1682">
          <w:pPr>
            <w:pStyle w:val="TOC2"/>
            <w:rPr>
              <w:rFonts w:eastAsiaTheme="minorEastAsia"/>
              <w:noProof/>
              <w:kern w:val="2"/>
              <w:sz w:val="24"/>
              <w:szCs w:val="24"/>
              <w:lang w:val="en-DE" w:eastAsia="en-DE"/>
            </w:rPr>
          </w:pPr>
          <w:hyperlink w:anchor="_Toc235867066" w:history="1">
            <w:r w:rsidRPr="00562140">
              <w:rPr>
                <w:rStyle w:val="Hyperlink"/>
                <w:noProof/>
              </w:rPr>
              <w:t>6.1</w:t>
            </w:r>
            <w:r w:rsidRPr="007F1682">
              <w:rPr>
                <w:rFonts w:eastAsiaTheme="minorEastAsia"/>
                <w:noProof/>
                <w:kern w:val="2"/>
                <w:sz w:val="24"/>
                <w:szCs w:val="24"/>
                <w:lang w:val="en-DE" w:eastAsia="en-DE"/>
              </w:rPr>
              <w:tab/>
            </w:r>
            <w:r w:rsidRPr="00562140">
              <w:rPr>
                <w:rStyle w:val="Hyperlink"/>
                <w:noProof/>
              </w:rPr>
              <w:t>Dynare perfect-foresight solving</w:t>
            </w:r>
            <w:r>
              <w:rPr>
                <w:noProof/>
                <w:webHidden/>
              </w:rPr>
              <w:tab/>
            </w:r>
            <w:r>
              <w:rPr>
                <w:noProof/>
                <w:webHidden/>
              </w:rPr>
              <w:fldChar w:fldCharType="begin"/>
            </w:r>
            <w:r>
              <w:rPr>
                <w:noProof/>
                <w:webHidden/>
              </w:rPr>
              <w:instrText xml:space="preserve"> PAGEREF _Toc235867066 \h </w:instrText>
            </w:r>
            <w:r>
              <w:rPr>
                <w:noProof/>
                <w:webHidden/>
              </w:rPr>
            </w:r>
            <w:r>
              <w:rPr>
                <w:noProof/>
                <w:webHidden/>
              </w:rPr>
              <w:fldChar w:fldCharType="separate"/>
            </w:r>
            <w:r>
              <w:rPr>
                <w:noProof/>
                <w:webHidden/>
              </w:rPr>
              <w:t>15</w:t>
            </w:r>
            <w:r>
              <w:rPr>
                <w:noProof/>
                <w:webHidden/>
              </w:rPr>
              <w:fldChar w:fldCharType="end"/>
            </w:r>
          </w:hyperlink>
        </w:p>
        <w:p w14:paraId="7C8260D0" w14:textId="0DED44A8" w:rsidR="007F1682" w:rsidRPr="007F1682" w:rsidRDefault="007F1682">
          <w:pPr>
            <w:pStyle w:val="TOC2"/>
            <w:rPr>
              <w:rFonts w:eastAsiaTheme="minorEastAsia"/>
              <w:noProof/>
              <w:kern w:val="2"/>
              <w:sz w:val="24"/>
              <w:szCs w:val="24"/>
              <w:lang w:val="en-DE" w:eastAsia="en-DE"/>
            </w:rPr>
          </w:pPr>
          <w:hyperlink w:anchor="_Toc235867067" w:history="1">
            <w:r w:rsidRPr="00562140">
              <w:rPr>
                <w:rStyle w:val="Hyperlink"/>
                <w:noProof/>
              </w:rPr>
              <w:t>6.2</w:t>
            </w:r>
            <w:r w:rsidRPr="007F1682">
              <w:rPr>
                <w:rFonts w:eastAsiaTheme="minorEastAsia"/>
                <w:noProof/>
                <w:kern w:val="2"/>
                <w:sz w:val="24"/>
                <w:szCs w:val="24"/>
                <w:lang w:val="en-DE" w:eastAsia="en-DE"/>
              </w:rPr>
              <w:tab/>
            </w:r>
            <w:r w:rsidRPr="00562140">
              <w:rPr>
                <w:rStyle w:val="Hyperlink"/>
                <w:noProof/>
              </w:rPr>
              <w:t>Steady-state / calibration pipeline</w:t>
            </w:r>
            <w:r>
              <w:rPr>
                <w:noProof/>
                <w:webHidden/>
              </w:rPr>
              <w:tab/>
            </w:r>
            <w:r>
              <w:rPr>
                <w:noProof/>
                <w:webHidden/>
              </w:rPr>
              <w:fldChar w:fldCharType="begin"/>
            </w:r>
            <w:r>
              <w:rPr>
                <w:noProof/>
                <w:webHidden/>
              </w:rPr>
              <w:instrText xml:space="preserve"> PAGEREF _Toc235867067 \h </w:instrText>
            </w:r>
            <w:r>
              <w:rPr>
                <w:noProof/>
                <w:webHidden/>
              </w:rPr>
            </w:r>
            <w:r>
              <w:rPr>
                <w:noProof/>
                <w:webHidden/>
              </w:rPr>
              <w:fldChar w:fldCharType="separate"/>
            </w:r>
            <w:r>
              <w:rPr>
                <w:noProof/>
                <w:webHidden/>
              </w:rPr>
              <w:t>16</w:t>
            </w:r>
            <w:r>
              <w:rPr>
                <w:noProof/>
                <w:webHidden/>
              </w:rPr>
              <w:fldChar w:fldCharType="end"/>
            </w:r>
          </w:hyperlink>
        </w:p>
        <w:p w14:paraId="30C8F536" w14:textId="70B78D55" w:rsidR="007F1682" w:rsidRPr="007F1682" w:rsidRDefault="007F1682">
          <w:pPr>
            <w:pStyle w:val="TOC2"/>
            <w:rPr>
              <w:rFonts w:eastAsiaTheme="minorEastAsia"/>
              <w:noProof/>
              <w:kern w:val="2"/>
              <w:sz w:val="24"/>
              <w:szCs w:val="24"/>
              <w:lang w:val="en-DE" w:eastAsia="en-DE"/>
            </w:rPr>
          </w:pPr>
          <w:hyperlink w:anchor="_Toc235867068" w:history="1">
            <w:r w:rsidRPr="00562140">
              <w:rPr>
                <w:rStyle w:val="Hyperlink"/>
                <w:noProof/>
              </w:rPr>
              <w:t>6.3</w:t>
            </w:r>
            <w:r w:rsidRPr="007F1682">
              <w:rPr>
                <w:rFonts w:eastAsiaTheme="minorEastAsia"/>
                <w:noProof/>
                <w:kern w:val="2"/>
                <w:sz w:val="24"/>
                <w:szCs w:val="24"/>
                <w:lang w:val="en-DE" w:eastAsia="en-DE"/>
              </w:rPr>
              <w:tab/>
            </w:r>
            <w:r w:rsidRPr="00562140">
              <w:rPr>
                <w:rStyle w:val="Hyperlink"/>
                <w:noProof/>
              </w:rPr>
              <w:t>Simulation</w:t>
            </w:r>
            <w:r>
              <w:rPr>
                <w:noProof/>
                <w:webHidden/>
              </w:rPr>
              <w:tab/>
            </w:r>
            <w:r>
              <w:rPr>
                <w:noProof/>
                <w:webHidden/>
              </w:rPr>
              <w:fldChar w:fldCharType="begin"/>
            </w:r>
            <w:r>
              <w:rPr>
                <w:noProof/>
                <w:webHidden/>
              </w:rPr>
              <w:instrText xml:space="preserve"> PAGEREF _Toc235867068 \h </w:instrText>
            </w:r>
            <w:r>
              <w:rPr>
                <w:noProof/>
                <w:webHidden/>
              </w:rPr>
            </w:r>
            <w:r>
              <w:rPr>
                <w:noProof/>
                <w:webHidden/>
              </w:rPr>
              <w:fldChar w:fldCharType="separate"/>
            </w:r>
            <w:r>
              <w:rPr>
                <w:noProof/>
                <w:webHidden/>
              </w:rPr>
              <w:t>16</w:t>
            </w:r>
            <w:r>
              <w:rPr>
                <w:noProof/>
                <w:webHidden/>
              </w:rPr>
              <w:fldChar w:fldCharType="end"/>
            </w:r>
          </w:hyperlink>
        </w:p>
        <w:p w14:paraId="2873F6F4" w14:textId="7880D9E6" w:rsidR="007F1682" w:rsidRPr="007F1682" w:rsidRDefault="007F1682">
          <w:pPr>
            <w:pStyle w:val="TOC2"/>
            <w:rPr>
              <w:rFonts w:eastAsiaTheme="minorEastAsia"/>
              <w:noProof/>
              <w:kern w:val="2"/>
              <w:sz w:val="24"/>
              <w:szCs w:val="24"/>
              <w:lang w:val="en-DE" w:eastAsia="en-DE"/>
            </w:rPr>
          </w:pPr>
          <w:hyperlink w:anchor="_Toc235867069" w:history="1">
            <w:r w:rsidRPr="00562140">
              <w:rPr>
                <w:rStyle w:val="Hyperlink"/>
                <w:noProof/>
              </w:rPr>
              <w:t>6.4</w:t>
            </w:r>
            <w:r w:rsidRPr="007F1682">
              <w:rPr>
                <w:rFonts w:eastAsiaTheme="minorEastAsia"/>
                <w:noProof/>
                <w:kern w:val="2"/>
                <w:sz w:val="24"/>
                <w:szCs w:val="24"/>
                <w:lang w:val="en-DE" w:eastAsia="en-DE"/>
              </w:rPr>
              <w:tab/>
            </w:r>
            <w:r w:rsidRPr="00562140">
              <w:rPr>
                <w:rStyle w:val="Hyperlink"/>
                <w:noProof/>
              </w:rPr>
              <w:t>Verification approach</w:t>
            </w:r>
            <w:r>
              <w:rPr>
                <w:noProof/>
                <w:webHidden/>
              </w:rPr>
              <w:tab/>
            </w:r>
            <w:r>
              <w:rPr>
                <w:noProof/>
                <w:webHidden/>
              </w:rPr>
              <w:fldChar w:fldCharType="begin"/>
            </w:r>
            <w:r>
              <w:rPr>
                <w:noProof/>
                <w:webHidden/>
              </w:rPr>
              <w:instrText xml:space="preserve"> PAGEREF _Toc235867069 \h </w:instrText>
            </w:r>
            <w:r>
              <w:rPr>
                <w:noProof/>
                <w:webHidden/>
              </w:rPr>
            </w:r>
            <w:r>
              <w:rPr>
                <w:noProof/>
                <w:webHidden/>
              </w:rPr>
              <w:fldChar w:fldCharType="separate"/>
            </w:r>
            <w:r>
              <w:rPr>
                <w:noProof/>
                <w:webHidden/>
              </w:rPr>
              <w:t>16</w:t>
            </w:r>
            <w:r>
              <w:rPr>
                <w:noProof/>
                <w:webHidden/>
              </w:rPr>
              <w:fldChar w:fldCharType="end"/>
            </w:r>
          </w:hyperlink>
        </w:p>
        <w:p w14:paraId="03D5BC6C" w14:textId="27EDC8C7" w:rsidR="007F1682" w:rsidRPr="007F1682" w:rsidRDefault="007F1682">
          <w:pPr>
            <w:pStyle w:val="TOC1"/>
            <w:rPr>
              <w:rFonts w:eastAsiaTheme="minorEastAsia"/>
              <w:b w:val="0"/>
              <w:kern w:val="2"/>
              <w:sz w:val="24"/>
              <w:szCs w:val="24"/>
              <w:lang w:val="en-DE" w:eastAsia="en-DE"/>
            </w:rPr>
          </w:pPr>
          <w:hyperlink w:anchor="_Toc235867070" w:history="1">
            <w:r w:rsidRPr="00562140">
              <w:rPr>
                <w:rStyle w:val="Hyperlink"/>
              </w:rPr>
              <w:t>7</w:t>
            </w:r>
            <w:r w:rsidRPr="007F1682">
              <w:rPr>
                <w:rFonts w:eastAsiaTheme="minorEastAsia"/>
                <w:b w:val="0"/>
                <w:kern w:val="2"/>
                <w:sz w:val="24"/>
                <w:szCs w:val="24"/>
                <w:lang w:val="en-DE" w:eastAsia="en-DE"/>
              </w:rPr>
              <w:tab/>
            </w:r>
            <w:r w:rsidRPr="00562140">
              <w:rPr>
                <w:rStyle w:val="Hyperlink"/>
              </w:rPr>
              <w:t>Scenario Design Framework</w:t>
            </w:r>
            <w:r>
              <w:rPr>
                <w:webHidden/>
              </w:rPr>
              <w:tab/>
            </w:r>
            <w:r>
              <w:rPr>
                <w:webHidden/>
              </w:rPr>
              <w:fldChar w:fldCharType="begin"/>
            </w:r>
            <w:r>
              <w:rPr>
                <w:webHidden/>
              </w:rPr>
              <w:instrText xml:space="preserve"> PAGEREF _Toc235867070 \h </w:instrText>
            </w:r>
            <w:r>
              <w:rPr>
                <w:webHidden/>
              </w:rPr>
            </w:r>
            <w:r>
              <w:rPr>
                <w:webHidden/>
              </w:rPr>
              <w:fldChar w:fldCharType="separate"/>
            </w:r>
            <w:r>
              <w:rPr>
                <w:webHidden/>
              </w:rPr>
              <w:t>17</w:t>
            </w:r>
            <w:r>
              <w:rPr>
                <w:webHidden/>
              </w:rPr>
              <w:fldChar w:fldCharType="end"/>
            </w:r>
          </w:hyperlink>
        </w:p>
        <w:p w14:paraId="39AA1D2D" w14:textId="6D4F26B5" w:rsidR="007F1682" w:rsidRPr="007F1682" w:rsidRDefault="007F1682">
          <w:pPr>
            <w:pStyle w:val="TOC2"/>
            <w:rPr>
              <w:rFonts w:eastAsiaTheme="minorEastAsia"/>
              <w:noProof/>
              <w:kern w:val="2"/>
              <w:sz w:val="24"/>
              <w:szCs w:val="24"/>
              <w:lang w:val="en-DE" w:eastAsia="en-DE"/>
            </w:rPr>
          </w:pPr>
          <w:hyperlink w:anchor="_Toc235867071" w:history="1">
            <w:r w:rsidRPr="00562140">
              <w:rPr>
                <w:rStyle w:val="Hyperlink"/>
                <w:noProof/>
              </w:rPr>
              <w:t>7.1</w:t>
            </w:r>
            <w:r w:rsidRPr="007F1682">
              <w:rPr>
                <w:rFonts w:eastAsiaTheme="minorEastAsia"/>
                <w:noProof/>
                <w:kern w:val="2"/>
                <w:sz w:val="24"/>
                <w:szCs w:val="24"/>
                <w:lang w:val="en-DE" w:eastAsia="en-DE"/>
              </w:rPr>
              <w:tab/>
            </w:r>
            <w:r w:rsidRPr="00562140">
              <w:rPr>
                <w:rStyle w:val="Hyperlink"/>
                <w:noProof/>
              </w:rPr>
              <w:t>Nested-counterfactual logic</w:t>
            </w:r>
            <w:r>
              <w:rPr>
                <w:noProof/>
                <w:webHidden/>
              </w:rPr>
              <w:tab/>
            </w:r>
            <w:r>
              <w:rPr>
                <w:noProof/>
                <w:webHidden/>
              </w:rPr>
              <w:fldChar w:fldCharType="begin"/>
            </w:r>
            <w:r>
              <w:rPr>
                <w:noProof/>
                <w:webHidden/>
              </w:rPr>
              <w:instrText xml:space="preserve"> PAGEREF _Toc235867071 \h </w:instrText>
            </w:r>
            <w:r>
              <w:rPr>
                <w:noProof/>
                <w:webHidden/>
              </w:rPr>
            </w:r>
            <w:r>
              <w:rPr>
                <w:noProof/>
                <w:webHidden/>
              </w:rPr>
              <w:fldChar w:fldCharType="separate"/>
            </w:r>
            <w:r>
              <w:rPr>
                <w:noProof/>
                <w:webHidden/>
              </w:rPr>
              <w:t>17</w:t>
            </w:r>
            <w:r>
              <w:rPr>
                <w:noProof/>
                <w:webHidden/>
              </w:rPr>
              <w:fldChar w:fldCharType="end"/>
            </w:r>
          </w:hyperlink>
        </w:p>
        <w:p w14:paraId="4E2E2C0D" w14:textId="04AC5A24" w:rsidR="007F1682" w:rsidRPr="007F1682" w:rsidRDefault="007F1682">
          <w:pPr>
            <w:pStyle w:val="TOC2"/>
            <w:rPr>
              <w:rFonts w:eastAsiaTheme="minorEastAsia"/>
              <w:noProof/>
              <w:kern w:val="2"/>
              <w:sz w:val="24"/>
              <w:szCs w:val="24"/>
              <w:lang w:val="en-DE" w:eastAsia="en-DE"/>
            </w:rPr>
          </w:pPr>
          <w:hyperlink w:anchor="_Toc235867072" w:history="1">
            <w:r w:rsidRPr="00562140">
              <w:rPr>
                <w:rStyle w:val="Hyperlink"/>
                <w:noProof/>
              </w:rPr>
              <w:t>7.2</w:t>
            </w:r>
            <w:r w:rsidRPr="007F1682">
              <w:rPr>
                <w:rFonts w:eastAsiaTheme="minorEastAsia"/>
                <w:noProof/>
                <w:kern w:val="2"/>
                <w:sz w:val="24"/>
                <w:szCs w:val="24"/>
                <w:lang w:val="en-DE" w:eastAsia="en-DE"/>
              </w:rPr>
              <w:tab/>
            </w:r>
            <w:r w:rsidRPr="00562140">
              <w:rPr>
                <w:rStyle w:val="Hyperlink"/>
                <w:noProof/>
              </w:rPr>
              <w:t>Net-Zero decomposition</w:t>
            </w:r>
            <w:r>
              <w:rPr>
                <w:noProof/>
                <w:webHidden/>
              </w:rPr>
              <w:tab/>
            </w:r>
            <w:r>
              <w:rPr>
                <w:noProof/>
                <w:webHidden/>
              </w:rPr>
              <w:fldChar w:fldCharType="begin"/>
            </w:r>
            <w:r>
              <w:rPr>
                <w:noProof/>
                <w:webHidden/>
              </w:rPr>
              <w:instrText xml:space="preserve"> PAGEREF _Toc235867072 \h </w:instrText>
            </w:r>
            <w:r>
              <w:rPr>
                <w:noProof/>
                <w:webHidden/>
              </w:rPr>
            </w:r>
            <w:r>
              <w:rPr>
                <w:noProof/>
                <w:webHidden/>
              </w:rPr>
              <w:fldChar w:fldCharType="separate"/>
            </w:r>
            <w:r>
              <w:rPr>
                <w:noProof/>
                <w:webHidden/>
              </w:rPr>
              <w:t>17</w:t>
            </w:r>
            <w:r>
              <w:rPr>
                <w:noProof/>
                <w:webHidden/>
              </w:rPr>
              <w:fldChar w:fldCharType="end"/>
            </w:r>
          </w:hyperlink>
        </w:p>
        <w:p w14:paraId="5C5CCD5B" w14:textId="30121ADF" w:rsidR="007F1682" w:rsidRPr="007F1682" w:rsidRDefault="007F1682">
          <w:pPr>
            <w:pStyle w:val="TOC2"/>
            <w:rPr>
              <w:rFonts w:eastAsiaTheme="minorEastAsia"/>
              <w:noProof/>
              <w:kern w:val="2"/>
              <w:sz w:val="24"/>
              <w:szCs w:val="24"/>
              <w:lang w:val="en-DE" w:eastAsia="en-DE"/>
            </w:rPr>
          </w:pPr>
          <w:hyperlink w:anchor="_Toc235867073" w:history="1">
            <w:r w:rsidRPr="00562140">
              <w:rPr>
                <w:rStyle w:val="Hyperlink"/>
                <w:noProof/>
                <w:lang w:val="en-US"/>
              </w:rPr>
              <w:t>7.3</w:t>
            </w:r>
            <w:r w:rsidRPr="007F1682">
              <w:rPr>
                <w:rFonts w:eastAsiaTheme="minorEastAsia"/>
                <w:noProof/>
                <w:kern w:val="2"/>
                <w:sz w:val="24"/>
                <w:szCs w:val="24"/>
                <w:lang w:val="en-DE" w:eastAsia="en-DE"/>
              </w:rPr>
              <w:tab/>
            </w:r>
            <w:r w:rsidRPr="00562140">
              <w:rPr>
                <w:rStyle w:val="Hyperlink"/>
                <w:noProof/>
                <w:lang w:val="en-US"/>
              </w:rPr>
              <w:t>Green finance as a reduced-form cost-of-capital shock</w:t>
            </w:r>
            <w:r>
              <w:rPr>
                <w:noProof/>
                <w:webHidden/>
              </w:rPr>
              <w:tab/>
            </w:r>
            <w:r>
              <w:rPr>
                <w:noProof/>
                <w:webHidden/>
              </w:rPr>
              <w:fldChar w:fldCharType="begin"/>
            </w:r>
            <w:r>
              <w:rPr>
                <w:noProof/>
                <w:webHidden/>
              </w:rPr>
              <w:instrText xml:space="preserve"> PAGEREF _Toc235867073 \h </w:instrText>
            </w:r>
            <w:r>
              <w:rPr>
                <w:noProof/>
                <w:webHidden/>
              </w:rPr>
            </w:r>
            <w:r>
              <w:rPr>
                <w:noProof/>
                <w:webHidden/>
              </w:rPr>
              <w:fldChar w:fldCharType="separate"/>
            </w:r>
            <w:r>
              <w:rPr>
                <w:noProof/>
                <w:webHidden/>
              </w:rPr>
              <w:t>17</w:t>
            </w:r>
            <w:r>
              <w:rPr>
                <w:noProof/>
                <w:webHidden/>
              </w:rPr>
              <w:fldChar w:fldCharType="end"/>
            </w:r>
          </w:hyperlink>
        </w:p>
        <w:p w14:paraId="6F3F05B4" w14:textId="589110FB" w:rsidR="007F1682" w:rsidRPr="007F1682" w:rsidRDefault="007F1682">
          <w:pPr>
            <w:pStyle w:val="TOC2"/>
            <w:rPr>
              <w:rFonts w:eastAsiaTheme="minorEastAsia"/>
              <w:noProof/>
              <w:kern w:val="2"/>
              <w:sz w:val="24"/>
              <w:szCs w:val="24"/>
              <w:lang w:val="en-DE" w:eastAsia="en-DE"/>
            </w:rPr>
          </w:pPr>
          <w:hyperlink w:anchor="_Toc235867074" w:history="1">
            <w:r w:rsidRPr="00562140">
              <w:rPr>
                <w:rStyle w:val="Hyperlink"/>
                <w:noProof/>
                <w:lang w:val="en-US"/>
              </w:rPr>
              <w:t>7.4</w:t>
            </w:r>
            <w:r w:rsidRPr="007F1682">
              <w:rPr>
                <w:rFonts w:eastAsiaTheme="minorEastAsia"/>
                <w:noProof/>
                <w:kern w:val="2"/>
                <w:sz w:val="24"/>
                <w:szCs w:val="24"/>
                <w:lang w:val="en-DE" w:eastAsia="en-DE"/>
              </w:rPr>
              <w:tab/>
            </w:r>
            <w:r w:rsidRPr="00562140">
              <w:rPr>
                <w:rStyle w:val="Hyperlink"/>
                <w:noProof/>
                <w:lang w:val="en-US"/>
              </w:rPr>
              <w:t>Operational status vs. scenario capability</w:t>
            </w:r>
            <w:r>
              <w:rPr>
                <w:noProof/>
                <w:webHidden/>
              </w:rPr>
              <w:tab/>
            </w:r>
            <w:r>
              <w:rPr>
                <w:noProof/>
                <w:webHidden/>
              </w:rPr>
              <w:fldChar w:fldCharType="begin"/>
            </w:r>
            <w:r>
              <w:rPr>
                <w:noProof/>
                <w:webHidden/>
              </w:rPr>
              <w:instrText xml:space="preserve"> PAGEREF _Toc235867074 \h </w:instrText>
            </w:r>
            <w:r>
              <w:rPr>
                <w:noProof/>
                <w:webHidden/>
              </w:rPr>
            </w:r>
            <w:r>
              <w:rPr>
                <w:noProof/>
                <w:webHidden/>
              </w:rPr>
              <w:fldChar w:fldCharType="separate"/>
            </w:r>
            <w:r>
              <w:rPr>
                <w:noProof/>
                <w:webHidden/>
              </w:rPr>
              <w:t>18</w:t>
            </w:r>
            <w:r>
              <w:rPr>
                <w:noProof/>
                <w:webHidden/>
              </w:rPr>
              <w:fldChar w:fldCharType="end"/>
            </w:r>
          </w:hyperlink>
        </w:p>
        <w:p w14:paraId="5FCACEF0" w14:textId="0ED08B30" w:rsidR="007F1682" w:rsidRPr="007F1682" w:rsidRDefault="007F1682">
          <w:pPr>
            <w:pStyle w:val="TOC2"/>
            <w:rPr>
              <w:rFonts w:eastAsiaTheme="minorEastAsia"/>
              <w:noProof/>
              <w:kern w:val="2"/>
              <w:sz w:val="24"/>
              <w:szCs w:val="24"/>
              <w:lang w:val="en-DE" w:eastAsia="en-DE"/>
            </w:rPr>
          </w:pPr>
          <w:hyperlink w:anchor="_Toc235867075" w:history="1">
            <w:r w:rsidRPr="00562140">
              <w:rPr>
                <w:rStyle w:val="Hyperlink"/>
                <w:noProof/>
              </w:rPr>
              <w:t>7.5</w:t>
            </w:r>
            <w:r w:rsidRPr="007F1682">
              <w:rPr>
                <w:rFonts w:eastAsiaTheme="minorEastAsia"/>
                <w:noProof/>
                <w:kern w:val="2"/>
                <w:sz w:val="24"/>
                <w:szCs w:val="24"/>
                <w:lang w:val="en-DE" w:eastAsia="en-DE"/>
              </w:rPr>
              <w:tab/>
            </w:r>
            <w:r w:rsidRPr="00562140">
              <w:rPr>
                <w:rStyle w:val="Hyperlink"/>
                <w:noProof/>
              </w:rPr>
              <w:t>EE scenario reporting figures</w:t>
            </w:r>
            <w:r>
              <w:rPr>
                <w:noProof/>
                <w:webHidden/>
              </w:rPr>
              <w:tab/>
            </w:r>
            <w:r>
              <w:rPr>
                <w:noProof/>
                <w:webHidden/>
              </w:rPr>
              <w:fldChar w:fldCharType="begin"/>
            </w:r>
            <w:r>
              <w:rPr>
                <w:noProof/>
                <w:webHidden/>
              </w:rPr>
              <w:instrText xml:space="preserve"> PAGEREF _Toc235867075 \h </w:instrText>
            </w:r>
            <w:r>
              <w:rPr>
                <w:noProof/>
                <w:webHidden/>
              </w:rPr>
            </w:r>
            <w:r>
              <w:rPr>
                <w:noProof/>
                <w:webHidden/>
              </w:rPr>
              <w:fldChar w:fldCharType="separate"/>
            </w:r>
            <w:r>
              <w:rPr>
                <w:noProof/>
                <w:webHidden/>
              </w:rPr>
              <w:t>18</w:t>
            </w:r>
            <w:r>
              <w:rPr>
                <w:noProof/>
                <w:webHidden/>
              </w:rPr>
              <w:fldChar w:fldCharType="end"/>
            </w:r>
          </w:hyperlink>
        </w:p>
        <w:p w14:paraId="0271B378" w14:textId="3483A3D3" w:rsidR="007F1682" w:rsidRPr="007F1682" w:rsidRDefault="007F1682">
          <w:pPr>
            <w:pStyle w:val="TOC2"/>
            <w:rPr>
              <w:rFonts w:eastAsiaTheme="minorEastAsia"/>
              <w:noProof/>
              <w:kern w:val="2"/>
              <w:sz w:val="24"/>
              <w:szCs w:val="24"/>
              <w:lang w:val="en-DE" w:eastAsia="en-DE"/>
            </w:rPr>
          </w:pPr>
          <w:hyperlink w:anchor="_Toc235867076" w:history="1">
            <w:r w:rsidRPr="00562140">
              <w:rPr>
                <w:rStyle w:val="Hyperlink"/>
                <w:noProof/>
                <w:lang w:val="en-US"/>
              </w:rPr>
              <w:t>7.6</w:t>
            </w:r>
            <w:r w:rsidRPr="007F1682">
              <w:rPr>
                <w:rFonts w:eastAsiaTheme="minorEastAsia"/>
                <w:noProof/>
                <w:kern w:val="2"/>
                <w:sz w:val="24"/>
                <w:szCs w:val="24"/>
                <w:lang w:val="en-DE" w:eastAsia="en-DE"/>
              </w:rPr>
              <w:tab/>
            </w:r>
            <w:r w:rsidRPr="00562140">
              <w:rPr>
                <w:rStyle w:val="Hyperlink"/>
                <w:noProof/>
                <w:lang w:val="en-US"/>
              </w:rPr>
              <w:t>Green finance scenario reporting figures</w:t>
            </w:r>
            <w:r>
              <w:rPr>
                <w:noProof/>
                <w:webHidden/>
              </w:rPr>
              <w:tab/>
            </w:r>
            <w:r>
              <w:rPr>
                <w:noProof/>
                <w:webHidden/>
              </w:rPr>
              <w:fldChar w:fldCharType="begin"/>
            </w:r>
            <w:r>
              <w:rPr>
                <w:noProof/>
                <w:webHidden/>
              </w:rPr>
              <w:instrText xml:space="preserve"> PAGEREF _Toc235867076 \h </w:instrText>
            </w:r>
            <w:r>
              <w:rPr>
                <w:noProof/>
                <w:webHidden/>
              </w:rPr>
            </w:r>
            <w:r>
              <w:rPr>
                <w:noProof/>
                <w:webHidden/>
              </w:rPr>
              <w:fldChar w:fldCharType="separate"/>
            </w:r>
            <w:r>
              <w:rPr>
                <w:noProof/>
                <w:webHidden/>
              </w:rPr>
              <w:t>23</w:t>
            </w:r>
            <w:r>
              <w:rPr>
                <w:noProof/>
                <w:webHidden/>
              </w:rPr>
              <w:fldChar w:fldCharType="end"/>
            </w:r>
          </w:hyperlink>
        </w:p>
        <w:p w14:paraId="5EFEB3BF" w14:textId="1AD7D150" w:rsidR="007F1682" w:rsidRPr="007F1682" w:rsidRDefault="007F1682">
          <w:pPr>
            <w:pStyle w:val="TOC1"/>
            <w:rPr>
              <w:rFonts w:eastAsiaTheme="minorEastAsia"/>
              <w:b w:val="0"/>
              <w:kern w:val="2"/>
              <w:sz w:val="24"/>
              <w:szCs w:val="24"/>
              <w:lang w:val="en-DE" w:eastAsia="en-DE"/>
            </w:rPr>
          </w:pPr>
          <w:hyperlink w:anchor="_Toc235867077" w:history="1">
            <w:r w:rsidRPr="00562140">
              <w:rPr>
                <w:rStyle w:val="Hyperlink"/>
                <w:lang w:val="en-US"/>
              </w:rPr>
              <w:t>8</w:t>
            </w:r>
            <w:r w:rsidRPr="007F1682">
              <w:rPr>
                <w:rFonts w:eastAsiaTheme="minorEastAsia"/>
                <w:b w:val="0"/>
                <w:kern w:val="2"/>
                <w:sz w:val="24"/>
                <w:szCs w:val="24"/>
                <w:lang w:val="en-DE" w:eastAsia="en-DE"/>
              </w:rPr>
              <w:tab/>
            </w:r>
            <w:r w:rsidRPr="00562140">
              <w:rPr>
                <w:rStyle w:val="Hyperlink"/>
                <w:lang w:val="en-US"/>
              </w:rPr>
              <w:t>Limitations, Implementation Risks, and Interpretation Guidance</w:t>
            </w:r>
            <w:r>
              <w:rPr>
                <w:webHidden/>
              </w:rPr>
              <w:tab/>
            </w:r>
            <w:r>
              <w:rPr>
                <w:webHidden/>
              </w:rPr>
              <w:fldChar w:fldCharType="begin"/>
            </w:r>
            <w:r>
              <w:rPr>
                <w:webHidden/>
              </w:rPr>
              <w:instrText xml:space="preserve"> PAGEREF _Toc235867077 \h </w:instrText>
            </w:r>
            <w:r>
              <w:rPr>
                <w:webHidden/>
              </w:rPr>
            </w:r>
            <w:r>
              <w:rPr>
                <w:webHidden/>
              </w:rPr>
              <w:fldChar w:fldCharType="separate"/>
            </w:r>
            <w:r>
              <w:rPr>
                <w:webHidden/>
              </w:rPr>
              <w:t>29</w:t>
            </w:r>
            <w:r>
              <w:rPr>
                <w:webHidden/>
              </w:rPr>
              <w:fldChar w:fldCharType="end"/>
            </w:r>
          </w:hyperlink>
        </w:p>
        <w:p w14:paraId="6C428638" w14:textId="750AC807" w:rsidR="007F1682" w:rsidRPr="007F1682" w:rsidRDefault="007F1682">
          <w:pPr>
            <w:pStyle w:val="TOC1"/>
            <w:rPr>
              <w:rFonts w:eastAsiaTheme="minorEastAsia"/>
              <w:b w:val="0"/>
              <w:kern w:val="2"/>
              <w:sz w:val="24"/>
              <w:szCs w:val="24"/>
              <w:lang w:val="en-DE" w:eastAsia="en-DE"/>
            </w:rPr>
          </w:pPr>
          <w:hyperlink w:anchor="_Toc235867078" w:history="1">
            <w:r w:rsidRPr="00562140">
              <w:rPr>
                <w:rStyle w:val="Hyperlink"/>
              </w:rPr>
              <w:t>9</w:t>
            </w:r>
            <w:r w:rsidRPr="007F1682">
              <w:rPr>
                <w:rFonts w:eastAsiaTheme="minorEastAsia"/>
                <w:b w:val="0"/>
                <w:kern w:val="2"/>
                <w:sz w:val="24"/>
                <w:szCs w:val="24"/>
                <w:lang w:val="en-DE" w:eastAsia="en-DE"/>
              </w:rPr>
              <w:tab/>
            </w:r>
            <w:r w:rsidRPr="00562140">
              <w:rPr>
                <w:rStyle w:val="Hyperlink"/>
              </w:rPr>
              <w:t>Conclusion</w:t>
            </w:r>
            <w:r>
              <w:rPr>
                <w:webHidden/>
              </w:rPr>
              <w:tab/>
            </w:r>
            <w:r>
              <w:rPr>
                <w:webHidden/>
              </w:rPr>
              <w:fldChar w:fldCharType="begin"/>
            </w:r>
            <w:r>
              <w:rPr>
                <w:webHidden/>
              </w:rPr>
              <w:instrText xml:space="preserve"> PAGEREF _Toc235867078 \h </w:instrText>
            </w:r>
            <w:r>
              <w:rPr>
                <w:webHidden/>
              </w:rPr>
            </w:r>
            <w:r>
              <w:rPr>
                <w:webHidden/>
              </w:rPr>
              <w:fldChar w:fldCharType="separate"/>
            </w:r>
            <w:r>
              <w:rPr>
                <w:webHidden/>
              </w:rPr>
              <w:t>30</w:t>
            </w:r>
            <w:r>
              <w:rPr>
                <w:webHidden/>
              </w:rPr>
              <w:fldChar w:fldCharType="end"/>
            </w:r>
          </w:hyperlink>
        </w:p>
        <w:p w14:paraId="4F240F66" w14:textId="14650097" w:rsidR="007F1682" w:rsidRPr="007F1682" w:rsidRDefault="007F1682">
          <w:pPr>
            <w:pStyle w:val="TOC2"/>
            <w:rPr>
              <w:rFonts w:eastAsiaTheme="minorEastAsia"/>
              <w:noProof/>
              <w:kern w:val="2"/>
              <w:sz w:val="24"/>
              <w:szCs w:val="24"/>
              <w:lang w:val="en-DE" w:eastAsia="en-DE"/>
            </w:rPr>
          </w:pPr>
          <w:hyperlink w:anchor="_Toc235867079" w:history="1">
            <w:r w:rsidRPr="00562140">
              <w:rPr>
                <w:rStyle w:val="Hyperlink"/>
                <w:noProof/>
              </w:rPr>
              <w:t>9.1</w:t>
            </w:r>
            <w:r w:rsidRPr="007F1682">
              <w:rPr>
                <w:rFonts w:eastAsiaTheme="minorEastAsia"/>
                <w:noProof/>
                <w:kern w:val="2"/>
                <w:sz w:val="24"/>
                <w:szCs w:val="24"/>
                <w:lang w:val="en-DE" w:eastAsia="en-DE"/>
              </w:rPr>
              <w:tab/>
            </w:r>
            <w:r w:rsidRPr="00562140">
              <w:rPr>
                <w:rStyle w:val="Hyperlink"/>
                <w:noProof/>
              </w:rPr>
              <w:t>References</w:t>
            </w:r>
            <w:r>
              <w:rPr>
                <w:noProof/>
                <w:webHidden/>
              </w:rPr>
              <w:tab/>
            </w:r>
            <w:r>
              <w:rPr>
                <w:noProof/>
                <w:webHidden/>
              </w:rPr>
              <w:fldChar w:fldCharType="begin"/>
            </w:r>
            <w:r>
              <w:rPr>
                <w:noProof/>
                <w:webHidden/>
              </w:rPr>
              <w:instrText xml:space="preserve"> PAGEREF _Toc235867079 \h </w:instrText>
            </w:r>
            <w:r>
              <w:rPr>
                <w:noProof/>
                <w:webHidden/>
              </w:rPr>
            </w:r>
            <w:r>
              <w:rPr>
                <w:noProof/>
                <w:webHidden/>
              </w:rPr>
              <w:fldChar w:fldCharType="separate"/>
            </w:r>
            <w:r>
              <w:rPr>
                <w:noProof/>
                <w:webHidden/>
              </w:rPr>
              <w:t>30</w:t>
            </w:r>
            <w:r>
              <w:rPr>
                <w:noProof/>
                <w:webHidden/>
              </w:rPr>
              <w:fldChar w:fldCharType="end"/>
            </w:r>
          </w:hyperlink>
        </w:p>
        <w:p w14:paraId="356F9C0A" w14:textId="4B382117" w:rsidR="007F1682" w:rsidRPr="007F1682" w:rsidRDefault="007F1682">
          <w:pPr>
            <w:pStyle w:val="TOC1"/>
            <w:rPr>
              <w:rFonts w:eastAsiaTheme="minorEastAsia"/>
              <w:b w:val="0"/>
              <w:kern w:val="2"/>
              <w:sz w:val="24"/>
              <w:szCs w:val="24"/>
              <w:lang w:val="en-DE" w:eastAsia="en-DE"/>
            </w:rPr>
          </w:pPr>
          <w:hyperlink w:anchor="_Toc235867080" w:history="1">
            <w:r w:rsidRPr="00562140">
              <w:rPr>
                <w:rStyle w:val="Hyperlink"/>
                <w:lang w:val="en-US"/>
              </w:rPr>
              <w:t>A Technical Appendix</w:t>
            </w:r>
            <w:r>
              <w:rPr>
                <w:webHidden/>
              </w:rPr>
              <w:tab/>
            </w:r>
            <w:r>
              <w:rPr>
                <w:webHidden/>
              </w:rPr>
              <w:fldChar w:fldCharType="begin"/>
            </w:r>
            <w:r>
              <w:rPr>
                <w:webHidden/>
              </w:rPr>
              <w:instrText xml:space="preserve"> PAGEREF _Toc235867080 \h </w:instrText>
            </w:r>
            <w:r>
              <w:rPr>
                <w:webHidden/>
              </w:rPr>
            </w:r>
            <w:r>
              <w:rPr>
                <w:webHidden/>
              </w:rPr>
              <w:fldChar w:fldCharType="separate"/>
            </w:r>
            <w:r>
              <w:rPr>
                <w:webHidden/>
              </w:rPr>
              <w:t>30</w:t>
            </w:r>
            <w:r>
              <w:rPr>
                <w:webHidden/>
              </w:rPr>
              <w:fldChar w:fldCharType="end"/>
            </w:r>
          </w:hyperlink>
        </w:p>
        <w:p w14:paraId="15C1F943" w14:textId="7C82ABA2" w:rsidR="007F1682" w:rsidRPr="007F1682" w:rsidRDefault="007F1682">
          <w:pPr>
            <w:pStyle w:val="TOC2"/>
            <w:rPr>
              <w:rFonts w:eastAsiaTheme="minorEastAsia"/>
              <w:noProof/>
              <w:kern w:val="2"/>
              <w:sz w:val="24"/>
              <w:szCs w:val="24"/>
              <w:lang w:val="en-DE" w:eastAsia="en-DE"/>
            </w:rPr>
          </w:pPr>
          <w:hyperlink w:anchor="_Toc235867081" w:history="1">
            <w:r w:rsidRPr="00562140">
              <w:rPr>
                <w:rStyle w:val="Hyperlink"/>
                <w:noProof/>
                <w:lang w:val="en-US"/>
              </w:rPr>
              <w:t>A.1 Equation reference</w:t>
            </w:r>
            <w:r>
              <w:rPr>
                <w:noProof/>
                <w:webHidden/>
              </w:rPr>
              <w:tab/>
            </w:r>
            <w:r>
              <w:rPr>
                <w:noProof/>
                <w:webHidden/>
              </w:rPr>
              <w:fldChar w:fldCharType="begin"/>
            </w:r>
            <w:r>
              <w:rPr>
                <w:noProof/>
                <w:webHidden/>
              </w:rPr>
              <w:instrText xml:space="preserve"> PAGEREF _Toc235867081 \h </w:instrText>
            </w:r>
            <w:r>
              <w:rPr>
                <w:noProof/>
                <w:webHidden/>
              </w:rPr>
            </w:r>
            <w:r>
              <w:rPr>
                <w:noProof/>
                <w:webHidden/>
              </w:rPr>
              <w:fldChar w:fldCharType="separate"/>
            </w:r>
            <w:r>
              <w:rPr>
                <w:noProof/>
                <w:webHidden/>
              </w:rPr>
              <w:t>30</w:t>
            </w:r>
            <w:r>
              <w:rPr>
                <w:noProof/>
                <w:webHidden/>
              </w:rPr>
              <w:fldChar w:fldCharType="end"/>
            </w:r>
          </w:hyperlink>
        </w:p>
        <w:p w14:paraId="4D8439B5" w14:textId="5000B893" w:rsidR="007F1682" w:rsidRPr="007F1682" w:rsidRDefault="007F1682">
          <w:pPr>
            <w:pStyle w:val="TOC2"/>
            <w:rPr>
              <w:rFonts w:eastAsiaTheme="minorEastAsia"/>
              <w:noProof/>
              <w:kern w:val="2"/>
              <w:sz w:val="24"/>
              <w:szCs w:val="24"/>
              <w:lang w:val="en-DE" w:eastAsia="en-DE"/>
            </w:rPr>
          </w:pPr>
          <w:hyperlink w:anchor="_Toc235867082" w:history="1">
            <w:r w:rsidRPr="00562140">
              <w:rPr>
                <w:rStyle w:val="Hyperlink"/>
                <w:noProof/>
              </w:rPr>
              <w:t>A.2 Parameter reference</w:t>
            </w:r>
            <w:r>
              <w:rPr>
                <w:noProof/>
                <w:webHidden/>
              </w:rPr>
              <w:tab/>
            </w:r>
            <w:r>
              <w:rPr>
                <w:noProof/>
                <w:webHidden/>
              </w:rPr>
              <w:fldChar w:fldCharType="begin"/>
            </w:r>
            <w:r>
              <w:rPr>
                <w:noProof/>
                <w:webHidden/>
              </w:rPr>
              <w:instrText xml:space="preserve"> PAGEREF _Toc235867082 \h </w:instrText>
            </w:r>
            <w:r>
              <w:rPr>
                <w:noProof/>
                <w:webHidden/>
              </w:rPr>
            </w:r>
            <w:r>
              <w:rPr>
                <w:noProof/>
                <w:webHidden/>
              </w:rPr>
              <w:fldChar w:fldCharType="separate"/>
            </w:r>
            <w:r>
              <w:rPr>
                <w:noProof/>
                <w:webHidden/>
              </w:rPr>
              <w:t>30</w:t>
            </w:r>
            <w:r>
              <w:rPr>
                <w:noProof/>
                <w:webHidden/>
              </w:rPr>
              <w:fldChar w:fldCharType="end"/>
            </w:r>
          </w:hyperlink>
        </w:p>
        <w:p w14:paraId="64A6C1B3" w14:textId="444E342B" w:rsidR="007F1682" w:rsidRPr="007F1682" w:rsidRDefault="007F1682">
          <w:pPr>
            <w:pStyle w:val="TOC2"/>
            <w:rPr>
              <w:rFonts w:eastAsiaTheme="minorEastAsia"/>
              <w:noProof/>
              <w:kern w:val="2"/>
              <w:sz w:val="24"/>
              <w:szCs w:val="24"/>
              <w:lang w:val="en-DE" w:eastAsia="en-DE"/>
            </w:rPr>
          </w:pPr>
          <w:hyperlink w:anchor="_Toc235867083" w:history="1">
            <w:r w:rsidRPr="00562140">
              <w:rPr>
                <w:rStyle w:val="Hyperlink"/>
                <w:noProof/>
              </w:rPr>
              <w:t>A.3 Repository map</w:t>
            </w:r>
            <w:r>
              <w:rPr>
                <w:noProof/>
                <w:webHidden/>
              </w:rPr>
              <w:tab/>
            </w:r>
            <w:r>
              <w:rPr>
                <w:noProof/>
                <w:webHidden/>
              </w:rPr>
              <w:fldChar w:fldCharType="begin"/>
            </w:r>
            <w:r>
              <w:rPr>
                <w:noProof/>
                <w:webHidden/>
              </w:rPr>
              <w:instrText xml:space="preserve"> PAGEREF _Toc235867083 \h </w:instrText>
            </w:r>
            <w:r>
              <w:rPr>
                <w:noProof/>
                <w:webHidden/>
              </w:rPr>
            </w:r>
            <w:r>
              <w:rPr>
                <w:noProof/>
                <w:webHidden/>
              </w:rPr>
              <w:fldChar w:fldCharType="separate"/>
            </w:r>
            <w:r>
              <w:rPr>
                <w:noProof/>
                <w:webHidden/>
              </w:rPr>
              <w:t>31</w:t>
            </w:r>
            <w:r>
              <w:rPr>
                <w:noProof/>
                <w:webHidden/>
              </w:rPr>
              <w:fldChar w:fldCharType="end"/>
            </w:r>
          </w:hyperlink>
        </w:p>
        <w:p w14:paraId="7676D184" w14:textId="07344112" w:rsidR="007F1682" w:rsidRDefault="007F1682">
          <w:r>
            <w:rPr>
              <w:b/>
              <w:bCs/>
              <w:noProof/>
            </w:rPr>
            <w:fldChar w:fldCharType="end"/>
          </w:r>
        </w:p>
      </w:sdtContent>
    </w:sdt>
    <w:p w14:paraId="19146EC5" w14:textId="77777777" w:rsidR="00470FB6" w:rsidRPr="00470FB6" w:rsidRDefault="00470FB6" w:rsidP="00470FB6"/>
    <w:p w14:paraId="4F811BB0" w14:textId="78AD6D7A" w:rsidR="00050AF7" w:rsidRDefault="00000000" w:rsidP="00E36010">
      <w:pPr>
        <w:pStyle w:val="Heading1"/>
      </w:pPr>
      <w:bookmarkStart w:id="4" w:name="list-of-figures"/>
      <w:bookmarkStart w:id="5" w:name="_Toc235867042"/>
      <w:bookmarkEnd w:id="2"/>
      <w:r>
        <w:t>List of Figures</w:t>
      </w:r>
      <w:bookmarkEnd w:id="5"/>
    </w:p>
    <w:p w14:paraId="271011FF" w14:textId="77777777" w:rsidR="00050AF7" w:rsidRDefault="00000000" w:rsidP="00E36010">
      <w:pPr>
        <w:pStyle w:val="Heading1"/>
      </w:pPr>
      <w:bookmarkStart w:id="6" w:name="abbreviations"/>
      <w:bookmarkStart w:id="7" w:name="_Toc235867043"/>
      <w:bookmarkEnd w:id="4"/>
      <w:r>
        <w:t>Abbreviations</w:t>
      </w:r>
      <w:bookmarkEnd w:id="7"/>
    </w:p>
    <w:p w14:paraId="2E8F1C0F" w14:textId="77777777" w:rsidR="00050AF7" w:rsidRPr="00E36010" w:rsidRDefault="00000000">
      <w:pPr>
        <w:pStyle w:val="FirstParagraph"/>
        <w:rPr>
          <w:lang w:val="en-US"/>
        </w:rPr>
      </w:pPr>
      <w:r w:rsidRPr="00E36010">
        <w:rPr>
          <w:lang w:val="en-US"/>
        </w:rPr>
        <w:t>BESS — Battery Energy Storage System CMIP6 — Coupled Model Intercomparison Project Phase 6 COP26 — 26th UN Climate Change Conference of the Parties DGE — Dynamic General Equilibrium DGE-METRIC — Dynamic General Equilibrium Model for Vietnam’s Energy Transition Incorporating Carbon Markets EDGAR — Emissions Database for Global Atmospheric Research ETS — Emissions Trading System EVN — Electricity of Vietnam EXIOBASE — Environmentally Extended Multi-Regional Input-Output Database FDI — Foreign Direct Investment GIZ — Deutsche Gesellschaft für Internationale Zusammenarbeit GDP — Gross Domestic Product IEA — International Energy Agency IRENA — International Renewable Energy Agency IWH — Halle Institute for Economic Research IO — Input-Output KfW — Kreditanstalt für Wiederaufbau LCOE — Levelized Cost of Energy NDC — Nationally Determined Contribution NSO — National Statistics Office OECD — Organisation for Economic Co-operation and Development PDP8 — Power Development Plan 8 PV — Photovoltaic SSP — Shared Socioeconomic Pathway USD — United States Dollar UIP — Uncovered Interest Parity WACC — Weighted Average Cost of Capital WACF — Weighted Average Cost of Finance —</w:t>
      </w:r>
    </w:p>
    <w:p w14:paraId="43343CAC" w14:textId="77777777" w:rsidR="00050AF7" w:rsidRDefault="00000000" w:rsidP="00E36010">
      <w:pPr>
        <w:pStyle w:val="Heading1"/>
      </w:pPr>
      <w:bookmarkStart w:id="8" w:name="executive-summary"/>
      <w:bookmarkStart w:id="9" w:name="_Toc235867044"/>
      <w:bookmarkEnd w:id="6"/>
      <w:r>
        <w:t>Executive Summary</w:t>
      </w:r>
      <w:bookmarkEnd w:id="9"/>
    </w:p>
    <w:p w14:paraId="4608686D" w14:textId="77777777" w:rsidR="00050AF7" w:rsidRPr="00E36010" w:rsidRDefault="00000000">
      <w:pPr>
        <w:pStyle w:val="FirstParagraph"/>
        <w:rPr>
          <w:lang w:val="en-US"/>
        </w:rPr>
      </w:pPr>
      <w:r w:rsidRPr="00E36010">
        <w:rPr>
          <w:lang w:val="en-US"/>
        </w:rPr>
        <w:t>The DGE-METRIC (</w:t>
      </w:r>
      <w:r w:rsidRPr="00E36010">
        <w:rPr>
          <w:b/>
          <w:bCs/>
          <w:lang w:val="en-US"/>
        </w:rPr>
        <w:t>D</w:t>
      </w:r>
      <w:r w:rsidRPr="00E36010">
        <w:rPr>
          <w:lang w:val="en-US"/>
        </w:rPr>
        <w:t xml:space="preserve">ynamic </w:t>
      </w:r>
      <w:r w:rsidRPr="00E36010">
        <w:rPr>
          <w:b/>
          <w:bCs/>
          <w:lang w:val="en-US"/>
        </w:rPr>
        <w:t>G</w:t>
      </w:r>
      <w:r w:rsidRPr="00E36010">
        <w:rPr>
          <w:lang w:val="en-US"/>
        </w:rPr>
        <w:t xml:space="preserve">eneral </w:t>
      </w:r>
      <w:r w:rsidRPr="00E36010">
        <w:rPr>
          <w:b/>
          <w:bCs/>
          <w:lang w:val="en-US"/>
        </w:rPr>
        <w:t>E</w:t>
      </w:r>
      <w:r w:rsidRPr="00E36010">
        <w:rPr>
          <w:lang w:val="en-US"/>
        </w:rPr>
        <w:t xml:space="preserve">quilibrium for </w:t>
      </w:r>
      <w:r w:rsidRPr="00E36010">
        <w:rPr>
          <w:b/>
          <w:bCs/>
          <w:lang w:val="en-US"/>
        </w:rPr>
        <w:t>M</w:t>
      </w:r>
      <w:r w:rsidRPr="00E36010">
        <w:rPr>
          <w:lang w:val="en-US"/>
        </w:rPr>
        <w:t xml:space="preserve">acroeconomic </w:t>
      </w:r>
      <w:r w:rsidRPr="00E36010">
        <w:rPr>
          <w:b/>
          <w:bCs/>
          <w:lang w:val="en-US"/>
        </w:rPr>
        <w:t>E</w:t>
      </w:r>
      <w:r w:rsidRPr="00E36010">
        <w:rPr>
          <w:lang w:val="en-US"/>
        </w:rPr>
        <w:t xml:space="preserve">nergy </w:t>
      </w:r>
      <w:r w:rsidRPr="00E36010">
        <w:rPr>
          <w:b/>
          <w:bCs/>
          <w:lang w:val="en-US"/>
        </w:rPr>
        <w:t>Tr</w:t>
      </w:r>
      <w:r w:rsidRPr="00E36010">
        <w:rPr>
          <w:lang w:val="en-US"/>
        </w:rPr>
        <w:t xml:space="preserve">ansition </w:t>
      </w:r>
      <w:r w:rsidRPr="00E36010">
        <w:rPr>
          <w:b/>
          <w:bCs/>
          <w:lang w:val="en-US"/>
        </w:rPr>
        <w:t>I</w:t>
      </w:r>
      <w:r w:rsidRPr="00E36010">
        <w:rPr>
          <w:lang w:val="en-US"/>
        </w:rPr>
        <w:t xml:space="preserve">ncorporating </w:t>
      </w:r>
      <w:r w:rsidRPr="00E36010">
        <w:rPr>
          <w:b/>
          <w:bCs/>
          <w:lang w:val="en-US"/>
        </w:rPr>
        <w:t>C</w:t>
      </w:r>
      <w:r w:rsidRPr="00E36010">
        <w:rPr>
          <w:lang w:val="en-US"/>
        </w:rPr>
        <w:t>arbon markets) model was developed to analyse the macroeconomic implications of Vietnam’s energy transition and to evaluate alternative pathways for achieving the objectives of the Power Development Plan 8 (PDP8) and the country’s net-zero emissions commitment by 2050. The model provides a quantitative framework for assessing how alternative energy and climate policies affect economic growth, investment, sectoral production, household welfare, public finances, and carbon emissions over the transition period.</w:t>
      </w:r>
    </w:p>
    <w:p w14:paraId="4B9B048C" w14:textId="77777777" w:rsidR="00050AF7" w:rsidRPr="00E36010" w:rsidRDefault="00000000">
      <w:pPr>
        <w:pStyle w:val="BodyText"/>
        <w:rPr>
          <w:lang w:val="en-US"/>
        </w:rPr>
      </w:pPr>
      <w:r w:rsidRPr="00E36010">
        <w:rPr>
          <w:lang w:val="en-US"/>
        </w:rPr>
        <w:t>Unlike engineering-based energy system models, which focus on technology deployment and electricity-system optimisation, DGE-METRIC captures the economy-wide interactions between investment, production, consumption, labour markets, international trade, and climate policy. This integrated perspective enables the assessment of transition pathways within a consistent macroeconomic framework, allowing policy interventions in the energy sector to be evaluated alongside their broader economic consequences</w:t>
      </w:r>
    </w:p>
    <w:p w14:paraId="150A5EBB" w14:textId="77777777" w:rsidR="00050AF7" w:rsidRPr="00E36010" w:rsidRDefault="00000000">
      <w:pPr>
        <w:pStyle w:val="BodyText"/>
        <w:rPr>
          <w:lang w:val="en-US"/>
        </w:rPr>
      </w:pPr>
      <w:r w:rsidRPr="00E36010">
        <w:rPr>
          <w:lang w:val="en-US"/>
        </w:rPr>
        <w:lastRenderedPageBreak/>
        <w:t>The model is formulated as a deterministic, forward-looking dynamic general equilibrium (DGE) model implemented in Dynare and MATLAB. It represents Vietnam as a five-subsector, one-region economy, comprising a representative household, firms operating in five production sectors, wholesale and retail trade, an exporting sector, a government with an emissions trading system (ETS), and the rest of the world. The model is calibrated to Vietnam’s 2019 input-output structure and a 2026 baseline and is solved over the 2026–2050 transition horizon, drawing on data from the National Statistics Office (NSO), Electricity of Vietnam (EVN), the International Energy Agency (IEA), EDGAR, the World Bank, and project-specific (GIZ/IWH)calibration inputs.</w:t>
      </w:r>
    </w:p>
    <w:p w14:paraId="49E0E6AD" w14:textId="77777777" w:rsidR="00050AF7" w:rsidRPr="00E36010" w:rsidRDefault="00000000">
      <w:pPr>
        <w:pStyle w:val="BodyText"/>
        <w:rPr>
          <w:lang w:val="en-US"/>
        </w:rPr>
      </w:pPr>
      <w:r w:rsidRPr="00E36010">
        <w:rPr>
          <w:lang w:val="en-US"/>
        </w:rPr>
        <w:t>The report documents the theoretical foundations, calibration strategy, and numerical implementation of the model, together with the construction of the policy scenarios used throughout the analysis. It explains how baseline and scenario pathways are translated into model inputs, how the perfect-foresight transition path is solved, and how key assumptions regarding technology, emissions, and financing are incorporated into the modelling framework. The report also discusses the principal limitations of the approach and provides guidance for the interpretation of simulation results.</w:t>
      </w:r>
    </w:p>
    <w:p w14:paraId="53FE6445" w14:textId="77777777" w:rsidR="00050AF7" w:rsidRPr="00E36010" w:rsidRDefault="00000000">
      <w:pPr>
        <w:pStyle w:val="BodyText"/>
        <w:rPr>
          <w:lang w:val="en-US"/>
        </w:rPr>
      </w:pPr>
      <w:r w:rsidRPr="00E36010">
        <w:rPr>
          <w:lang w:val="en-US"/>
        </w:rPr>
        <w:t>Taken together, these elements provide a transparent and reproducible modelling framework for analysing the macroeconomic consequences of Vietnam’s energy transition and for supporting evidence-based policy analysis on climate, energy, and green finance.</w:t>
      </w:r>
    </w:p>
    <w:p w14:paraId="61599AB5" w14:textId="77777777" w:rsidR="00050AF7" w:rsidRDefault="00000000">
      <w:r>
        <w:pict w14:anchorId="23AA3AC9">
          <v:rect id="_x0000_i1467" style="width:0;height:1.5pt" o:hralign="center" o:hrstd="t" o:hr="t"/>
        </w:pict>
      </w:r>
    </w:p>
    <w:p w14:paraId="45910452" w14:textId="636EC04C" w:rsidR="00050AF7" w:rsidRDefault="00000000" w:rsidP="00E36010">
      <w:pPr>
        <w:pStyle w:val="Heading1"/>
      </w:pPr>
      <w:bookmarkStart w:id="10" w:name="introduction-and-motivation"/>
      <w:bookmarkStart w:id="11" w:name="_Toc235867045"/>
      <w:bookmarkEnd w:id="8"/>
      <w:r>
        <w:t>Introduction and Motivation</w:t>
      </w:r>
      <w:bookmarkEnd w:id="11"/>
    </w:p>
    <w:p w14:paraId="675F8D36" w14:textId="4949FA4A" w:rsidR="00050AF7" w:rsidRDefault="00000000" w:rsidP="00E36010">
      <w:pPr>
        <w:pStyle w:val="Heading2"/>
      </w:pPr>
      <w:bookmarkStart w:id="12" w:name="the-policy-motivation"/>
      <w:bookmarkStart w:id="13" w:name="_Toc235867046"/>
      <w:r>
        <w:t>The Policy Motivation</w:t>
      </w:r>
      <w:bookmarkEnd w:id="13"/>
    </w:p>
    <w:p w14:paraId="57B93F23" w14:textId="77777777" w:rsidR="00050AF7" w:rsidRPr="00E36010" w:rsidRDefault="00000000">
      <w:pPr>
        <w:pStyle w:val="FirstParagraph"/>
        <w:rPr>
          <w:lang w:val="en-US"/>
        </w:rPr>
      </w:pPr>
      <w:r w:rsidRPr="00E36010">
        <w:rPr>
          <w:lang w:val="en-US"/>
        </w:rPr>
        <w:t>Vietnam’s energy transition represents one of the country’s most significant long-term development challenges. Achieving sustained economic growth while simultaneously transforming the electricity sector to meet national climate objectives requires unprecedented levels of investment, coordinated policy interventions, and substantial structural adjustment across the economy. Decisions regarding the timing, scale, and financing of these investments will shape not only the future energy system but also broader economic development over the coming decades.</w:t>
      </w:r>
    </w:p>
    <w:p w14:paraId="78B7F87B" w14:textId="77777777" w:rsidR="00050AF7" w:rsidRPr="00E36010" w:rsidRDefault="00000000">
      <w:pPr>
        <w:pStyle w:val="BodyText"/>
        <w:rPr>
          <w:lang w:val="en-US"/>
        </w:rPr>
      </w:pPr>
      <w:r w:rsidRPr="00E36010">
        <w:rPr>
          <w:lang w:val="en-US"/>
        </w:rPr>
        <w:t>To achieve the objectives of the Power Development Plan 8 (PDP8) and Vietnam’s commitment to reach net-zero greenhouse gas emissions by 2050 (COP26 NDC), the country is estimated to require approximately USD 136 billion of investment in the energy sector by 2050 (IWH Investment Needs Assessment, 2025). At the same time, Vietnam aims to sustain annual GDP growth of around 6–7%, increase the share of renewable electricity generation to 60%, phase out the expansion of coal-fired power generation after 2030 (PDP8, Decision 500/QD-TTg, 2023), and meet its Nationally Determined Contributions under the Paris Agreement.</w:t>
      </w:r>
    </w:p>
    <w:p w14:paraId="44C46D8F" w14:textId="77777777" w:rsidR="00050AF7" w:rsidRPr="00E36010" w:rsidRDefault="00000000">
      <w:pPr>
        <w:pStyle w:val="BodyText"/>
        <w:rPr>
          <w:lang w:val="en-US"/>
        </w:rPr>
      </w:pPr>
      <w:r w:rsidRPr="00E36010">
        <w:rPr>
          <w:lang w:val="en-US"/>
        </w:rPr>
        <w:t xml:space="preserve">Bottom-up energy-system models (capacity expansion, LCOE, dispatch) play a central role in energy planning by identifying cost-effective technology portfolios, evaluating generation capacity expansion, and analysing system operation. these models are not designed to quantify the broader </w:t>
      </w:r>
      <w:r w:rsidRPr="00E36010">
        <w:rPr>
          <w:lang w:val="en-US"/>
        </w:rPr>
        <w:lastRenderedPageBreak/>
        <w:t>macroeconomic consequences of alternative transition pathways. In particular, they cannot directly address economy-wide questions such as:</w:t>
      </w:r>
    </w:p>
    <w:p w14:paraId="3EABEFED" w14:textId="77777777" w:rsidR="00050AF7" w:rsidRPr="00E36010" w:rsidRDefault="00000000">
      <w:pPr>
        <w:pStyle w:val="Compact"/>
        <w:numPr>
          <w:ilvl w:val="0"/>
          <w:numId w:val="1"/>
        </w:numPr>
        <w:rPr>
          <w:lang w:val="en-US"/>
        </w:rPr>
      </w:pPr>
      <w:r w:rsidRPr="00E36010">
        <w:rPr>
          <w:lang w:val="en-US"/>
        </w:rPr>
        <w:t>What are the macroeconomic costs of meeting PDP8 investment requirements in terms of GDP, household consumption, investment, and employment?</w:t>
      </w:r>
    </w:p>
    <w:p w14:paraId="65201CEE" w14:textId="77777777" w:rsidR="00050AF7" w:rsidRPr="00E36010" w:rsidRDefault="00000000">
      <w:pPr>
        <w:pStyle w:val="Compact"/>
        <w:numPr>
          <w:ilvl w:val="0"/>
          <w:numId w:val="1"/>
        </w:numPr>
        <w:rPr>
          <w:lang w:val="en-US"/>
        </w:rPr>
      </w:pPr>
      <w:r w:rsidRPr="00E36010">
        <w:rPr>
          <w:lang w:val="en-US"/>
        </w:rPr>
        <w:t>To what extent does achieving net-zero emissions impose additional economic costs beyond those already associated with implementing PDP8?</w:t>
      </w:r>
    </w:p>
    <w:p w14:paraId="1C02BB64" w14:textId="77777777" w:rsidR="00050AF7" w:rsidRPr="00E36010" w:rsidRDefault="00000000">
      <w:pPr>
        <w:pStyle w:val="Compact"/>
        <w:numPr>
          <w:ilvl w:val="0"/>
          <w:numId w:val="1"/>
        </w:numPr>
        <w:rPr>
          <w:lang w:val="en-US"/>
        </w:rPr>
      </w:pPr>
      <w:r w:rsidRPr="00E36010">
        <w:rPr>
          <w:lang w:val="en-US"/>
        </w:rPr>
        <w:t>How do improvements in energy efficiency affect investment requirements and long-term economic performance?</w:t>
      </w:r>
    </w:p>
    <w:p w14:paraId="2FDBB881" w14:textId="77777777" w:rsidR="00050AF7" w:rsidRPr="00E36010" w:rsidRDefault="00000000">
      <w:pPr>
        <w:pStyle w:val="Compact"/>
        <w:numPr>
          <w:ilvl w:val="0"/>
          <w:numId w:val="1"/>
        </w:numPr>
        <w:rPr>
          <w:lang w:val="en-US"/>
        </w:rPr>
      </w:pPr>
      <w:r w:rsidRPr="00E36010">
        <w:rPr>
          <w:lang w:val="en-US"/>
        </w:rPr>
        <w:t>How do alternative green-finance architectures influence the pace, affordability, and macroeconomic impacts of the energy transition?</w:t>
      </w:r>
    </w:p>
    <w:p w14:paraId="1B420A27" w14:textId="77777777" w:rsidR="00050AF7" w:rsidRPr="00E36010" w:rsidRDefault="00000000">
      <w:pPr>
        <w:pStyle w:val="Compact"/>
        <w:numPr>
          <w:ilvl w:val="0"/>
          <w:numId w:val="1"/>
        </w:numPr>
        <w:rPr>
          <w:lang w:val="en-US"/>
        </w:rPr>
      </w:pPr>
      <w:r w:rsidRPr="00E36010">
        <w:rPr>
          <w:lang w:val="en-US"/>
        </w:rPr>
        <w:t>Which carbon-price trajectories are consistent with alternative transition pathways?</w:t>
      </w:r>
    </w:p>
    <w:p w14:paraId="4F8C331D" w14:textId="77777777" w:rsidR="00050AF7" w:rsidRPr="00E36010" w:rsidRDefault="00000000">
      <w:pPr>
        <w:pStyle w:val="Compact"/>
        <w:numPr>
          <w:ilvl w:val="0"/>
          <w:numId w:val="1"/>
        </w:numPr>
        <w:rPr>
          <w:lang w:val="en-US"/>
        </w:rPr>
      </w:pPr>
      <w:r w:rsidRPr="00E36010">
        <w:rPr>
          <w:lang w:val="en-US"/>
        </w:rPr>
        <w:t>Which sectors experience the largest structural adjustment during the transition?</w:t>
      </w:r>
    </w:p>
    <w:p w14:paraId="5091BB2C" w14:textId="77777777" w:rsidR="00050AF7" w:rsidRPr="00E36010" w:rsidRDefault="00000000">
      <w:pPr>
        <w:pStyle w:val="FirstParagraph"/>
        <w:rPr>
          <w:lang w:val="en-US"/>
        </w:rPr>
      </w:pPr>
      <w:r w:rsidRPr="00E36010">
        <w:rPr>
          <w:lang w:val="en-US"/>
        </w:rPr>
        <w:t>Addressing these questions requires an economy-wide analytical framework that captures the interactions between the energy sector and the broader economy. Investment in low-carbon technologies competes for capital and labour with investment in other sectors, while changes in energy prices, production costs, household income, international trade, and public finances generate adjustment effects throughout the economic system. DGE-METRIC was developed to analyse these interactions within a consistent forward-looking general equilibrium framework and to quantify the macroeconomic implications of alternative energy-transition pathways.</w:t>
      </w:r>
    </w:p>
    <w:p w14:paraId="01C66672" w14:textId="43F1DB97" w:rsidR="00050AF7" w:rsidRDefault="00000000" w:rsidP="00E36010">
      <w:pPr>
        <w:pStyle w:val="Heading2"/>
      </w:pPr>
      <w:bookmarkStart w:id="14" w:name="scope-of-the-model"/>
      <w:bookmarkStart w:id="15" w:name="_Toc235867047"/>
      <w:bookmarkEnd w:id="12"/>
      <w:r>
        <w:t>Scope of the Model</w:t>
      </w:r>
      <w:bookmarkEnd w:id="15"/>
    </w:p>
    <w:p w14:paraId="3354E6A0" w14:textId="77777777" w:rsidR="00050AF7" w:rsidRPr="00E36010" w:rsidRDefault="00000000">
      <w:pPr>
        <w:pStyle w:val="FirstParagraph"/>
        <w:rPr>
          <w:lang w:val="en-US"/>
        </w:rPr>
      </w:pPr>
      <w:r w:rsidRPr="00E36010">
        <w:rPr>
          <w:lang w:val="en-US"/>
        </w:rPr>
        <w:t xml:space="preserve">DGE-METRIC is a </w:t>
      </w:r>
      <w:r w:rsidRPr="00E36010">
        <w:rPr>
          <w:b/>
          <w:bCs/>
          <w:lang w:val="en-US"/>
        </w:rPr>
        <w:t>reduced-form macroeconomic model</w:t>
      </w:r>
      <w:r w:rsidRPr="00E36010">
        <w:rPr>
          <w:lang w:val="en-US"/>
        </w:rPr>
        <w:t>, not an energy-system planning model. It does not:</w:t>
      </w:r>
    </w:p>
    <w:p w14:paraId="5B205F58" w14:textId="77777777" w:rsidR="00050AF7" w:rsidRPr="00E36010" w:rsidRDefault="00000000">
      <w:pPr>
        <w:pStyle w:val="BodyText"/>
        <w:rPr>
          <w:lang w:val="en-US"/>
        </w:rPr>
      </w:pPr>
      <w:r w:rsidRPr="00E36010">
        <w:rPr>
          <w:lang w:val="en-US"/>
        </w:rPr>
        <w:t>loans) as explicit balance-sheet items — these are translated into equivalent cost-of-capital or investment-price shocks (§6.3).</w:t>
      </w:r>
    </w:p>
    <w:p w14:paraId="03F68DF0" w14:textId="77777777" w:rsidR="00050AF7" w:rsidRPr="00E36010" w:rsidRDefault="00000000">
      <w:pPr>
        <w:pStyle w:val="BodyText"/>
        <w:rPr>
          <w:lang w:val="en-US"/>
        </w:rPr>
      </w:pPr>
      <w:r w:rsidRPr="00E36010">
        <w:rPr>
          <w:lang w:val="en-US"/>
        </w:rPr>
        <w:t>Technology cost projections and supply-stack detail are taken as exogenous inputs from IEA World Energy Outlook and Vietnam PDP8 planning documents.</w:t>
      </w:r>
    </w:p>
    <w:p w14:paraId="6763A79E" w14:textId="4D92703C" w:rsidR="00050AF7" w:rsidRDefault="00000000" w:rsidP="00E36010">
      <w:pPr>
        <w:pStyle w:val="Heading2"/>
      </w:pPr>
      <w:bookmarkStart w:id="16" w:name="introduction-and-motivation-1"/>
      <w:bookmarkStart w:id="17" w:name="scope-of-the-model-1"/>
      <w:bookmarkEnd w:id="10"/>
      <w:bookmarkEnd w:id="14"/>
      <w:r>
        <w:t xml:space="preserve"> </w:t>
      </w:r>
      <w:bookmarkStart w:id="18" w:name="_Toc235867048"/>
      <w:r>
        <w:t>Scope of the Model</w:t>
      </w:r>
      <w:bookmarkEnd w:id="18"/>
    </w:p>
    <w:p w14:paraId="752245B7" w14:textId="77777777" w:rsidR="00050AF7" w:rsidRPr="00E36010" w:rsidRDefault="00000000">
      <w:pPr>
        <w:pStyle w:val="FirstParagraph"/>
        <w:rPr>
          <w:lang w:val="en-US"/>
        </w:rPr>
      </w:pPr>
      <w:r w:rsidRPr="00E36010">
        <w:rPr>
          <w:lang w:val="en-US"/>
        </w:rPr>
        <w:t>DGE-METRIC is a reduced-form dynamic general equilibrium model designed to analyse the economy-wide consequences of Vietnam’s energy transition. It combines a detailed representation of the energy sector with a comprehensive macroeconomic framework that captures interactions between households, firms, government, international trade, capital accumulation, and carbon pricing. Rather than determining optimal technology choices, the model evaluates the economic implications of externally specified policy pathways and investment trajectories.</w:t>
      </w:r>
    </w:p>
    <w:p w14:paraId="3ED97E35" w14:textId="77777777" w:rsidR="00050AF7" w:rsidRDefault="00000000">
      <w:pPr>
        <w:pStyle w:val="BodyText"/>
      </w:pPr>
      <w:r w:rsidRPr="00E36010">
        <w:rPr>
          <w:lang w:val="en-US"/>
        </w:rPr>
        <w:t xml:space="preserve">As with any macroeconomic model, DGE-METRIC deliberately abstracts from several aspects that are more appropriately analysed using specialised engineering or financial models. </w:t>
      </w:r>
      <w:r>
        <w:t>In particular, the model does not:</w:t>
      </w:r>
    </w:p>
    <w:p w14:paraId="38CB937E" w14:textId="77777777" w:rsidR="00050AF7" w:rsidRPr="00E36010" w:rsidRDefault="00000000">
      <w:pPr>
        <w:pStyle w:val="Compact"/>
        <w:numPr>
          <w:ilvl w:val="0"/>
          <w:numId w:val="2"/>
        </w:numPr>
        <w:rPr>
          <w:lang w:val="en-US"/>
        </w:rPr>
      </w:pPr>
      <w:r w:rsidRPr="00E36010">
        <w:rPr>
          <w:lang w:val="en-US"/>
        </w:rPr>
        <w:lastRenderedPageBreak/>
        <w:t>optimise electricity dispatch or represent individual power plants;</w:t>
      </w:r>
    </w:p>
    <w:p w14:paraId="74E61340" w14:textId="77777777" w:rsidR="00050AF7" w:rsidRPr="00E36010" w:rsidRDefault="00000000">
      <w:pPr>
        <w:pStyle w:val="Compact"/>
        <w:numPr>
          <w:ilvl w:val="0"/>
          <w:numId w:val="2"/>
        </w:numPr>
        <w:rPr>
          <w:lang w:val="en-US"/>
        </w:rPr>
      </w:pPr>
      <w:r w:rsidRPr="00E36010">
        <w:rPr>
          <w:lang w:val="en-US"/>
        </w:rPr>
        <w:t>endogenously model technology learning and cost reductions;</w:t>
      </w:r>
    </w:p>
    <w:p w14:paraId="397D6D38" w14:textId="77777777" w:rsidR="00050AF7" w:rsidRPr="00E36010" w:rsidRDefault="00000000">
      <w:pPr>
        <w:pStyle w:val="Compact"/>
        <w:numPr>
          <w:ilvl w:val="0"/>
          <w:numId w:val="2"/>
        </w:numPr>
        <w:rPr>
          <w:lang w:val="en-US"/>
        </w:rPr>
      </w:pPr>
      <w:r w:rsidRPr="00E36010">
        <w:rPr>
          <w:lang w:val="en-US"/>
        </w:rPr>
        <w:t>distinguish between sub-national regions or provincial governments.</w:t>
      </w:r>
    </w:p>
    <w:p w14:paraId="1BD3D7A3" w14:textId="77777777" w:rsidR="00050AF7" w:rsidRPr="00E36010" w:rsidRDefault="00000000">
      <w:pPr>
        <w:pStyle w:val="FirstParagraph"/>
        <w:rPr>
          <w:lang w:val="en-US"/>
        </w:rPr>
      </w:pPr>
      <w:r w:rsidRPr="00E36010">
        <w:rPr>
          <w:lang w:val="en-US"/>
        </w:rPr>
        <w:t>Similarly, technology cost projections, renewable deployment pathways, and capacity expansion plans are taken as exogenous inputs based on official planning documents and international energy outlooks rather than being determined endogenously within the model.</w:t>
      </w:r>
    </w:p>
    <w:p w14:paraId="290436F9" w14:textId="77777777" w:rsidR="00050AF7" w:rsidRPr="00E36010" w:rsidRDefault="00000000">
      <w:pPr>
        <w:pStyle w:val="BodyText"/>
        <w:rPr>
          <w:lang w:val="en-US"/>
        </w:rPr>
      </w:pPr>
      <w:r w:rsidRPr="00E36010">
        <w:rPr>
          <w:lang w:val="en-US"/>
        </w:rPr>
        <w:t>Consequently, DGE-METRIC should be viewed as complementary to engineering-based energy system models rather than as a substitute for them. While engineering models identify technically feasible and cost-efficient energy-system configurations, DGE-METRIC evaluates the broader macroeconomic consequences of implementing these pathways. Together, the two modelling approaches provide a more comprehensive evidence base for assessing Vietnam’s transition towards a low-carbon economy.</w:t>
      </w:r>
    </w:p>
    <w:p w14:paraId="21BDAF1F" w14:textId="33987F6B" w:rsidR="00050AF7" w:rsidRDefault="00000000">
      <w:pPr>
        <w:pStyle w:val="Heading2"/>
      </w:pPr>
      <w:bookmarkStart w:id="19" w:name="model-structure-and-theory"/>
      <w:bookmarkStart w:id="20" w:name="_Toc235867049"/>
      <w:bookmarkEnd w:id="16"/>
      <w:bookmarkEnd w:id="17"/>
      <w:r>
        <w:t>Model Structure and Theory</w:t>
      </w:r>
      <w:bookmarkEnd w:id="20"/>
    </w:p>
    <w:p w14:paraId="04F408BD" w14:textId="77777777" w:rsidR="00050AF7" w:rsidRDefault="00000000">
      <w:pPr>
        <w:pStyle w:val="Heading3"/>
      </w:pPr>
      <w:bookmarkStart w:id="21" w:name="sectors"/>
      <w:bookmarkStart w:id="22" w:name="_Toc235867050"/>
      <w:r>
        <w:t>2.1 Sectors</w:t>
      </w:r>
      <w:bookmarkEnd w:id="22"/>
    </w:p>
    <w:p w14:paraId="20FFF149" w14:textId="77777777" w:rsidR="00050AF7" w:rsidRDefault="00000000">
      <w:pPr>
        <w:pStyle w:val="FirstParagraph"/>
      </w:pPr>
      <w:r>
        <w:rPr>
          <w:noProof/>
        </w:rPr>
        <w:drawing>
          <wp:inline distT="0" distB="0" distL="0" distR="0" wp14:anchorId="4981803B" wp14:editId="0821261D">
            <wp:extent cx="5334000" cy="254126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Users\schul\Documents\GitHub\DGE-METRIC\.tmp\technical_report_build\tables\table-01.png"/>
                    <pic:cNvPicPr>
                      <a:picLocks noChangeAspect="1" noChangeArrowheads="1"/>
                    </pic:cNvPicPr>
                  </pic:nvPicPr>
                  <pic:blipFill>
                    <a:blip r:embed="rId7"/>
                    <a:stretch>
                      <a:fillRect/>
                    </a:stretch>
                  </pic:blipFill>
                  <pic:spPr bwMode="auto">
                    <a:xfrm>
                      <a:off x="0" y="0"/>
                      <a:ext cx="5334000" cy="2541260"/>
                    </a:xfrm>
                    <a:prstGeom prst="rect">
                      <a:avLst/>
                    </a:prstGeom>
                    <a:noFill/>
                    <a:ln w="9525">
                      <a:noFill/>
                      <a:headEnd/>
                      <a:tailEnd/>
                    </a:ln>
                  </pic:spPr>
                </pic:pic>
              </a:graphicData>
            </a:graphic>
          </wp:inline>
        </w:drawing>
      </w:r>
    </w:p>
    <w:p w14:paraId="15D840F5" w14:textId="77777777" w:rsidR="00050AF7" w:rsidRPr="00E36010" w:rsidRDefault="00000000">
      <w:pPr>
        <w:pStyle w:val="BodyText"/>
        <w:rPr>
          <w:lang w:val="en-US"/>
        </w:rPr>
      </w:pPr>
      <w:r w:rsidRPr="00E36010">
        <w:rPr>
          <w:lang w:val="en-US"/>
        </w:rPr>
        <w:t>Aggregate reporting sectors collapse Fossil and Renewable into a single “Energy” sector (giving the four-sector aggregate view: Primary, Energy, Secondary, Tertiary used in results reporting). Capital and labor move across sectors in response to relative prices; energy sectors supply intermediate inputs to sectors 1, 4, and 5.</w:t>
      </w:r>
    </w:p>
    <w:p w14:paraId="2440BCC4" w14:textId="0F7DE9F8" w:rsidR="00050AF7" w:rsidRDefault="00000000" w:rsidP="00247F97">
      <w:pPr>
        <w:pStyle w:val="Heading2"/>
      </w:pPr>
      <w:bookmarkStart w:id="23" w:name="household"/>
      <w:bookmarkStart w:id="24" w:name="_Toc235867051"/>
      <w:bookmarkEnd w:id="21"/>
      <w:r>
        <w:t>Household</w:t>
      </w:r>
      <w:bookmarkEnd w:id="24"/>
    </w:p>
    <w:p w14:paraId="629662CC" w14:textId="77777777" w:rsidR="00050AF7" w:rsidRPr="00E36010" w:rsidRDefault="00000000">
      <w:pPr>
        <w:pStyle w:val="FirstParagraph"/>
        <w:rPr>
          <w:lang w:val="en-US"/>
        </w:rPr>
      </w:pPr>
      <w:r w:rsidRPr="00E36010">
        <w:rPr>
          <w:lang w:val="en-US"/>
        </w:rPr>
        <w:t xml:space="preserve">A representative household derives utility from consumption </w:t>
      </w:r>
      <w:r w:rsidRPr="00E36010">
        <w:rPr>
          <w:rStyle w:val="VerbatimChar"/>
          <w:rFonts w:eastAsiaTheme="minorHAnsi"/>
          <w:lang w:val="en-US"/>
        </w:rPr>
        <w:t>C_t</w:t>
      </w:r>
      <w:r w:rsidRPr="00E36010">
        <w:rPr>
          <w:lang w:val="en-US"/>
        </w:rPr>
        <w:t xml:space="preserve">, housing services </w:t>
      </w:r>
      <w:r w:rsidRPr="00E36010">
        <w:rPr>
          <w:rStyle w:val="VerbatimChar"/>
          <w:rFonts w:eastAsiaTheme="minorHAnsi"/>
          <w:lang w:val="en-US"/>
        </w:rPr>
        <w:t>H_(t+1)</w:t>
      </w:r>
      <w:r w:rsidRPr="00E36010">
        <w:rPr>
          <w:lang w:val="en-US"/>
        </w:rPr>
        <w:t xml:space="preserve">, and disutility from supplying labor </w:t>
      </w:r>
      <w:r w:rsidRPr="00E36010">
        <w:rPr>
          <w:rStyle w:val="VerbatimChar"/>
          <w:rFonts w:eastAsiaTheme="minorHAnsi"/>
          <w:lang w:val="en-US"/>
        </w:rPr>
        <w:t>N_(s,t)</w:t>
      </w:r>
      <w:r w:rsidRPr="00E36010">
        <w:rPr>
          <w:lang w:val="en-US"/>
        </w:rPr>
        <w:t xml:space="preserve"> across sectors </w:t>
      </w:r>
      <w:r w:rsidRPr="00E36010">
        <w:rPr>
          <w:rStyle w:val="VerbatimChar"/>
          <w:rFonts w:eastAsiaTheme="minorHAnsi"/>
          <w:lang w:val="en-US"/>
        </w:rPr>
        <w:t>s ∈ \1,…,S\</w:t>
      </w:r>
      <w:r w:rsidRPr="00E36010">
        <w:rPr>
          <w:lang w:val="en-US"/>
        </w:rPr>
        <w:t>:</w:t>
      </w:r>
    </w:p>
    <w:p w14:paraId="3E5923C5" w14:textId="77777777" w:rsidR="00050AF7" w:rsidRDefault="00000000">
      <w:pPr>
        <w:pStyle w:val="BodyText"/>
      </w:pPr>
      <w:r>
        <w:rPr>
          <w:noProof/>
        </w:rPr>
        <w:drawing>
          <wp:inline distT="0" distB="0" distL="0" distR="0" wp14:anchorId="7ABFCF5E" wp14:editId="2B834921">
            <wp:extent cx="3353104" cy="41913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Users\schul\Documents\GitHub\DGE-METRIC\.tmp\technical_report_build\math\math-0001.png"/>
                    <pic:cNvPicPr>
                      <a:picLocks noChangeAspect="1" noChangeArrowheads="1"/>
                    </pic:cNvPicPr>
                  </pic:nvPicPr>
                  <pic:blipFill>
                    <a:blip r:embed="rId8"/>
                    <a:stretch>
                      <a:fillRect/>
                    </a:stretch>
                  </pic:blipFill>
                  <pic:spPr bwMode="auto">
                    <a:xfrm>
                      <a:off x="0" y="0"/>
                      <a:ext cx="3353104" cy="419138"/>
                    </a:xfrm>
                    <a:prstGeom prst="rect">
                      <a:avLst/>
                    </a:prstGeom>
                    <a:noFill/>
                    <a:ln w="9525">
                      <a:noFill/>
                      <a:headEnd/>
                      <a:tailEnd/>
                    </a:ln>
                  </pic:spPr>
                </pic:pic>
              </a:graphicData>
            </a:graphic>
          </wp:inline>
        </w:drawing>
      </w:r>
    </w:p>
    <w:p w14:paraId="7CBE1979" w14:textId="77777777" w:rsidR="00050AF7" w:rsidRPr="00E36010" w:rsidRDefault="00000000">
      <w:pPr>
        <w:pStyle w:val="BodyText"/>
        <w:rPr>
          <w:lang w:val="en-US"/>
        </w:rPr>
      </w:pPr>
      <w:r w:rsidRPr="00E36010">
        <w:rPr>
          <w:lang w:val="en-US"/>
        </w:rPr>
        <w:t xml:space="preserve">where </w:t>
      </w:r>
      <w:r>
        <w:rPr>
          <w:rStyle w:val="VerbatimChar"/>
          <w:rFonts w:eastAsiaTheme="minorHAnsi"/>
        </w:rPr>
        <w:t>γ</w:t>
      </w:r>
      <w:r w:rsidRPr="00E36010">
        <w:rPr>
          <w:lang w:val="en-US"/>
        </w:rPr>
        <w:t xml:space="preserve"> is the preference weight on housing, </w:t>
      </w:r>
      <w:r>
        <w:rPr>
          <w:rStyle w:val="VerbatimChar"/>
          <w:rFonts w:eastAsiaTheme="minorHAnsi"/>
        </w:rPr>
        <w:t>σ</w:t>
      </w:r>
      <w:r w:rsidRPr="00E36010">
        <w:rPr>
          <w:rStyle w:val="VerbatimChar"/>
          <w:rFonts w:eastAsiaTheme="minorHAnsi"/>
          <w:lang w:val="en-US"/>
        </w:rPr>
        <w:t>^C</w:t>
      </w:r>
      <w:r w:rsidRPr="00E36010">
        <w:rPr>
          <w:lang w:val="en-US"/>
        </w:rPr>
        <w:t xml:space="preserve"> the inverse intertemporal elasticity of substitution in consumption, and </w:t>
      </w:r>
      <w:r>
        <w:rPr>
          <w:rStyle w:val="VerbatimChar"/>
          <w:rFonts w:eastAsiaTheme="minorHAnsi"/>
        </w:rPr>
        <w:t>σ</w:t>
      </w:r>
      <w:r w:rsidRPr="00E36010">
        <w:rPr>
          <w:rStyle w:val="VerbatimChar"/>
          <w:rFonts w:eastAsiaTheme="minorHAnsi"/>
          <w:lang w:val="en-US"/>
        </w:rPr>
        <w:t>^L</w:t>
      </w:r>
      <w:r w:rsidRPr="00E36010">
        <w:rPr>
          <w:lang w:val="en-US"/>
        </w:rPr>
        <w:t xml:space="preserve"> the inverse Frisch elasticity of labor supply. Labor disutility is scaled by sector-specific labor productivity </w:t>
      </w:r>
      <w:r w:rsidRPr="00E36010">
        <w:rPr>
          <w:rStyle w:val="VerbatimChar"/>
          <w:rFonts w:eastAsiaTheme="minorHAnsi"/>
          <w:lang w:val="en-US"/>
        </w:rPr>
        <w:t>A^L_(s,t)</w:t>
      </w:r>
      <w:r w:rsidRPr="00E36010">
        <w:rPr>
          <w:lang w:val="en-US"/>
        </w:rPr>
        <w:t xml:space="preserve"> and calibrated weights </w:t>
      </w:r>
      <w:r>
        <w:rPr>
          <w:rStyle w:val="VerbatimChar"/>
          <w:rFonts w:eastAsiaTheme="minorHAnsi"/>
        </w:rPr>
        <w:t>φ</w:t>
      </w:r>
      <w:r w:rsidRPr="00E36010">
        <w:rPr>
          <w:rStyle w:val="VerbatimChar"/>
          <w:rFonts w:eastAsiaTheme="minorHAnsi"/>
          <w:lang w:val="en-US"/>
        </w:rPr>
        <w:t>^L_s</w:t>
      </w:r>
      <w:r w:rsidRPr="00E36010">
        <w:rPr>
          <w:lang w:val="en-US"/>
        </w:rPr>
        <w:t xml:space="preserve"> that pin down realistic long-run sectoral labor shares.</w:t>
      </w:r>
    </w:p>
    <w:p w14:paraId="23E44027" w14:textId="77777777" w:rsidR="00050AF7" w:rsidRPr="00E36010" w:rsidRDefault="00000000">
      <w:pPr>
        <w:pStyle w:val="BodyText"/>
        <w:rPr>
          <w:lang w:val="en-US"/>
        </w:rPr>
      </w:pPr>
      <w:r w:rsidRPr="00E36010">
        <w:rPr>
          <w:lang w:val="en-US"/>
        </w:rPr>
        <w:t xml:space="preserve">The household chooses consumption, sectoral labor supply, sectoral investment </w:t>
      </w:r>
      <w:r w:rsidRPr="00E36010">
        <w:rPr>
          <w:rStyle w:val="VerbatimChar"/>
          <w:rFonts w:eastAsiaTheme="minorHAnsi"/>
          <w:lang w:val="en-US"/>
        </w:rPr>
        <w:t>I_(s,t)</w:t>
      </w:r>
      <w:r w:rsidRPr="00E36010">
        <w:rPr>
          <w:lang w:val="en-US"/>
        </w:rPr>
        <w:t xml:space="preserve">, next-period sectoral capital </w:t>
      </w:r>
      <w:r w:rsidRPr="00E36010">
        <w:rPr>
          <w:rStyle w:val="VerbatimChar"/>
          <w:rFonts w:eastAsiaTheme="minorHAnsi"/>
          <w:lang w:val="en-US"/>
        </w:rPr>
        <w:t>K_(s,t+1)</w:t>
      </w:r>
      <w:r w:rsidRPr="00E36010">
        <w:rPr>
          <w:lang w:val="en-US"/>
        </w:rPr>
        <w:t xml:space="preserve">, housing </w:t>
      </w:r>
      <w:r w:rsidRPr="00E36010">
        <w:rPr>
          <w:rStyle w:val="VerbatimChar"/>
          <w:rFonts w:eastAsiaTheme="minorHAnsi"/>
          <w:lang w:val="en-US"/>
        </w:rPr>
        <w:t>H_(t+1)</w:t>
      </w:r>
      <w:r w:rsidRPr="00E36010">
        <w:rPr>
          <w:lang w:val="en-US"/>
        </w:rPr>
        <w:t xml:space="preserve">, and net foreign asset holdings </w:t>
      </w:r>
      <w:r w:rsidRPr="00E36010">
        <w:rPr>
          <w:rStyle w:val="VerbatimChar"/>
          <w:rFonts w:eastAsiaTheme="minorHAnsi"/>
          <w:lang w:val="en-US"/>
        </w:rPr>
        <w:t>B_(t+1)</w:t>
      </w:r>
      <w:r w:rsidRPr="00E36010">
        <w:rPr>
          <w:lang w:val="en-US"/>
        </w:rPr>
        <w:t xml:space="preserve"> to maximize discounted lifetime utility </w:t>
      </w:r>
      <w:r>
        <w:rPr>
          <w:rStyle w:val="VerbatimChar"/>
          <w:rFonts w:eastAsiaTheme="minorHAnsi"/>
        </w:rPr>
        <w:t>Σ</w:t>
      </w:r>
      <w:r w:rsidRPr="00E36010">
        <w:rPr>
          <w:rStyle w:val="VerbatimChar"/>
          <w:rFonts w:eastAsiaTheme="minorHAnsi"/>
          <w:lang w:val="en-US"/>
        </w:rPr>
        <w:t xml:space="preserve">_t </w:t>
      </w:r>
      <w:r>
        <w:rPr>
          <w:rStyle w:val="VerbatimChar"/>
          <w:rFonts w:eastAsiaTheme="minorHAnsi"/>
        </w:rPr>
        <w:t>β</w:t>
      </w:r>
      <w:r w:rsidRPr="00E36010">
        <w:rPr>
          <w:rStyle w:val="VerbatimChar"/>
          <w:rFonts w:eastAsiaTheme="minorHAnsi"/>
          <w:lang w:val="en-US"/>
        </w:rPr>
        <w:t>^t U(·)</w:t>
      </w:r>
      <w:r w:rsidRPr="00E36010">
        <w:rPr>
          <w:lang w:val="en-US"/>
        </w:rPr>
        <w:t xml:space="preserve"> subject to:</w:t>
      </w:r>
    </w:p>
    <w:p w14:paraId="067DE220" w14:textId="77777777" w:rsidR="00050AF7" w:rsidRPr="00E36010" w:rsidRDefault="00000000">
      <w:pPr>
        <w:pStyle w:val="Compact"/>
        <w:numPr>
          <w:ilvl w:val="0"/>
          <w:numId w:val="3"/>
        </w:numPr>
        <w:rPr>
          <w:lang w:val="en-US"/>
        </w:rPr>
      </w:pPr>
      <w:r w:rsidRPr="00E36010">
        <w:rPr>
          <w:lang w:val="en-US"/>
        </w:rPr>
        <w:t xml:space="preserve">a </w:t>
      </w:r>
      <w:r w:rsidRPr="00E36010">
        <w:rPr>
          <w:b/>
          <w:bCs/>
          <w:lang w:val="en-US"/>
        </w:rPr>
        <w:t>budget constraint</w:t>
      </w:r>
      <w:r w:rsidRPr="00E36010">
        <w:rPr>
          <w:lang w:val="en-US"/>
        </w:rPr>
        <w:t xml:space="preserve"> (income = expenditure);</w:t>
      </w:r>
    </w:p>
    <w:p w14:paraId="2658A3D1" w14:textId="09FE17C9" w:rsidR="00050AF7" w:rsidRPr="00E36010" w:rsidRDefault="00000000">
      <w:pPr>
        <w:pStyle w:val="Compact"/>
        <w:numPr>
          <w:ilvl w:val="0"/>
          <w:numId w:val="3"/>
        </w:numPr>
        <w:rPr>
          <w:lang w:val="en-US"/>
        </w:rPr>
      </w:pPr>
      <w:r w:rsidRPr="00E36010">
        <w:rPr>
          <w:b/>
          <w:bCs/>
          <w:lang w:val="en-US"/>
        </w:rPr>
        <w:t>sector-specific capital accumulation</w:t>
      </w:r>
      <w:r w:rsidRPr="00E36010">
        <w:rPr>
          <w:lang w:val="en-US"/>
        </w:rPr>
        <w:t xml:space="preserve">, </w:t>
      </w:r>
      <m:oMath>
        <m:sSub>
          <m:sSubPr>
            <m:ctrlPr>
              <w:rPr>
                <w:rFonts w:ascii="Cambria Math" w:hAnsi="Cambria Math" w:cs="Times New Roman"/>
                <w:color w:val="242B84"/>
                <w:szCs w:val="18"/>
              </w:rPr>
            </m:ctrlPr>
          </m:sSubPr>
          <m:e>
            <m:r>
              <w:rPr>
                <w:rFonts w:ascii="Cambria Math" w:hAnsi="Cambria Math" w:cs="Times New Roman"/>
                <w:color w:val="242B84"/>
                <w:szCs w:val="18"/>
              </w:rPr>
              <m:t>K</m:t>
            </m:r>
          </m:e>
          <m:sub>
            <m:d>
              <m:dPr>
                <m:ctrlPr>
                  <w:rPr>
                    <w:rFonts w:ascii="Cambria Math" w:hAnsi="Cambria Math" w:cs="Times New Roman"/>
                    <w:color w:val="242B84"/>
                    <w:szCs w:val="18"/>
                  </w:rPr>
                </m:ctrlPr>
              </m:dPr>
              <m:e>
                <m:r>
                  <w:rPr>
                    <w:rFonts w:ascii="Cambria Math" w:hAnsi="Cambria Math" w:cs="Times New Roman"/>
                    <w:color w:val="242B84"/>
                    <w:szCs w:val="18"/>
                  </w:rPr>
                  <m:t>s</m:t>
                </m:r>
                <m:r>
                  <w:rPr>
                    <w:rFonts w:ascii="Cambria Math" w:hAnsi="Cambria Math" w:cs="Times New Roman"/>
                    <w:color w:val="242B84"/>
                    <w:szCs w:val="18"/>
                    <w:lang w:val="en-US"/>
                  </w:rPr>
                  <m:t>,</m:t>
                </m:r>
                <m:r>
                  <w:rPr>
                    <w:rFonts w:ascii="Cambria Math" w:hAnsi="Cambria Math" w:cs="Times New Roman"/>
                    <w:color w:val="242B84"/>
                    <w:szCs w:val="18"/>
                  </w:rPr>
                  <m:t>t</m:t>
                </m:r>
                <m:r>
                  <w:rPr>
                    <w:rFonts w:ascii="Cambria Math" w:hAnsi="Cambria Math" w:cs="Times New Roman"/>
                    <w:color w:val="242B84"/>
                    <w:szCs w:val="18"/>
                    <w:lang w:val="en-US"/>
                  </w:rPr>
                  <m:t>+1</m:t>
                </m:r>
              </m:e>
            </m:d>
          </m:sub>
        </m:sSub>
        <m:r>
          <w:rPr>
            <w:rFonts w:ascii="Cambria Math" w:hAnsi="Cambria Math" w:cs="Times New Roman"/>
            <w:color w:val="242B84"/>
            <w:szCs w:val="18"/>
            <w:lang w:val="en-US"/>
          </w:rPr>
          <m:t>=</m:t>
        </m:r>
        <m:d>
          <m:dPr>
            <m:ctrlPr>
              <w:rPr>
                <w:rFonts w:ascii="Cambria Math" w:hAnsi="Cambria Math" w:cs="Times New Roman"/>
                <w:color w:val="242B84"/>
                <w:szCs w:val="18"/>
              </w:rPr>
            </m:ctrlPr>
          </m:dPr>
          <m:e>
            <m:r>
              <w:rPr>
                <w:rFonts w:ascii="Cambria Math" w:hAnsi="Cambria Math" w:cs="Times New Roman"/>
                <w:color w:val="242B84"/>
                <w:szCs w:val="18"/>
                <w:lang w:val="en-US"/>
              </w:rPr>
              <m:t>1-</m:t>
            </m:r>
            <m:r>
              <w:rPr>
                <w:rFonts w:ascii="Cambria Math" w:hAnsi="Cambria Math" w:cs="Times New Roman"/>
                <w:color w:val="242B84"/>
                <w:szCs w:val="18"/>
              </w:rPr>
              <m:t>δ</m:t>
            </m:r>
          </m:e>
        </m:d>
        <m:sSub>
          <m:sSubPr>
            <m:ctrlPr>
              <w:rPr>
                <w:rFonts w:ascii="Cambria Math" w:hAnsi="Cambria Math" w:cs="Times New Roman"/>
                <w:color w:val="242B84"/>
                <w:szCs w:val="18"/>
              </w:rPr>
            </m:ctrlPr>
          </m:sSubPr>
          <m:e>
            <m:r>
              <w:rPr>
                <w:rFonts w:ascii="Cambria Math" w:hAnsi="Cambria Math" w:cs="Times New Roman"/>
                <w:color w:val="242B84"/>
                <w:szCs w:val="18"/>
              </w:rPr>
              <m:t>K</m:t>
            </m:r>
          </m:e>
          <m:sub>
            <m:d>
              <m:dPr>
                <m:ctrlPr>
                  <w:rPr>
                    <w:rFonts w:ascii="Cambria Math" w:hAnsi="Cambria Math" w:cs="Times New Roman"/>
                    <w:color w:val="242B84"/>
                    <w:szCs w:val="18"/>
                  </w:rPr>
                </m:ctrlPr>
              </m:dPr>
              <m:e>
                <m:r>
                  <w:rPr>
                    <w:rFonts w:ascii="Cambria Math" w:hAnsi="Cambria Math" w:cs="Times New Roman"/>
                    <w:color w:val="242B84"/>
                    <w:szCs w:val="18"/>
                  </w:rPr>
                  <m:t>s</m:t>
                </m:r>
                <m:r>
                  <w:rPr>
                    <w:rFonts w:ascii="Cambria Math" w:hAnsi="Cambria Math" w:cs="Times New Roman"/>
                    <w:color w:val="242B84"/>
                    <w:szCs w:val="18"/>
                    <w:lang w:val="en-US"/>
                  </w:rPr>
                  <m:t>,</m:t>
                </m:r>
                <m:r>
                  <w:rPr>
                    <w:rFonts w:ascii="Cambria Math" w:hAnsi="Cambria Math" w:cs="Times New Roman"/>
                    <w:color w:val="242B84"/>
                    <w:szCs w:val="18"/>
                  </w:rPr>
                  <m:t>t</m:t>
                </m:r>
              </m:e>
            </m:d>
          </m:sub>
        </m:sSub>
        <m:r>
          <w:rPr>
            <w:rFonts w:ascii="Cambria Math" w:hAnsi="Cambria Math" w:cs="Times New Roman"/>
            <w:color w:val="242B84"/>
            <w:szCs w:val="18"/>
            <w:lang w:val="en-US"/>
          </w:rPr>
          <m:t>+</m:t>
        </m:r>
        <m:sSub>
          <m:sSubPr>
            <m:ctrlPr>
              <w:rPr>
                <w:rFonts w:ascii="Cambria Math" w:hAnsi="Cambria Math" w:cs="Times New Roman"/>
                <w:color w:val="242B84"/>
                <w:szCs w:val="18"/>
              </w:rPr>
            </m:ctrlPr>
          </m:sSubPr>
          <m:e>
            <m:r>
              <w:rPr>
                <w:rFonts w:ascii="Cambria Math" w:hAnsi="Cambria Math" w:cs="Times New Roman"/>
                <w:color w:val="242B84"/>
                <w:szCs w:val="18"/>
              </w:rPr>
              <m:t>I</m:t>
            </m:r>
          </m:e>
          <m:sub>
            <m:d>
              <m:dPr>
                <m:ctrlPr>
                  <w:rPr>
                    <w:rFonts w:ascii="Cambria Math" w:hAnsi="Cambria Math" w:cs="Times New Roman"/>
                    <w:color w:val="242B84"/>
                    <w:szCs w:val="18"/>
                  </w:rPr>
                </m:ctrlPr>
              </m:dPr>
              <m:e>
                <m:r>
                  <w:rPr>
                    <w:rFonts w:ascii="Cambria Math" w:hAnsi="Cambria Math" w:cs="Times New Roman"/>
                    <w:color w:val="242B84"/>
                    <w:szCs w:val="18"/>
                  </w:rPr>
                  <m:t>s</m:t>
                </m:r>
                <m:r>
                  <w:rPr>
                    <w:rFonts w:ascii="Cambria Math" w:hAnsi="Cambria Math" w:cs="Times New Roman"/>
                    <w:color w:val="242B84"/>
                    <w:szCs w:val="18"/>
                    <w:lang w:val="en-US"/>
                  </w:rPr>
                  <m:t>,</m:t>
                </m:r>
                <m:r>
                  <w:rPr>
                    <w:rFonts w:ascii="Cambria Math" w:hAnsi="Cambria Math" w:cs="Times New Roman"/>
                    <w:color w:val="242B84"/>
                    <w:szCs w:val="18"/>
                  </w:rPr>
                  <m:t>t</m:t>
                </m:r>
              </m:e>
            </m:d>
          </m:sub>
        </m:sSub>
        <m:sSub>
          <m:sSubPr>
            <m:ctrlPr>
              <w:rPr>
                <w:rFonts w:ascii="Cambria Math" w:hAnsi="Cambria Math" w:cs="Times New Roman"/>
                <w:color w:val="242B84"/>
                <w:szCs w:val="18"/>
              </w:rPr>
            </m:ctrlPr>
          </m:sSubPr>
          <m:e>
            <m:r>
              <m:rPr>
                <m:sty m:val="p"/>
              </m:rPr>
              <w:rPr>
                <w:rFonts w:ascii="Cambria Math" w:hAnsi="Cambria Math" w:cs="Times New Roman"/>
                <w:color w:val="242B84"/>
                <w:szCs w:val="18"/>
              </w:rPr>
              <m:t>Γ</m:t>
            </m:r>
          </m:e>
          <m:sub>
            <m:d>
              <m:dPr>
                <m:ctrlPr>
                  <w:rPr>
                    <w:rFonts w:ascii="Cambria Math" w:hAnsi="Cambria Math" w:cs="Times New Roman"/>
                    <w:color w:val="242B84"/>
                    <w:szCs w:val="18"/>
                  </w:rPr>
                </m:ctrlPr>
              </m:dPr>
              <m:e>
                <m:r>
                  <w:rPr>
                    <w:rFonts w:ascii="Cambria Math" w:hAnsi="Cambria Math" w:cs="Times New Roman"/>
                    <w:color w:val="242B84"/>
                    <w:szCs w:val="18"/>
                  </w:rPr>
                  <m:t/>
                </m:r>
                <m:r>
                  <w:rPr>
                    <w:rFonts w:ascii="Cambria Math" w:hAnsi="Cambria Math" w:cs="Times New Roman"/>
                    <w:color w:val="242B84"/>
                    <w:szCs w:val="18"/>
                  </w:rPr>
                  <w:lastRenderedPageBreak/>
                  <m:t/>
                </m:r>
                <m:r>
                  <w:rPr>
                    <w:rFonts w:ascii="Cambria Math" w:hAnsi="Cambria Math" w:cs="Times New Roman"/>
                    <w:color w:val="242B84"/>
                    <w:szCs w:val="18"/>
                    <w:lang w:val="en-US"/>
                  </w:rPr>
                  <m:t>,</m:t>
                </m:r>
                <m:r>
                  <w:rPr>
                    <w:rFonts w:ascii="Cambria Math" w:hAnsi="Cambria Math" w:cs="Times New Roman"/>
                    <w:color w:val="242B84"/>
                    <w:szCs w:val="18"/>
                  </w:rPr>
                  <m:t>t</m:t>
                </m:r>
              </m:e>
            </m:d>
          </m:sub>
        </m:sSub>
        <m:r>
          <w:rPr>
            <w:rFonts w:ascii="Cambria Math" w:hAnsi="Cambria Math" w:cs="Times New Roman"/>
            <w:color w:val="242B84"/>
            <w:szCs w:val="18"/>
            <w:lang w:val="en-US"/>
          </w:rPr>
          <m:t>-</m:t>
        </m:r>
        <m:sSubSup>
          <m:sSubSupPr>
            <m:ctrlPr>
              <w:rPr>
                <w:rFonts w:ascii="Cambria Math" w:hAnsi="Cambria Math" w:cs="Times New Roman"/>
                <w:color w:val="242B84"/>
                <w:szCs w:val="18"/>
              </w:rPr>
            </m:ctrlPr>
          </m:sSubSupPr>
          <m:e>
            <m:r>
              <w:rPr>
                <w:rFonts w:ascii="Cambria Math" w:hAnsi="Cambria Math" w:cs="Times New Roman"/>
                <w:color w:val="242B84"/>
                <w:szCs w:val="18"/>
              </w:rPr>
              <m:t>D</m:t>
            </m:r>
          </m:e>
          <m:sub>
            <m:d>
              <m:dPr>
                <m:ctrlPr>
                  <w:rPr>
                    <w:rFonts w:ascii="Cambria Math" w:hAnsi="Cambria Math" w:cs="Times New Roman"/>
                    <w:color w:val="242B84"/>
                    <w:szCs w:val="18"/>
                  </w:rPr>
                </m:ctrlPr>
              </m:dPr>
              <m:e>
                <m:r>
                  <w:rPr>
                    <w:rFonts w:ascii="Cambria Math" w:hAnsi="Cambria Math" w:cs="Times New Roman"/>
                    <w:color w:val="242B84"/>
                    <w:szCs w:val="18"/>
                  </w:rPr>
                  <m:t>s</m:t>
                </m:r>
                <m:r>
                  <w:rPr>
                    <w:rFonts w:ascii="Cambria Math" w:hAnsi="Cambria Math" w:cs="Times New Roman"/>
                    <w:color w:val="242B84"/>
                    <w:szCs w:val="18"/>
                    <w:lang w:val="en-US"/>
                  </w:rPr>
                  <m:t>,</m:t>
                </m:r>
                <m:r>
                  <w:rPr>
                    <w:rFonts w:ascii="Cambria Math" w:hAnsi="Cambria Math" w:cs="Times New Roman"/>
                    <w:color w:val="242B84"/>
                    <w:szCs w:val="18"/>
                  </w:rPr>
                  <m:t>t</m:t>
                </m:r>
              </m:e>
            </m:d>
          </m:sub>
          <m:sup>
            <m:r>
              <w:rPr>
                <w:rFonts w:ascii="Cambria Math" w:hAnsi="Cambria Math" w:cs="Times New Roman"/>
                <w:color w:val="242B84"/>
                <w:szCs w:val="18"/>
              </w:rPr>
              <m:t>K</m:t>
            </m:r>
          </m:sup>
        </m:sSubSup>
      </m:oMath>
      <w:r w:rsidRPr="00E36010">
        <w:rPr>
          <w:lang w:val="en-US"/>
        </w:rPr>
        <w:t xml:space="preserve">, where climate damages </w:t>
      </w:r>
      <m:oMath>
        <m:sSubSup>
          <m:sSubSupPr>
            <m:ctrlPr>
              <w:rPr>
                <w:rFonts w:ascii="Cambria Math" w:hAnsi="Cambria Math" w:cs="Times New Roman"/>
                <w:color w:val="242B84"/>
                <w:szCs w:val="18"/>
              </w:rPr>
            </m:ctrlPr>
          </m:sSubSupPr>
          <m:e>
            <m:r>
              <w:rPr>
                <w:rFonts w:ascii="Cambria Math" w:hAnsi="Cambria Math" w:cs="Times New Roman"/>
                <w:color w:val="242B84"/>
                <w:szCs w:val="18"/>
              </w:rPr>
              <m:t>D</m:t>
            </m:r>
          </m:e>
          <m:sub>
            <m:d>
              <m:dPr>
                <m:ctrlPr>
                  <w:rPr>
                    <w:rFonts w:ascii="Cambria Math" w:hAnsi="Cambria Math" w:cs="Times New Roman"/>
                    <w:color w:val="242B84"/>
                    <w:szCs w:val="18"/>
                  </w:rPr>
                </m:ctrlPr>
              </m:dPr>
              <m:e>
                <m:r>
                  <w:rPr>
                    <w:rFonts w:ascii="Cambria Math" w:hAnsi="Cambria Math" w:cs="Times New Roman"/>
                    <w:color w:val="242B84"/>
                    <w:szCs w:val="18"/>
                  </w:rPr>
                  <m:t>s,t</m:t>
                </m:r>
              </m:e>
            </m:d>
          </m:sub>
          <m:sup>
            <m:r>
              <w:rPr>
                <w:rFonts w:ascii="Cambria Math" w:hAnsi="Cambria Math" w:cs="Times New Roman"/>
                <w:color w:val="242B84"/>
                <w:szCs w:val="18"/>
              </w:rPr>
              <m:t>K</m:t>
            </m:r>
          </m:sup>
        </m:sSubSup>
      </m:oMath>
      <w:r w:rsidRPr="00E36010">
        <w:rPr>
          <w:lang w:val="en-US"/>
        </w:rPr>
        <w:t xml:space="preserve"> reduce the capital stock directly;</w:t>
      </w:r>
    </w:p>
    <w:p w14:paraId="319159A0" w14:textId="41059C9C" w:rsidR="00050AF7" w:rsidRPr="00E36010" w:rsidRDefault="00000000">
      <w:pPr>
        <w:pStyle w:val="Compact"/>
        <w:numPr>
          <w:ilvl w:val="0"/>
          <w:numId w:val="3"/>
        </w:numPr>
        <w:rPr>
          <w:lang w:val="pt-PT"/>
        </w:rPr>
      </w:pPr>
      <w:r w:rsidRPr="00E36010">
        <w:rPr>
          <w:b/>
          <w:bCs/>
          <w:lang w:val="pt-PT"/>
        </w:rPr>
        <w:t>housing accumulation</w:t>
      </w:r>
      <w:r w:rsidRPr="00E36010">
        <w:rPr>
          <w:lang w:val="pt-PT"/>
        </w:rPr>
        <w:t xml:space="preserve">, </w:t>
      </w:r>
      <m:oMath>
        <m:sSub>
          <m:sSubPr>
            <m:ctrlPr>
              <w:rPr>
                <w:rFonts w:ascii="Cambria Math" w:hAnsi="Cambria Math" w:cs="Times New Roman"/>
                <w:color w:val="242B84"/>
                <w:szCs w:val="18"/>
              </w:rPr>
            </m:ctrlPr>
          </m:sSubPr>
          <m:e>
            <m:r>
              <w:rPr>
                <w:rFonts w:ascii="Cambria Math" w:hAnsi="Cambria Math" w:cs="Times New Roman"/>
                <w:color w:val="242B84"/>
                <w:szCs w:val="18"/>
              </w:rPr>
              <m:t>H</m:t>
            </m:r>
          </m:e>
          <m:sub>
            <m:d>
              <m:dPr>
                <m:ctrlPr>
                  <w:rPr>
                    <w:rFonts w:ascii="Cambria Math" w:hAnsi="Cambria Math" w:cs="Times New Roman"/>
                    <w:color w:val="242B84"/>
                    <w:szCs w:val="18"/>
                  </w:rPr>
                </m:ctrlPr>
              </m:dPr>
              <m:e>
                <m:r>
                  <w:rPr>
                    <w:rFonts w:ascii="Cambria Math" w:hAnsi="Cambria Math" w:cs="Times New Roman"/>
                    <w:color w:val="242B84"/>
                    <w:szCs w:val="18"/>
                  </w:rPr>
                  <m:t>t+1</m:t>
                </m:r>
              </m:e>
            </m:d>
          </m:sub>
        </m:sSub>
        <m:r>
          <w:rPr>
            <w:rFonts w:ascii="Cambria Math" w:hAnsi="Cambria Math" w:cs="Times New Roman"/>
            <w:color w:val="242B84"/>
            <w:szCs w:val="18"/>
          </w:rPr>
          <m:t>=</m:t>
        </m:r>
        <m:d>
          <m:dPr>
            <m:ctrlPr>
              <w:rPr>
                <w:rFonts w:ascii="Cambria Math" w:hAnsi="Cambria Math" w:cs="Times New Roman"/>
                <w:color w:val="242B84"/>
                <w:szCs w:val="18"/>
              </w:rPr>
            </m:ctrlPr>
          </m:dPr>
          <m:e>
            <m:r>
              <w:rPr>
                <w:rFonts w:ascii="Cambria Math" w:hAnsi="Cambria Math" w:cs="Times New Roman"/>
                <w:color w:val="242B84"/>
                <w:szCs w:val="18"/>
              </w:rPr>
              <m:t>1-</m:t>
            </m:r>
            <m:sSup>
              <m:sSupPr>
                <m:ctrlPr>
                  <w:rPr>
                    <w:rFonts w:ascii="Cambria Math" w:hAnsi="Cambria Math" w:cs="Times New Roman"/>
                    <w:color w:val="242B84"/>
                    <w:szCs w:val="18"/>
                  </w:rPr>
                </m:ctrlPr>
              </m:sSupPr>
              <m:e>
                <m:r>
                  <w:rPr>
                    <w:rFonts w:ascii="Cambria Math" w:hAnsi="Cambria Math" w:cs="Times New Roman"/>
                    <w:color w:val="242B84"/>
                    <w:szCs w:val="18"/>
                  </w:rPr>
                  <m:t>δ</m:t>
                </m:r>
              </m:e>
              <m:sup>
                <m:r>
                  <w:rPr>
                    <w:rFonts w:ascii="Cambria Math" w:hAnsi="Cambria Math" w:cs="Times New Roman"/>
                    <w:color w:val="242B84"/>
                    <w:szCs w:val="18"/>
                  </w:rPr>
                  <m:t>H</m:t>
                </m:r>
              </m:sup>
            </m:sSup>
          </m:e>
        </m:d>
        <m:sSub>
          <m:sSubPr>
            <m:ctrlPr>
              <w:rPr>
                <w:rFonts w:ascii="Cambria Math" w:hAnsi="Cambria Math" w:cs="Times New Roman"/>
                <w:color w:val="242B84"/>
                <w:szCs w:val="18"/>
              </w:rPr>
            </m:ctrlPr>
          </m:sSubPr>
          <m:e>
            <m:r>
              <w:rPr>
                <w:rFonts w:ascii="Cambria Math" w:hAnsi="Cambria Math" w:cs="Times New Roman"/>
                <w:color w:val="242B84"/>
                <w:szCs w:val="18"/>
              </w:rPr>
              <m:t>H</m:t>
            </m:r>
          </m:e>
          <m:sub>
            <m:r>
              <w:rPr>
                <w:rFonts w:ascii="Cambria Math" w:hAnsi="Cambria Math" w:cs="Times New Roman"/>
                <w:color w:val="242B84"/>
                <w:szCs w:val="18"/>
              </w:rPr>
              <m:t>t</m:t>
            </m:r>
          </m:sub>
        </m:sSub>
        <m:r>
          <w:rPr>
            <w:rFonts w:ascii="Cambria Math" w:hAnsi="Cambria Math" w:cs="Times New Roman"/>
            <w:color w:val="242B84"/>
            <w:szCs w:val="18"/>
          </w:rPr>
          <m:t>+</m:t>
        </m:r>
        <m:sSubSup>
          <m:sSubSupPr>
            <m:ctrlPr>
              <w:rPr>
                <w:rFonts w:ascii="Cambria Math" w:hAnsi="Cambria Math" w:cs="Times New Roman"/>
                <w:color w:val="242B84"/>
                <w:szCs w:val="18"/>
              </w:rPr>
            </m:ctrlPr>
          </m:sSubSupPr>
          <m:e>
            <m:r>
              <w:rPr>
                <w:rFonts w:ascii="Cambria Math" w:hAnsi="Cambria Math" w:cs="Times New Roman"/>
                <w:color w:val="242B84"/>
                <w:szCs w:val="18"/>
              </w:rPr>
              <m:t>I</m:t>
            </m:r>
          </m:e>
          <m:sub>
            <m:r>
              <w:rPr>
                <w:rFonts w:ascii="Cambria Math" w:hAnsi="Cambria Math" w:cs="Times New Roman"/>
                <w:color w:val="242B84"/>
                <w:szCs w:val="18"/>
              </w:rPr>
              <m:t>t</m:t>
            </m:r>
          </m:sub>
          <m:sup>
            <m:r>
              <w:rPr>
                <w:rFonts w:ascii="Cambria Math" w:hAnsi="Cambria Math" w:cs="Times New Roman"/>
                <w:color w:val="242B84"/>
                <w:szCs w:val="18"/>
              </w:rPr>
              <m:t>H</m:t>
            </m:r>
          </m:sup>
        </m:sSubSup>
        <m:r>
          <w:rPr>
            <w:rFonts w:ascii="Cambria Math" w:hAnsi="Cambria Math" w:cs="Times New Roman"/>
            <w:color w:val="242B84"/>
            <w:szCs w:val="18"/>
          </w:rPr>
          <m:t>-</m:t>
        </m:r>
        <m:sSubSup>
          <m:sSubSupPr>
            <m:ctrlPr>
              <w:rPr>
                <w:rFonts w:ascii="Cambria Math" w:hAnsi="Cambria Math" w:cs="Times New Roman"/>
                <w:color w:val="242B84"/>
                <w:szCs w:val="18"/>
              </w:rPr>
            </m:ctrlPr>
          </m:sSubSupPr>
          <m:e>
            <m:r>
              <w:rPr>
                <w:rFonts w:ascii="Cambria Math" w:hAnsi="Cambria Math" w:cs="Times New Roman"/>
                <w:color w:val="242B84"/>
                <w:szCs w:val="18"/>
              </w:rPr>
              <m:t>D</m:t>
            </m:r>
          </m:e>
          <m:sub>
            <m:r>
              <w:rPr>
                <w:rFonts w:ascii="Cambria Math" w:hAnsi="Cambria Math" w:cs="Times New Roman"/>
                <w:color w:val="242B84"/>
                <w:szCs w:val="18"/>
              </w:rPr>
              <m:t>t</m:t>
            </m:r>
          </m:sub>
          <m:sup>
            <m:r>
              <w:rPr>
                <w:rFonts w:ascii="Cambria Math" w:hAnsi="Cambria Math" w:cs="Times New Roman"/>
                <w:color w:val="242B84"/>
                <w:szCs w:val="18"/>
              </w:rPr>
              <m:t>H</m:t>
            </m:r>
          </m:sup>
        </m:sSubSup>
        <m:r>
          <w:rPr>
            <w:rFonts w:ascii="Cambria Math" w:hAnsi="Cambria Math" w:cs="Times New Roman"/>
            <w:color w:val="242B84"/>
            <w:szCs w:val="18"/>
          </w:rPr>
          <m:t>.</m:t>
        </m:r>
      </m:oMath>
    </w:p>
    <w:p w14:paraId="30281AA7" w14:textId="77777777" w:rsidR="00050AF7" w:rsidRPr="00E36010" w:rsidRDefault="00000000">
      <w:pPr>
        <w:pStyle w:val="FirstParagraph"/>
        <w:rPr>
          <w:lang w:val="en-US"/>
        </w:rPr>
      </w:pPr>
      <w:r w:rsidRPr="00E36010">
        <w:rPr>
          <w:lang w:val="en-US"/>
        </w:rPr>
        <w:t>Income sources are rental income from sector-specific capital, labor income across sectors, and returns on foreign bond holdings; foreign borrowing carries a debt-elastic risk premium (§3.7, §5.3).</w:t>
      </w:r>
    </w:p>
    <w:p w14:paraId="0D93561B" w14:textId="68556BAC" w:rsidR="00050AF7" w:rsidRPr="00247F97" w:rsidRDefault="00000000" w:rsidP="00247F97">
      <w:pPr>
        <w:pStyle w:val="Heading2"/>
        <w:rPr>
          <w:lang w:val="en-US"/>
        </w:rPr>
      </w:pPr>
      <w:bookmarkStart w:id="25" w:name="firms-and-the-production-structure"/>
      <w:bookmarkStart w:id="26" w:name="_Toc235867052"/>
      <w:bookmarkEnd w:id="23"/>
      <w:r w:rsidRPr="00247F97">
        <w:rPr>
          <w:lang w:val="en-US"/>
        </w:rPr>
        <w:t>Firms and the production structure</w:t>
      </w:r>
      <w:bookmarkEnd w:id="26"/>
    </w:p>
    <w:p w14:paraId="685B10B0" w14:textId="77777777" w:rsidR="00050AF7" w:rsidRPr="00E36010" w:rsidRDefault="00000000">
      <w:pPr>
        <w:pStyle w:val="FirstParagraph"/>
        <w:rPr>
          <w:lang w:val="en-US"/>
        </w:rPr>
      </w:pPr>
      <w:r w:rsidRPr="00E36010">
        <w:rPr>
          <w:lang w:val="en-US"/>
        </w:rPr>
        <w:t xml:space="preserve">In each sector </w:t>
      </w:r>
      <w:r w:rsidRPr="00E36010">
        <w:rPr>
          <w:rStyle w:val="VerbatimChar"/>
          <w:rFonts w:eastAsiaTheme="minorHAnsi"/>
          <w:lang w:val="en-US"/>
        </w:rPr>
        <w:t>s</w:t>
      </w:r>
      <w:r w:rsidRPr="00E36010">
        <w:rPr>
          <w:lang w:val="en-US"/>
        </w:rPr>
        <w:t xml:space="preserve">, firms choose intermediate inputs </w:t>
      </w:r>
      <w:r w:rsidRPr="00E36010">
        <w:rPr>
          <w:rStyle w:val="VerbatimChar"/>
          <w:rFonts w:eastAsiaTheme="minorHAnsi"/>
          <w:lang w:val="en-US"/>
        </w:rPr>
        <w:t>Q^I_(s,k,t)</w:t>
      </w:r>
      <w:r w:rsidRPr="00E36010">
        <w:rPr>
          <w:lang w:val="en-US"/>
        </w:rPr>
        <w:t xml:space="preserve">, labor </w:t>
      </w:r>
      <w:r w:rsidRPr="00E36010">
        <w:rPr>
          <w:rStyle w:val="VerbatimChar"/>
          <w:rFonts w:eastAsiaTheme="minorHAnsi"/>
          <w:lang w:val="en-US"/>
        </w:rPr>
        <w:t>L_(s,t)</w:t>
      </w:r>
      <w:r w:rsidRPr="00E36010">
        <w:rPr>
          <w:lang w:val="en-US"/>
        </w:rPr>
        <w:t xml:space="preserve">, and capital </w:t>
      </w:r>
      <w:r w:rsidRPr="00E36010">
        <w:rPr>
          <w:rStyle w:val="VerbatimChar"/>
          <w:rFonts w:eastAsiaTheme="minorHAnsi"/>
          <w:lang w:val="en-US"/>
        </w:rPr>
        <w:t>K_(s,t)</w:t>
      </w:r>
      <w:r w:rsidRPr="00E36010">
        <w:rPr>
          <w:lang w:val="en-US"/>
        </w:rPr>
        <w:t xml:space="preserve"> to maximize static profit:</w:t>
      </w:r>
    </w:p>
    <w:p w14:paraId="089C29B3" w14:textId="77777777" w:rsidR="00050AF7" w:rsidRDefault="00000000">
      <w:pPr>
        <w:pStyle w:val="BodyText"/>
      </w:pPr>
      <w:r>
        <w:rPr>
          <w:noProof/>
        </w:rPr>
        <w:drawing>
          <wp:inline distT="0" distB="0" distL="0" distR="0" wp14:anchorId="669933C1" wp14:editId="1E6358DE">
            <wp:extent cx="4176064" cy="41913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Users\schul\Documents\GitHub\DGE-METRIC\.tmp\technical_report_build\math\math-0002.png"/>
                    <pic:cNvPicPr>
                      <a:picLocks noChangeAspect="1" noChangeArrowheads="1"/>
                    </pic:cNvPicPr>
                  </pic:nvPicPr>
                  <pic:blipFill>
                    <a:blip r:embed="rId9"/>
                    <a:stretch>
                      <a:fillRect/>
                    </a:stretch>
                  </pic:blipFill>
                  <pic:spPr bwMode="auto">
                    <a:xfrm>
                      <a:off x="0" y="0"/>
                      <a:ext cx="4176064" cy="419130"/>
                    </a:xfrm>
                    <a:prstGeom prst="rect">
                      <a:avLst/>
                    </a:prstGeom>
                    <a:noFill/>
                    <a:ln w="9525">
                      <a:noFill/>
                      <a:headEnd/>
                      <a:tailEnd/>
                    </a:ln>
                  </pic:spPr>
                </pic:pic>
              </a:graphicData>
            </a:graphic>
          </wp:inline>
        </w:drawing>
      </w:r>
    </w:p>
    <w:p w14:paraId="69F871DF" w14:textId="77777777" w:rsidR="00050AF7" w:rsidRPr="00E36010" w:rsidRDefault="00000000">
      <w:pPr>
        <w:pStyle w:val="BodyText"/>
        <w:rPr>
          <w:lang w:val="en-US"/>
        </w:rPr>
      </w:pPr>
      <w:r w:rsidRPr="00E36010">
        <w:rPr>
          <w:lang w:val="en-US"/>
        </w:rPr>
        <w:t xml:space="preserve">Sector-specific emission intensity </w:t>
      </w:r>
      <w:r>
        <w:rPr>
          <w:rStyle w:val="VerbatimChar"/>
          <w:rFonts w:eastAsiaTheme="minorHAnsi"/>
        </w:rPr>
        <w:t>κ</w:t>
      </w:r>
      <w:r w:rsidRPr="00E36010">
        <w:rPr>
          <w:rStyle w:val="VerbatimChar"/>
          <w:rFonts w:eastAsiaTheme="minorHAnsi"/>
          <w:lang w:val="en-US"/>
        </w:rPr>
        <w:t>^E_(s,t)</w:t>
      </w:r>
      <w:r w:rsidRPr="00E36010">
        <w:rPr>
          <w:lang w:val="en-US"/>
        </w:rPr>
        <w:t xml:space="preserve"> is proportional to output and can vary over time (the channel through which fuel-switching and emission-intensity scenarios operate). Final output is a CES (or Cobb-Douglas, when the elasticity equals 1) aggregate of intermediate inputs and value added; value added is a CES/Cobb-Douglas aggregate of effective labor and capital; intermediate inputs are themselves a CES aggregate across sectors of origin. See </w:t>
      </w:r>
      <w:hyperlink r:id="rId10">
        <w:r w:rsidRPr="00E36010">
          <w:rPr>
            <w:rStyle w:val="Hyperlink"/>
            <w:lang w:val="en-US"/>
          </w:rPr>
          <w:t>model.md</w:t>
        </w:r>
      </w:hyperlink>
      <w:r w:rsidRPr="00E36010">
        <w:rPr>
          <w:lang w:val="en-US"/>
        </w:rPr>
        <w:t xml:space="preserve"> for the full equation set (production, value-added, and intermediate-aggregation identities, wholesaler/retailer/exporter blocks).</w:t>
      </w:r>
    </w:p>
    <w:p w14:paraId="7B355A8A" w14:textId="02F079FC" w:rsidR="00050AF7" w:rsidRDefault="00000000" w:rsidP="00247F97">
      <w:pPr>
        <w:pStyle w:val="Heading2"/>
      </w:pPr>
      <w:bookmarkStart w:id="27" w:name="wholesaler-retailer-exporter"/>
      <w:bookmarkStart w:id="28" w:name="_Toc235867053"/>
      <w:bookmarkEnd w:id="25"/>
      <w:r>
        <w:t>Wholesaler, retailer, exporter</w:t>
      </w:r>
      <w:bookmarkEnd w:id="28"/>
    </w:p>
    <w:p w14:paraId="48DF5ADD" w14:textId="77777777" w:rsidR="00050AF7" w:rsidRPr="00E36010" w:rsidRDefault="00000000">
      <w:pPr>
        <w:pStyle w:val="FirstParagraph"/>
        <w:rPr>
          <w:lang w:val="en-US"/>
        </w:rPr>
      </w:pPr>
      <w:r w:rsidRPr="00E36010">
        <w:rPr>
          <w:lang w:val="en-US"/>
        </w:rPr>
        <w:t>A representative wholesaler in each subsector combines domestic and imported intermediate goods to supply both intermediate demand and final retail demand. A representative retailer combines domestic goods and imports for final use (consumption, investment, and government spending) via a CES nest. An exporter aggregates subsectoral exports into a single export good sold to the rest of the world. Elasticities of substitution between domestic and imported goods (</w:t>
      </w:r>
      <w:r>
        <w:rPr>
          <w:rStyle w:val="VerbatimChar"/>
          <w:rFonts w:eastAsiaTheme="minorHAnsi"/>
        </w:rPr>
        <w:t>η</w:t>
      </w:r>
      <w:r w:rsidRPr="00E36010">
        <w:rPr>
          <w:rStyle w:val="VerbatimChar"/>
          <w:rFonts w:eastAsiaTheme="minorHAnsi"/>
          <w:lang w:val="en-US"/>
        </w:rPr>
        <w:t>^Q_s</w:t>
      </w:r>
      <w:r w:rsidRPr="00E36010">
        <w:rPr>
          <w:lang w:val="en-US"/>
        </w:rPr>
        <w:t xml:space="preserve">, </w:t>
      </w:r>
      <w:r>
        <w:rPr>
          <w:rStyle w:val="VerbatimChar"/>
          <w:rFonts w:eastAsiaTheme="minorHAnsi"/>
        </w:rPr>
        <w:t>η</w:t>
      </w:r>
      <w:r w:rsidRPr="00E36010">
        <w:rPr>
          <w:rStyle w:val="VerbatimChar"/>
          <w:rFonts w:eastAsiaTheme="minorHAnsi"/>
          <w:lang w:val="en-US"/>
        </w:rPr>
        <w:t>^F</w:t>
      </w:r>
      <w:r w:rsidRPr="00E36010">
        <w:rPr>
          <w:lang w:val="en-US"/>
        </w:rPr>
        <w:t>) and origin-sector home bias (</w:t>
      </w:r>
      <w:r>
        <w:rPr>
          <w:rStyle w:val="VerbatimChar"/>
          <w:rFonts w:eastAsiaTheme="minorHAnsi"/>
        </w:rPr>
        <w:t>ω</w:t>
      </w:r>
      <w:r w:rsidRPr="00E36010">
        <w:rPr>
          <w:rStyle w:val="VerbatimChar"/>
          <w:rFonts w:eastAsiaTheme="minorHAnsi"/>
          <w:lang w:val="en-US"/>
        </w:rPr>
        <w:t>^Q_s</w:t>
      </w:r>
      <w:r w:rsidRPr="00E36010">
        <w:rPr>
          <w:lang w:val="en-US"/>
        </w:rPr>
        <w:t xml:space="preserve">, </w:t>
      </w:r>
      <w:r>
        <w:rPr>
          <w:rStyle w:val="VerbatimChar"/>
          <w:rFonts w:eastAsiaTheme="minorHAnsi"/>
        </w:rPr>
        <w:t>ω</w:t>
      </w:r>
      <w:r w:rsidRPr="00E36010">
        <w:rPr>
          <w:rStyle w:val="VerbatimChar"/>
          <w:rFonts w:eastAsiaTheme="minorHAnsi"/>
          <w:lang w:val="en-US"/>
        </w:rPr>
        <w:t>^M_s</w:t>
      </w:r>
      <w:r w:rsidRPr="00E36010">
        <w:rPr>
          <w:lang w:val="en-US"/>
        </w:rPr>
        <w:t>) are sector-specific calibrated parameters.</w:t>
      </w:r>
    </w:p>
    <w:p w14:paraId="3BADBE81" w14:textId="014637F7" w:rsidR="00050AF7" w:rsidRPr="00E36010" w:rsidRDefault="00000000" w:rsidP="00247F97">
      <w:pPr>
        <w:pStyle w:val="Heading2"/>
        <w:rPr>
          <w:lang w:val="en-US"/>
        </w:rPr>
      </w:pPr>
      <w:bookmarkStart w:id="29" w:name="X9e34db115cdd0620a945c9bf25d0c0d9539720c"/>
      <w:bookmarkStart w:id="30" w:name="_Toc235867054"/>
      <w:bookmarkEnd w:id="27"/>
      <w:r w:rsidRPr="00E36010">
        <w:rPr>
          <w:lang w:val="en-US"/>
        </w:rPr>
        <w:t>Government and the Emissions Trading System</w:t>
      </w:r>
      <w:bookmarkEnd w:id="30"/>
    </w:p>
    <w:p w14:paraId="13723C20" w14:textId="77777777" w:rsidR="00050AF7" w:rsidRPr="00E36010" w:rsidRDefault="00000000">
      <w:pPr>
        <w:pStyle w:val="FirstParagraph"/>
        <w:rPr>
          <w:lang w:val="en-US"/>
        </w:rPr>
      </w:pPr>
      <w:r w:rsidRPr="00E36010">
        <w:rPr>
          <w:lang w:val="en-US"/>
        </w:rPr>
        <w:t xml:space="preserve">Fiscal policy follows standard reduced-form rules: tax rates on consumption, labor, and capital income are constant over time (no endogenous fiscal feedback rule), and government expenditure is pinned down by the budget constraint. Revenue sources are consumption tax </w:t>
      </w:r>
      <w:r>
        <w:rPr>
          <w:rStyle w:val="VerbatimChar"/>
          <w:rFonts w:eastAsiaTheme="minorHAnsi"/>
        </w:rPr>
        <w:t>τ</w:t>
      </w:r>
      <w:r w:rsidRPr="00E36010">
        <w:rPr>
          <w:rStyle w:val="VerbatimChar"/>
          <w:rFonts w:eastAsiaTheme="minorHAnsi"/>
          <w:lang w:val="en-US"/>
        </w:rPr>
        <w:t>^C_tC_t</w:t>
      </w:r>
      <w:r w:rsidRPr="00E36010">
        <w:rPr>
          <w:lang w:val="en-US"/>
        </w:rPr>
        <w:t>, labor and capital income taxes, and ETS auction revenue:</w:t>
      </w:r>
    </w:p>
    <w:p w14:paraId="20794243" w14:textId="77777777" w:rsidR="00050AF7" w:rsidRDefault="00000000">
      <w:pPr>
        <w:pStyle w:val="BodyText"/>
      </w:pPr>
      <w:r>
        <w:rPr>
          <w:noProof/>
        </w:rPr>
        <w:drawing>
          <wp:inline distT="0" distB="0" distL="0" distR="0" wp14:anchorId="645509BF" wp14:editId="2D63E112">
            <wp:extent cx="2018995" cy="304753"/>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Users\schul\Documents\GitHub\DGE-METRIC\.tmp\technical_report_build\math\math-0003.png"/>
                    <pic:cNvPicPr>
                      <a:picLocks noChangeAspect="1" noChangeArrowheads="1"/>
                    </pic:cNvPicPr>
                  </pic:nvPicPr>
                  <pic:blipFill>
                    <a:blip r:embed="rId11"/>
                    <a:stretch>
                      <a:fillRect/>
                    </a:stretch>
                  </pic:blipFill>
                  <pic:spPr bwMode="auto">
                    <a:xfrm>
                      <a:off x="0" y="0"/>
                      <a:ext cx="2018995" cy="304753"/>
                    </a:xfrm>
                    <a:prstGeom prst="rect">
                      <a:avLst/>
                    </a:prstGeom>
                    <a:noFill/>
                    <a:ln w="9525">
                      <a:noFill/>
                      <a:headEnd/>
                      <a:tailEnd/>
                    </a:ln>
                  </pic:spPr>
                </pic:pic>
              </a:graphicData>
            </a:graphic>
          </wp:inline>
        </w:drawing>
      </w:r>
    </w:p>
    <w:p w14:paraId="66EFC560" w14:textId="77777777" w:rsidR="00050AF7" w:rsidRPr="00E36010" w:rsidRDefault="00000000">
      <w:pPr>
        <w:pStyle w:val="BodyText"/>
        <w:rPr>
          <w:lang w:val="en-US"/>
        </w:rPr>
      </w:pPr>
      <w:r w:rsidRPr="00E36010">
        <w:rPr>
          <w:lang w:val="en-US"/>
        </w:rPr>
        <w:t xml:space="preserve">Under the ETS, firms hold allowances for covered emissions; the carbon price </w:t>
      </w:r>
      <w:r w:rsidRPr="00E36010">
        <w:rPr>
          <w:rStyle w:val="VerbatimChar"/>
          <w:rFonts w:eastAsiaTheme="minorHAnsi"/>
          <w:lang w:val="en-US"/>
        </w:rPr>
        <w:t>P^E_t</w:t>
      </w:r>
      <w:r w:rsidRPr="00E36010">
        <w:rPr>
          <w:lang w:val="en-US"/>
        </w:rPr>
        <w:t xml:space="preserve"> clears the permit market against the cap. Government debt </w:t>
      </w:r>
      <w:r w:rsidRPr="00E36010">
        <w:rPr>
          <w:rStyle w:val="VerbatimChar"/>
          <w:rFonts w:eastAsiaTheme="minorHAnsi"/>
          <w:lang w:val="en-US"/>
        </w:rPr>
        <w:t>B^G_t</w:t>
      </w:r>
      <w:r w:rsidRPr="00E36010">
        <w:rPr>
          <w:lang w:val="en-US"/>
        </w:rPr>
        <w:t xml:space="preserve"> is serviced at the world interest rate, and the government faces the same interest-rate schedule as households. Because tax rates are fixed, any change in government revenue from climate policy flows entirely through the tax base and the ETS revenue term, not through an endogenous rate response.</w:t>
      </w:r>
    </w:p>
    <w:p w14:paraId="1773E731" w14:textId="77777777" w:rsidR="00050AF7" w:rsidRPr="00E36010" w:rsidRDefault="00000000">
      <w:pPr>
        <w:pStyle w:val="Heading3"/>
        <w:rPr>
          <w:lang w:val="en-US"/>
        </w:rPr>
      </w:pPr>
      <w:bookmarkStart w:id="31" w:name="Xfda2e680fab3706f7e3405a963b000e560df9d9"/>
      <w:bookmarkStart w:id="32" w:name="_Toc235867055"/>
      <w:bookmarkEnd w:id="29"/>
      <w:r w:rsidRPr="00E36010">
        <w:rPr>
          <w:lang w:val="en-US"/>
        </w:rPr>
        <w:t>2.6 Key extensions beyond a textbook DGE model</w:t>
      </w:r>
      <w:bookmarkEnd w:id="32"/>
    </w:p>
    <w:p w14:paraId="54790B2E" w14:textId="77777777" w:rsidR="00050AF7" w:rsidRDefault="00000000">
      <w:pPr>
        <w:pStyle w:val="FirstParagraph"/>
      </w:pPr>
      <w:r>
        <w:rPr>
          <w:noProof/>
        </w:rPr>
        <w:drawing>
          <wp:inline distT="0" distB="0" distL="0" distR="0" wp14:anchorId="6BBE2C9A" wp14:editId="79C21191">
            <wp:extent cx="5334000" cy="468544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Users\schul\Documents\GitHub\DGE-METRIC\.tmp\technical_report_build\tables\table-02.png"/>
                    <pic:cNvPicPr>
                      <a:picLocks noChangeAspect="1" noChangeArrowheads="1"/>
                    </pic:cNvPicPr>
                  </pic:nvPicPr>
                  <pic:blipFill>
                    <a:blip r:embed="rId12"/>
                    <a:stretch>
                      <a:fillRect/>
                    </a:stretch>
                  </pic:blipFill>
                  <pic:spPr bwMode="auto">
                    <a:xfrm>
                      <a:off x="0" y="0"/>
                      <a:ext cx="5334000" cy="4685449"/>
                    </a:xfrm>
                    <a:prstGeom prst="rect">
                      <a:avLst/>
                    </a:prstGeom>
                    <a:noFill/>
                    <a:ln w="9525">
                      <a:noFill/>
                      <a:headEnd/>
                      <a:tailEnd/>
                    </a:ln>
                  </pic:spPr>
                </pic:pic>
              </a:graphicData>
            </a:graphic>
          </wp:inline>
        </w:drawing>
      </w:r>
    </w:p>
    <w:p w14:paraId="42AECF62" w14:textId="78CB7B60" w:rsidR="00050AF7" w:rsidRDefault="00000000" w:rsidP="00247F97">
      <w:pPr>
        <w:pStyle w:val="Heading2"/>
      </w:pPr>
      <w:bookmarkStart w:id="33" w:name="external-sector"/>
      <w:bookmarkStart w:id="34" w:name="_Toc235867056"/>
      <w:bookmarkEnd w:id="31"/>
      <w:r>
        <w:t>External sector</w:t>
      </w:r>
      <w:bookmarkEnd w:id="34"/>
    </w:p>
    <w:p w14:paraId="4756BD1D" w14:textId="77777777" w:rsidR="00050AF7" w:rsidRPr="00E36010" w:rsidRDefault="00000000">
      <w:pPr>
        <w:pStyle w:val="FirstParagraph"/>
        <w:rPr>
          <w:lang w:val="en-US"/>
        </w:rPr>
      </w:pPr>
      <w:r w:rsidRPr="00E36010">
        <w:rPr>
          <w:lang w:val="en-US"/>
        </w:rPr>
        <w:t>Net foreign assets follow a law of motion linked to the tra</w:t>
      </w:r>
      <w:r w:rsidRPr="00E36010">
        <w:rPr>
          <w:lang w:val="en-US"/>
        </w:rPr>
        <w:lastRenderedPageBreak/>
        <w:t xml:space="preserve">de balance; the external finance premium is debt-elastic, </w:t>
      </w:r>
      <w:r w:rsidRPr="00E36010">
        <w:rPr>
          <w:rStyle w:val="VerbatimChar"/>
          <w:rFonts w:eastAsiaTheme="minorHAnsi"/>
          <w:lang w:val="en-US"/>
        </w:rPr>
        <w:t>exp(-</w:t>
      </w:r>
      <w:r>
        <w:rPr>
          <w:rStyle w:val="VerbatimChar"/>
          <w:rFonts w:eastAsiaTheme="minorHAnsi"/>
        </w:rPr>
        <w:t>φ</w:t>
      </w:r>
      <w:r w:rsidRPr="00E36010">
        <w:rPr>
          <w:rStyle w:val="VerbatimChar"/>
          <w:rFonts w:eastAsiaTheme="minorHAnsi"/>
          <w:lang w:val="en-US"/>
        </w:rPr>
        <w:t>_B · external_position_gap/Y)</w:t>
      </w:r>
      <w:r w:rsidRPr="00E36010">
        <w:rPr>
          <w:lang w:val="en-US"/>
        </w:rPr>
        <w:t>, with an additional quadratic adjustment cost (</w:t>
      </w:r>
      <w:r>
        <w:rPr>
          <w:rStyle w:val="VerbatimChar"/>
          <w:rFonts w:eastAsiaTheme="minorHAnsi"/>
        </w:rPr>
        <w:t>φ</w:t>
      </w:r>
      <w:r w:rsidRPr="00E36010">
        <w:rPr>
          <w:rStyle w:val="VerbatimChar"/>
          <w:rFonts w:eastAsiaTheme="minorHAnsi"/>
          <w:lang w:val="en-US"/>
        </w:rPr>
        <w:t>_(adjB)</w:t>
      </w:r>
      <w:r w:rsidRPr="00E36010">
        <w:rPr>
          <w:lang w:val="en-US"/>
        </w:rPr>
        <w:t xml:space="preserve">) — a standard closure device for stationarity in small open-economy models. The exchange-rate variable </w:t>
      </w:r>
      <w:r w:rsidRPr="00E36010">
        <w:rPr>
          <w:rStyle w:val="VerbatimChar"/>
          <w:rFonts w:eastAsiaTheme="minorHAnsi"/>
          <w:lang w:val="en-US"/>
        </w:rPr>
        <w:t>s_(reg)</w:t>
      </w:r>
      <w:r w:rsidRPr="00E36010">
        <w:rPr>
          <w:lang w:val="en-US"/>
        </w:rPr>
        <w:t xml:space="preserve"> is </w:t>
      </w:r>
      <w:r w:rsidRPr="00E36010">
        <w:rPr>
          <w:b/>
          <w:bCs/>
          <w:lang w:val="en-US"/>
        </w:rPr>
        <w:t>not a full UIP-style nominal exchange-rate block</w:t>
      </w:r>
      <w:r w:rsidRPr="00E36010">
        <w:rPr>
          <w:lang w:val="en-US"/>
        </w:rPr>
        <w:t xml:space="preserve">: it follows an AR(1) process when </w:t>
      </w:r>
      <w:r w:rsidRPr="00E36010">
        <w:rPr>
          <w:rStyle w:val="VerbatimChar"/>
          <w:rFonts w:eastAsiaTheme="minorHAnsi"/>
          <w:lang w:val="en-US"/>
        </w:rPr>
        <w:t>exo_lNXTarget = 0</w:t>
      </w:r>
      <w:r w:rsidRPr="00E36010">
        <w:rPr>
          <w:lang w:val="en-US"/>
        </w:rPr>
        <w:t xml:space="preserve">, or becomes the balancing variable that enforces a target net-exports/GDP ratio when </w:t>
      </w:r>
      <w:r w:rsidRPr="00E36010">
        <w:rPr>
          <w:rStyle w:val="VerbatimChar"/>
          <w:rFonts w:eastAsiaTheme="minorHAnsi"/>
          <w:lang w:val="en-US"/>
        </w:rPr>
        <w:t>exo_lNXTarget = 1</w:t>
      </w:r>
      <w:r w:rsidRPr="00E36010">
        <w:rPr>
          <w:lang w:val="en-US"/>
        </w:rPr>
        <w:t xml:space="preserve"> (the baseline mode). Treat </w:t>
      </w:r>
      <w:r w:rsidRPr="00E36010">
        <w:rPr>
          <w:rStyle w:val="VerbatimChar"/>
          <w:rFonts w:eastAsiaTheme="minorHAnsi"/>
          <w:lang w:val="en-US"/>
        </w:rPr>
        <w:t>s_(reg)</w:t>
      </w:r>
      <w:r w:rsidRPr="00E36010">
        <w:rPr>
          <w:lang w:val="en-US"/>
        </w:rPr>
        <w:t xml:space="preserve"> as an external-balance closure/valuation factor, not a nominal exchange rate in the conventional sense (see </w:t>
      </w:r>
      <w:hyperlink r:id="rId13">
        <w:r w:rsidRPr="00E36010">
          <w:rPr>
            <w:rStyle w:val="Hyperlink"/>
            <w:lang w:val="en-US"/>
          </w:rPr>
          <w:t>dev/model_consistency_and_calibration_findings_2026-07-14.md</w:t>
        </w:r>
      </w:hyperlink>
      <w:r w:rsidRPr="00E36010">
        <w:rPr>
          <w:lang w:val="en-US"/>
        </w:rPr>
        <w:t>).</w:t>
      </w:r>
    </w:p>
    <w:p w14:paraId="65A1EB8F" w14:textId="77777777" w:rsidR="00050AF7" w:rsidRDefault="00000000">
      <w:r>
        <w:pict w14:anchorId="2528F12C">
          <v:rect id="_x0000_i1468" style="width:0;height:1.5pt" o:hralign="center" o:hrstd="t" o:hr="t"/>
        </w:pict>
      </w:r>
    </w:p>
    <w:p w14:paraId="0FD6A79E" w14:textId="37E809CE" w:rsidR="00050AF7" w:rsidRDefault="00000000">
      <w:pPr>
        <w:pStyle w:val="Heading2"/>
      </w:pPr>
      <w:bookmarkStart w:id="35" w:name="data-and-calibration"/>
      <w:bookmarkStart w:id="36" w:name="_Toc235867057"/>
      <w:bookmarkEnd w:id="19"/>
      <w:bookmarkEnd w:id="33"/>
      <w:r>
        <w:t>Data and Calibration</w:t>
      </w:r>
      <w:bookmarkEnd w:id="36"/>
    </w:p>
    <w:p w14:paraId="38E903A2" w14:textId="77777777" w:rsidR="00050AF7" w:rsidRDefault="00000000">
      <w:pPr>
        <w:pStyle w:val="Heading3"/>
      </w:pPr>
      <w:bookmarkStart w:id="37" w:name="data-sources"/>
      <w:bookmarkStart w:id="38" w:name="_Toc235867058"/>
      <w:r>
        <w:t>3.1 Data sources</w:t>
      </w:r>
      <w:bookmarkEnd w:id="38"/>
    </w:p>
    <w:p w14:paraId="5E3D3045" w14:textId="77777777" w:rsidR="00050AF7" w:rsidRDefault="00000000">
      <w:pPr>
        <w:pStyle w:val="FirstParagraph"/>
      </w:pPr>
      <w:r>
        <w:rPr>
          <w:noProof/>
        </w:rPr>
        <w:drawing>
          <wp:inline distT="0" distB="0" distL="0" distR="0" wp14:anchorId="2EB8E473" wp14:editId="0620E3DA">
            <wp:extent cx="5334000" cy="3979543"/>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Users\schul\Documents\GitHub\DGE-METRIC\.tmp\technical_report_build\tables\table-03.png"/>
                    <pic:cNvPicPr>
                      <a:picLocks noChangeAspect="1" noChangeArrowheads="1"/>
                    </pic:cNvPicPr>
                  </pic:nvPicPr>
                  <pic:blipFill>
                    <a:blip r:embed="rId14"/>
                    <a:stretch>
                      <a:fillRect/>
                    </a:stretch>
                  </pic:blipFill>
                  <pic:spPr bwMode="auto">
                    <a:xfrm>
                      <a:off x="0" y="0"/>
                      <a:ext cx="5334000" cy="3979543"/>
                    </a:xfrm>
                    <a:prstGeom prst="rect">
                      <a:avLst/>
                    </a:prstGeom>
                    <a:noFill/>
                    <a:ln w="9525">
                      <a:noFill/>
                      <a:headEnd/>
                      <a:tailEnd/>
                    </a:ln>
                  </pic:spPr>
                </pic:pic>
              </a:graphicData>
            </a:graphic>
          </wp:inline>
        </w:drawing>
      </w:r>
    </w:p>
    <w:p w14:paraId="6C71BFC6" w14:textId="77777777" w:rsidR="00050AF7" w:rsidRPr="00E36010" w:rsidRDefault="00000000">
      <w:pPr>
        <w:pStyle w:val="BodyText"/>
        <w:rPr>
          <w:lang w:val="en-US"/>
        </w:rPr>
      </w:pPr>
      <w:r w:rsidRPr="00E36010">
        <w:rPr>
          <w:lang w:val="en-US"/>
        </w:rPr>
        <w:t xml:space="preserve">Full variable-to-source mapping is documented in </w:t>
      </w:r>
      <w:hyperlink r:id="rId15">
        <w:r w:rsidRPr="00E36010">
          <w:rPr>
            <w:rStyle w:val="Hyperlink"/>
            <w:lang w:val="en-US"/>
          </w:rPr>
          <w:t>data_sources.md</w:t>
        </w:r>
      </w:hyperlink>
      <w:r w:rsidRPr="00E36010">
        <w:rPr>
          <w:lang w:val="en-US"/>
        </w:rPr>
        <w:t xml:space="preserve">; parameter-by-parameter citations for the structural-parameters sheet are in </w:t>
      </w:r>
      <w:hyperlink r:id="rId16">
        <w:r w:rsidRPr="00E36010">
          <w:rPr>
            <w:rStyle w:val="Hyperlink"/>
            <w:lang w:val="en-US"/>
          </w:rPr>
          <w:t>structural_parameters_source_audit.md</w:t>
        </w:r>
      </w:hyperlink>
      <w:r w:rsidRPr="00E36010">
        <w:rPr>
          <w:lang w:val="en-US"/>
        </w:rPr>
        <w:t>. Raw source data is maintained outside the repository (size/licensing) and is pre-processed into the calibration workbook.</w:t>
      </w:r>
    </w:p>
    <w:p w14:paraId="62D700AB" w14:textId="5FF94693" w:rsidR="00050AF7" w:rsidRPr="00E36010" w:rsidRDefault="00000000" w:rsidP="00247F97">
      <w:pPr>
        <w:pStyle w:val="Heading2"/>
        <w:rPr>
          <w:lang w:val="en-US"/>
        </w:rPr>
      </w:pPr>
      <w:bookmarkStart w:id="39" w:name="expenditure-side-gdp-cross-check-output"/>
      <w:bookmarkStart w:id="40" w:name="_Toc235867059"/>
      <w:bookmarkEnd w:id="37"/>
      <w:r w:rsidRPr="00E36010">
        <w:rPr>
          <w:lang w:val="en-US"/>
        </w:rPr>
        <w:t>Expenditure-side GDP cross-check output</w:t>
      </w:r>
      <w:bookmarkEnd w:id="40"/>
    </w:p>
    <w:p w14:paraId="6D419621" w14:textId="77777777" w:rsidR="00050AF7" w:rsidRDefault="00000000">
      <w:pPr>
        <w:pStyle w:val="FirstParagraph"/>
      </w:pPr>
      <w:r w:rsidRPr="00E36010">
        <w:rPr>
          <w:b/>
          <w:bCs/>
          <w:lang w:val="en-US"/>
        </w:rPr>
        <w:t>Provenance note (ETS fiscal revenue):</w:t>
      </w:r>
      <w:r w:rsidRPr="00E36010">
        <w:rPr>
          <w:lang w:val="en-US"/>
        </w:rPr>
        <w:t xml:space="preserve"> the model does not use an official published long-run (2030/2050) government ETS revenue forecast for Vietnam. </w:t>
      </w:r>
      <w:r>
        <w:t>Instead, ETS revenue is scenario-based and follows:</w:t>
      </w:r>
    </w:p>
    <w:p w14:paraId="0829736B" w14:textId="77777777" w:rsidR="00050AF7" w:rsidRDefault="00000000">
      <w:pPr>
        <w:pStyle w:val="BodyText"/>
      </w:pPr>
      <w:r>
        <w:rPr>
          <w:noProof/>
        </w:rPr>
        <w:drawing>
          <wp:inline distT="0" distB="0" distL="0" distR="0" wp14:anchorId="36D1CE07" wp14:editId="29D9C659">
            <wp:extent cx="2018995" cy="19047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Users\schul\Documents\GitHub\DGE-METRIC\.tmp\technical_report_build\math\math-0004.png"/>
                    <pic:cNvPicPr>
                      <a:picLocks noChangeAspect="1" noChangeArrowheads="1"/>
                    </pic:cNvPicPr>
                  </pic:nvPicPr>
                  <pic:blipFill>
                    <a:blip r:embed="rId17"/>
                    <a:stretch>
                      <a:fillRect/>
                    </a:stretch>
                  </pic:blipFill>
                  <pic:spPr bwMode="auto">
                    <a:xfrm>
                      <a:off x="0" y="0"/>
                      <a:ext cx="2018995" cy="190471"/>
                    </a:xfrm>
                    <a:prstGeom prst="rect">
                      <a:avLst/>
                    </a:prstGeom>
                    <a:noFill/>
                    <a:ln w="9525">
                      <a:noFill/>
                      <a:headEnd/>
                      <a:tailEnd/>
                    </a:ln>
                  </pic:spPr>
                </pic:pic>
              </a:graphicData>
            </a:graphic>
          </wp:inline>
        </w:drawing>
      </w:r>
    </w:p>
    <w:p w14:paraId="393D7410" w14:textId="77777777" w:rsidR="00050AF7" w:rsidRPr="00E36010" w:rsidRDefault="00000000">
      <w:pPr>
        <w:pStyle w:val="BodyText"/>
        <w:rPr>
          <w:lang w:val="en-US"/>
        </w:rPr>
      </w:pPr>
      <w:r w:rsidRPr="00E36010">
        <w:rPr>
          <w:lang w:val="en-US"/>
        </w:rPr>
        <w:t>where only auctioned allowances generate direct public revenue. Free allocation is treated as compliance value transfer, not fiscal revenue.</w:t>
      </w:r>
    </w:p>
    <w:p w14:paraId="059A5964" w14:textId="21EFF1ED" w:rsidR="00050AF7" w:rsidRPr="00E36010" w:rsidRDefault="00000000" w:rsidP="00247F97">
      <w:pPr>
        <w:pStyle w:val="Heading2"/>
        <w:rPr>
          <w:lang w:val="en-US"/>
        </w:rPr>
      </w:pPr>
      <w:bookmarkStart w:id="41" w:name="X9bc8de0246c94bb176d5dcfb61919a70e281c26"/>
      <w:bookmarkStart w:id="42" w:name="_Toc235867060"/>
      <w:bookmarkEnd w:id="39"/>
      <w:r w:rsidRPr="00E36010">
        <w:rPr>
          <w:lang w:val="en-US"/>
        </w:rPr>
        <w:t>Expenditure-side GDP cross-check output</w:t>
      </w:r>
      <w:bookmarkEnd w:id="42"/>
    </w:p>
    <w:p w14:paraId="0D640110" w14:textId="77777777" w:rsidR="00050AF7" w:rsidRPr="00E36010" w:rsidRDefault="00000000">
      <w:pPr>
        <w:pStyle w:val="FirstParagraph"/>
        <w:rPr>
          <w:lang w:val="en-US"/>
        </w:rPr>
      </w:pPr>
      <w:r w:rsidRPr="00E36010">
        <w:rPr>
          <w:lang w:val="en-US"/>
        </w:rPr>
        <w:t xml:space="preserve">The repository includes a reproducible cross-check generated by </w:t>
      </w:r>
      <w:r w:rsidRPr="00E36010">
        <w:rPr>
          <w:rStyle w:val="VerbatimChar"/>
          <w:rFonts w:eastAsiaTheme="minorHAnsi"/>
          <w:lang w:val="en-US"/>
        </w:rPr>
        <w:t>scripts/reporting/GenerateGDPComponentsStartEndVsActual.m</w:t>
      </w:r>
      <w:r w:rsidRPr="00E36010">
        <w:rPr>
          <w:lang w:val="en-US"/>
        </w:rPr>
        <w:t>, which compares the model’s expenditure-side GDP component shares at the baseline start and end years against actual 2019 Vietnam national-accounts shares.</w:t>
      </w:r>
    </w:p>
    <w:p w14:paraId="50896AF9" w14:textId="77777777" w:rsidR="00050AF7" w:rsidRDefault="00000000">
      <w:pPr>
        <w:pStyle w:val="CaptionedFigure"/>
      </w:pPr>
      <w:r>
        <w:rPr>
          <w:noProof/>
        </w:rPr>
        <w:drawing>
          <wp:inline distT="0" distB="0" distL="0" distR="0" wp14:anchorId="229B1C13" wp14:editId="3390D347">
            <wp:extent cx="5334000" cy="3454695"/>
            <wp:effectExtent l="0" t="0" r="0" b="0"/>
            <wp:docPr id="57" name="Picture" descr="GDP components start/end vs actual"/>
            <wp:cNvGraphicFramePr/>
            <a:graphic xmlns:a="http://schemas.openxmlformats.org/drawingml/2006/main">
              <a:graphicData uri="http://schemas.openxmlformats.org/drawingml/2006/picture">
                <pic:pic xmlns:pic="http://schemas.openxmlformats.org/drawingml/2006/picture">
                  <pic:nvPicPr>
                    <pic:cNvPr id="58" name="Picture" descr="../../Figures/Baseline/GDPComponents/GDPComponents_StartEndVsActual.png"/>
                    <pic:cNvPicPr>
                      <a:picLocks noChangeAspect="1" noChangeArrowheads="1"/>
                    </pic:cNvPicPr>
                  </pic:nvPicPr>
                  <pic:blipFill>
                    <a:blip r:embed="rId18"/>
                    <a:stretch>
                      <a:fillRect/>
                    </a:stretch>
                  </pic:blipFill>
                  <pic:spPr bwMode="auto">
                    <a:xfrm>
                      <a:off x="0" y="0"/>
                      <a:ext cx="5334000" cy="3454695"/>
                    </a:xfrm>
                    <a:prstGeom prst="rect">
                      <a:avLst/>
                    </a:prstGeom>
                    <a:noFill/>
                    <a:ln w="9525">
                      <a:noFill/>
                      <a:headEnd/>
                      <a:tailEnd/>
                    </a:ln>
                  </pic:spPr>
                </pic:pic>
              </a:graphicData>
            </a:graphic>
          </wp:inline>
        </w:drawing>
      </w:r>
    </w:p>
    <w:p w14:paraId="42D9BA15" w14:textId="77777777" w:rsidR="00050AF7" w:rsidRDefault="00000000">
      <w:pPr>
        <w:pStyle w:val="ImageCaption"/>
      </w:pPr>
      <w:r>
        <w:t>GDP components start/end vs actual</w:t>
      </w:r>
    </w:p>
    <w:p w14:paraId="35C4997C" w14:textId="77777777" w:rsidR="00050AF7" w:rsidRPr="00E36010" w:rsidRDefault="00000000">
      <w:pPr>
        <w:pStyle w:val="BodyText"/>
        <w:rPr>
          <w:lang w:val="en-US"/>
        </w:rPr>
      </w:pPr>
      <w:r w:rsidRPr="00E36010">
        <w:rPr>
          <w:lang w:val="en-US"/>
        </w:rPr>
        <w:t>Figure 4.1. Expenditure-side GDP components: actual 2019 vs simulated baseline start and end.</w:t>
      </w:r>
    </w:p>
    <w:p w14:paraId="52410C6D" w14:textId="77777777" w:rsidR="00050AF7" w:rsidRPr="00E36010" w:rsidRDefault="00000000">
      <w:pPr>
        <w:pStyle w:val="BodyText"/>
        <w:rPr>
          <w:lang w:val="en-US"/>
        </w:rPr>
      </w:pPr>
      <w:r w:rsidRPr="00E36010">
        <w:rPr>
          <w:lang w:val="en-US"/>
        </w:rPr>
        <w:t>Note: The chart stacks seven components as shares of GDP: private consumption, government consumption, private investment, h</w:t>
      </w:r>
      <w:r w:rsidRPr="00E36010">
        <w:rPr>
          <w:lang w:val="en-US"/>
        </w:rPr>
        <w:lastRenderedPageBreak/>
        <w:t>ousing investment, solar/PV investment, government investment, and net exports. In the Actual (2019) bar, government investment and solar/PV investment are proxy estimates documented in the script header; housing investment is taken directly from the NSO IO table.</w:t>
      </w:r>
    </w:p>
    <w:p w14:paraId="24869E65" w14:textId="77777777" w:rsidR="00050AF7" w:rsidRPr="00E36010" w:rsidRDefault="00000000">
      <w:pPr>
        <w:pStyle w:val="BodyText"/>
        <w:rPr>
          <w:lang w:val="en-US"/>
        </w:rPr>
      </w:pPr>
      <w:r w:rsidRPr="00E36010">
        <w:rPr>
          <w:lang w:val="en-US"/>
        </w:rPr>
        <w:t xml:space="preserve">Source: Output files </w:t>
      </w:r>
      <w:r w:rsidRPr="00E36010">
        <w:rPr>
          <w:rStyle w:val="VerbatimChar"/>
          <w:rFonts w:eastAsiaTheme="minorHAnsi"/>
          <w:lang w:val="en-US"/>
        </w:rPr>
        <w:t>GDPComponents_StartEndVsActual.png</w:t>
      </w:r>
      <w:r w:rsidRPr="00E36010">
        <w:rPr>
          <w:lang w:val="en-US"/>
        </w:rPr>
        <w:t xml:space="preserve">, </w:t>
      </w:r>
      <w:r w:rsidRPr="00E36010">
        <w:rPr>
          <w:rStyle w:val="VerbatimChar"/>
          <w:rFonts w:eastAsiaTheme="minorHAnsi"/>
          <w:lang w:val="en-US"/>
        </w:rPr>
        <w:t>GDPComponents_StartEndVsActual.svg</w:t>
      </w:r>
      <w:r w:rsidRPr="00E36010">
        <w:rPr>
          <w:lang w:val="en-US"/>
        </w:rPr>
        <w:t xml:space="preserve">, and </w:t>
      </w:r>
      <w:r w:rsidRPr="00E36010">
        <w:rPr>
          <w:rStyle w:val="VerbatimChar"/>
          <w:rFonts w:eastAsiaTheme="minorHAnsi"/>
          <w:lang w:val="en-US"/>
        </w:rPr>
        <w:t>GDPComponents_StartEndVsActual.csv</w:t>
      </w:r>
      <w:r w:rsidRPr="00E36010">
        <w:rPr>
          <w:lang w:val="en-US"/>
        </w:rPr>
        <w:t xml:space="preserve"> in </w:t>
      </w:r>
      <w:r w:rsidRPr="00E36010">
        <w:rPr>
          <w:rStyle w:val="VerbatimChar"/>
          <w:rFonts w:eastAsiaTheme="minorHAnsi"/>
          <w:lang w:val="en-US"/>
        </w:rPr>
        <w:t>Figures/Baseline/GDPComponents/</w:t>
      </w:r>
      <w:r w:rsidRPr="00E36010">
        <w:rPr>
          <w:lang w:val="en-US"/>
        </w:rPr>
        <w:t xml:space="preserve">, generated from </w:t>
      </w:r>
      <w:r w:rsidRPr="00E36010">
        <w:rPr>
          <w:rStyle w:val="VerbatimChar"/>
          <w:rFonts w:eastAsiaTheme="minorHAnsi"/>
          <w:lang w:val="en-US"/>
        </w:rPr>
        <w:t>ExcelFiles/Output/Baseline.csv</w:t>
      </w:r>
      <w:r w:rsidRPr="00E36010">
        <w:rPr>
          <w:lang w:val="en-US"/>
        </w:rPr>
        <w:t xml:space="preserve"> and external NSO workbook </w:t>
      </w:r>
      <w:r w:rsidRPr="00E36010">
        <w:rPr>
          <w:rStyle w:val="VerbatimChar"/>
          <w:rFonts w:eastAsiaTheme="minorHAnsi"/>
          <w:lang w:val="en-US"/>
        </w:rPr>
        <w:t>IO_GSO_2019.xlsx</w:t>
      </w:r>
      <w:r w:rsidRPr="00E36010">
        <w:rPr>
          <w:lang w:val="en-US"/>
        </w:rPr>
        <w:t xml:space="preserve"> by </w:t>
      </w:r>
      <w:r w:rsidRPr="00E36010">
        <w:rPr>
          <w:rStyle w:val="VerbatimChar"/>
          <w:rFonts w:eastAsiaTheme="minorHAnsi"/>
          <w:lang w:val="en-US"/>
        </w:rPr>
        <w:t>scripts/reporting/GenerateGDPComponentsStartEndVsActual.m</w:t>
      </w:r>
      <w:r w:rsidRPr="00E36010">
        <w:rPr>
          <w:lang w:val="en-US"/>
        </w:rPr>
        <w:t>.</w:t>
      </w:r>
    </w:p>
    <w:p w14:paraId="5B7758A3" w14:textId="5CC445C1" w:rsidR="00050AF7" w:rsidRDefault="00000000" w:rsidP="00247F97">
      <w:pPr>
        <w:pStyle w:val="Heading2"/>
      </w:pPr>
      <w:bookmarkStart w:id="43" w:name="calibration-workflow"/>
      <w:bookmarkStart w:id="44" w:name="_Toc235867061"/>
      <w:bookmarkEnd w:id="41"/>
      <w:r>
        <w:t>Calibration workflow</w:t>
      </w:r>
      <w:bookmarkEnd w:id="44"/>
    </w:p>
    <w:p w14:paraId="0C905E27" w14:textId="77777777" w:rsidR="00050AF7" w:rsidRPr="00E36010" w:rsidRDefault="00000000">
      <w:pPr>
        <w:pStyle w:val="FirstParagraph"/>
        <w:rPr>
          <w:lang w:val="en-US"/>
        </w:rPr>
      </w:pPr>
      <w:r w:rsidRPr="00E36010">
        <w:rPr>
          <w:lang w:val="en-US"/>
        </w:rPr>
        <w:t xml:space="preserve">The 5-sector, 1-region model is driven by three workbooks: </w:t>
      </w:r>
      <w:r w:rsidRPr="00E36010">
        <w:rPr>
          <w:rStyle w:val="VerbatimChar"/>
          <w:rFonts w:eastAsiaTheme="minorHAnsi"/>
          <w:lang w:val="en-US"/>
        </w:rPr>
        <w:t>ExcelFiles/ModelCalibration5Sectorsand1Regions.xlsx</w:t>
      </w:r>
      <w:r w:rsidRPr="00E36010">
        <w:rPr>
          <w:lang w:val="en-US"/>
        </w:rPr>
        <w:t xml:space="preserve"> (calibration inputs and named ranges), </w:t>
      </w:r>
      <w:r w:rsidRPr="00E36010">
        <w:rPr>
          <w:rStyle w:val="VerbatimChar"/>
          <w:rFonts w:eastAsiaTheme="minorHAnsi"/>
          <w:lang w:val="en-US"/>
        </w:rPr>
        <w:t>ExcelFiles/ModelBaseline5Sectorsand1Regions.xlsx</w:t>
      </w:r>
      <w:r w:rsidRPr="00E36010">
        <w:rPr>
          <w:lang w:val="en-US"/>
        </w:rPr>
        <w:t xml:space="preserve"> (the split baseline path, built </w:t>
      </w:r>
      <w:r w:rsidRPr="00E36010">
        <w:rPr>
          <w:rStyle w:val="VerbatimChar"/>
          <w:rFonts w:eastAsiaTheme="minorHAnsi"/>
          <w:lang w:val="en-US"/>
        </w:rPr>
        <w:t>Baseline_Input → Baseline_calc → Baseline_Implied → Baseline</w:t>
      </w:r>
      <w:r w:rsidRPr="00E36010">
        <w:rPr>
          <w:lang w:val="en-US"/>
        </w:rPr>
        <w:t xml:space="preserve">), and </w:t>
      </w:r>
      <w:r w:rsidRPr="00E36010">
        <w:rPr>
          <w:rStyle w:val="VerbatimChar"/>
          <w:rFonts w:eastAsiaTheme="minorHAnsi"/>
          <w:lang w:val="en-US"/>
        </w:rPr>
        <w:t>ExcelFiles/ModelScenarios5Sectorsand1Regions.xlsx</w:t>
      </w:r>
      <w:r w:rsidRPr="00E36010">
        <w:rPr>
          <w:lang w:val="en-US"/>
        </w:rPr>
        <w:t xml:space="preserve"> (scenario shock paths).</w:t>
      </w:r>
    </w:p>
    <w:p w14:paraId="1978B817" w14:textId="77777777" w:rsidR="00050AF7" w:rsidRPr="00E36010" w:rsidRDefault="00000000">
      <w:pPr>
        <w:pStyle w:val="BodyText"/>
        <w:rPr>
          <w:lang w:val="en-US"/>
        </w:rPr>
      </w:pPr>
      <w:r w:rsidRPr="00E36010">
        <w:rPr>
          <w:lang w:val="en-US"/>
        </w:rPr>
        <w:t>Calibration mixes four distinct types of input, and keeping them separate is essential to interpreting results correctly:</w:t>
      </w:r>
    </w:p>
    <w:p w14:paraId="473B0D7E" w14:textId="77777777" w:rsidR="00050AF7" w:rsidRPr="00E36010" w:rsidRDefault="00000000">
      <w:pPr>
        <w:pStyle w:val="Compact"/>
        <w:numPr>
          <w:ilvl w:val="0"/>
          <w:numId w:val="4"/>
        </w:numPr>
        <w:rPr>
          <w:lang w:val="en-US"/>
        </w:rPr>
      </w:pPr>
      <w:r w:rsidRPr="00E36010">
        <w:rPr>
          <w:b/>
          <w:bCs/>
          <w:lang w:val="en-US"/>
        </w:rPr>
        <w:t>Observed or targeted baseline shares</w:t>
      </w:r>
      <w:r w:rsidRPr="00E36010">
        <w:rPr>
          <w:lang w:val="en-US"/>
        </w:rPr>
        <w:t xml:space="preserve"> (</w:t>
      </w:r>
      <w:r w:rsidRPr="00E36010">
        <w:rPr>
          <w:rStyle w:val="VerbatimChar"/>
          <w:rFonts w:eastAsiaTheme="minorHAnsi"/>
          <w:lang w:val="en-US"/>
        </w:rPr>
        <w:t>phiY0</w:t>
      </w:r>
      <w:r w:rsidRPr="00E36010">
        <w:rPr>
          <w:lang w:val="en-US"/>
        </w:rPr>
        <w:t xml:space="preserve">, </w:t>
      </w:r>
      <w:r w:rsidRPr="00E36010">
        <w:rPr>
          <w:rStyle w:val="VerbatimChar"/>
          <w:rFonts w:eastAsiaTheme="minorHAnsi"/>
          <w:lang w:val="en-US"/>
        </w:rPr>
        <w:t>phiN0</w:t>
      </w:r>
      <w:r w:rsidRPr="00E36010">
        <w:rPr>
          <w:lang w:val="en-US"/>
        </w:rPr>
        <w:t xml:space="preserve">, </w:t>
      </w:r>
      <w:r w:rsidRPr="00E36010">
        <w:rPr>
          <w:rStyle w:val="VerbatimChar"/>
          <w:rFonts w:eastAsiaTheme="minorHAnsi"/>
          <w:lang w:val="en-US"/>
        </w:rPr>
        <w:t>phiW</w:t>
      </w:r>
      <w:r w:rsidRPr="00E36010">
        <w:rPr>
          <w:lang w:val="en-US"/>
        </w:rPr>
        <w:t xml:space="preserve">, </w:t>
      </w:r>
      <w:r w:rsidRPr="00E36010">
        <w:rPr>
          <w:rStyle w:val="VerbatimChar"/>
          <w:rFonts w:eastAsiaTheme="minorHAnsi"/>
          <w:lang w:val="en-US"/>
        </w:rPr>
        <w:t>phiX</w:t>
      </w:r>
      <w:r w:rsidRPr="00E36010">
        <w:rPr>
          <w:lang w:val="en-US"/>
        </w:rPr>
        <w:t xml:space="preserve">, </w:t>
      </w:r>
      <w:r w:rsidRPr="00E36010">
        <w:rPr>
          <w:rStyle w:val="VerbatimChar"/>
          <w:rFonts w:eastAsiaTheme="minorHAnsi"/>
          <w:lang w:val="en-US"/>
        </w:rPr>
        <w:t>phiQI</w:t>
      </w:r>
      <w:r w:rsidRPr="00E36010">
        <w:rPr>
          <w:lang w:val="en-US"/>
        </w:rPr>
        <w:t>, …) — read directly from workbook sheets.</w:t>
      </w:r>
    </w:p>
    <w:p w14:paraId="3F816B06" w14:textId="77777777" w:rsidR="00050AF7" w:rsidRPr="00E36010" w:rsidRDefault="00000000">
      <w:pPr>
        <w:pStyle w:val="Compact"/>
        <w:numPr>
          <w:ilvl w:val="0"/>
          <w:numId w:val="4"/>
        </w:numPr>
        <w:rPr>
          <w:lang w:val="en-US"/>
        </w:rPr>
      </w:pPr>
      <w:r w:rsidRPr="00E36010">
        <w:rPr>
          <w:b/>
          <w:bCs/>
          <w:lang w:val="en-US"/>
        </w:rPr>
        <w:t>Structural assumptions</w:t>
      </w:r>
      <w:r w:rsidRPr="00E36010">
        <w:rPr>
          <w:lang w:val="en-US"/>
        </w:rPr>
        <w:t xml:space="preserve"> (</w:t>
      </w:r>
      <w:r w:rsidRPr="00E36010">
        <w:rPr>
          <w:rStyle w:val="VerbatimChar"/>
          <w:rFonts w:eastAsiaTheme="minorHAnsi"/>
          <w:lang w:val="en-US"/>
        </w:rPr>
        <w:t>beta</w:t>
      </w:r>
      <w:r w:rsidRPr="00E36010">
        <w:rPr>
          <w:lang w:val="en-US"/>
        </w:rPr>
        <w:t xml:space="preserve">, </w:t>
      </w:r>
      <w:r w:rsidRPr="00E36010">
        <w:rPr>
          <w:rStyle w:val="VerbatimChar"/>
          <w:rFonts w:eastAsiaTheme="minorHAnsi"/>
          <w:lang w:val="en-US"/>
        </w:rPr>
        <w:t>delta</w:t>
      </w:r>
      <w:r w:rsidRPr="00E36010">
        <w:rPr>
          <w:lang w:val="en-US"/>
        </w:rPr>
        <w:t xml:space="preserve">, </w:t>
      </w:r>
      <w:r w:rsidRPr="00E36010">
        <w:rPr>
          <w:rStyle w:val="VerbatimChar"/>
          <w:rFonts w:eastAsiaTheme="minorHAnsi"/>
          <w:lang w:val="en-US"/>
        </w:rPr>
        <w:t>sigmaL</w:t>
      </w:r>
      <w:r w:rsidRPr="00E36010">
        <w:rPr>
          <w:lang w:val="en-US"/>
        </w:rPr>
        <w:t xml:space="preserve">, </w:t>
      </w:r>
      <w:r w:rsidRPr="00E36010">
        <w:rPr>
          <w:rStyle w:val="VerbatimChar"/>
          <w:rFonts w:eastAsiaTheme="minorHAnsi"/>
          <w:lang w:val="en-US"/>
        </w:rPr>
        <w:t>sigmaC</w:t>
      </w:r>
      <w:r w:rsidRPr="00E36010">
        <w:rPr>
          <w:lang w:val="en-US"/>
        </w:rPr>
        <w:t>, CES elasticities, tax rates) — rea</w:t>
      </w:r>
      <w:r w:rsidRPr="00E36010">
        <w:rPr>
          <w:lang w:val="en-US"/>
        </w:rPr>
        <w:lastRenderedPageBreak/>
        <w:t xml:space="preserve">d from the </w:t>
      </w:r>
      <w:r w:rsidRPr="00E36010">
        <w:rPr>
          <w:rStyle w:val="VerbatimChar"/>
          <w:rFonts w:eastAsiaTheme="minorHAnsi"/>
          <w:lang w:val="en-US"/>
        </w:rPr>
        <w:t>Structural Parameters</w:t>
      </w:r>
      <w:r w:rsidRPr="00E36010">
        <w:rPr>
          <w:lang w:val="en-US"/>
        </w:rPr>
        <w:t xml:space="preserve"> sheet or left at code defaults.</w:t>
      </w:r>
    </w:p>
    <w:p w14:paraId="62F38D42" w14:textId="77777777" w:rsidR="00050AF7" w:rsidRPr="00E36010" w:rsidRDefault="00000000">
      <w:pPr>
        <w:pStyle w:val="Compact"/>
        <w:numPr>
          <w:ilvl w:val="0"/>
          <w:numId w:val="4"/>
        </w:numPr>
        <w:rPr>
          <w:lang w:val="en-US"/>
        </w:rPr>
      </w:pPr>
      <w:r w:rsidRPr="00E36010">
        <w:rPr>
          <w:b/>
          <w:bCs/>
          <w:lang w:val="en-US"/>
        </w:rPr>
        <w:t>Initial levels / macro closures</w:t>
      </w:r>
      <w:r w:rsidRPr="00E36010">
        <w:rPr>
          <w:lang w:val="en-US"/>
        </w:rPr>
        <w:t xml:space="preserve"> (</w:t>
      </w:r>
      <w:r w:rsidRPr="00E36010">
        <w:rPr>
          <w:rStyle w:val="VerbatimChar"/>
          <w:rFonts w:eastAsiaTheme="minorHAnsi"/>
          <w:lang w:val="en-US"/>
        </w:rPr>
        <w:t>Y0</w:t>
      </w:r>
      <w:r w:rsidRPr="00E36010">
        <w:rPr>
          <w:lang w:val="en-US"/>
        </w:rPr>
        <w:t xml:space="preserve">, </w:t>
      </w:r>
      <w:r w:rsidRPr="00E36010">
        <w:rPr>
          <w:rStyle w:val="VerbatimChar"/>
          <w:rFonts w:eastAsiaTheme="minorHAnsi"/>
          <w:lang w:val="en-US"/>
        </w:rPr>
        <w:t>N0</w:t>
      </w:r>
      <w:r w:rsidRPr="00E36010">
        <w:rPr>
          <w:lang w:val="en-US"/>
        </w:rPr>
        <w:t xml:space="preserve">, </w:t>
      </w:r>
      <w:r w:rsidRPr="00E36010">
        <w:rPr>
          <w:rStyle w:val="VerbatimChar"/>
          <w:rFonts w:eastAsiaTheme="minorHAnsi"/>
          <w:lang w:val="en-US"/>
        </w:rPr>
        <w:t>PoP0</w:t>
      </w:r>
      <w:r w:rsidRPr="00E36010">
        <w:rPr>
          <w:lang w:val="en-US"/>
        </w:rPr>
        <w:t xml:space="preserve">, </w:t>
      </w:r>
      <w:r w:rsidRPr="00E36010">
        <w:rPr>
          <w:rStyle w:val="VerbatimChar"/>
          <w:rFonts w:eastAsiaTheme="minorHAnsi"/>
          <w:lang w:val="en-US"/>
        </w:rPr>
        <w:t>LF0</w:t>
      </w:r>
      <w:r w:rsidRPr="00E36010">
        <w:rPr>
          <w:lang w:val="en-US"/>
        </w:rPr>
        <w:t xml:space="preserve">, </w:t>
      </w:r>
      <w:r w:rsidRPr="00E36010">
        <w:rPr>
          <w:rStyle w:val="VerbatimChar"/>
          <w:rFonts w:eastAsiaTheme="minorHAnsi"/>
          <w:lang w:val="en-US"/>
        </w:rPr>
        <w:t>H0</w:t>
      </w:r>
      <w:r w:rsidRPr="00E36010">
        <w:rPr>
          <w:lang w:val="en-US"/>
        </w:rPr>
        <w:t xml:space="preserve">, </w:t>
      </w:r>
      <w:r w:rsidRPr="00E36010">
        <w:rPr>
          <w:rStyle w:val="VerbatimChar"/>
          <w:rFonts w:eastAsiaTheme="minorHAnsi"/>
          <w:lang w:val="en-US"/>
        </w:rPr>
        <w:t>E0</w:t>
      </w:r>
      <w:r w:rsidRPr="00E36010">
        <w:rPr>
          <w:lang w:val="en-US"/>
        </w:rPr>
        <w:t xml:space="preserve">, </w:t>
      </w:r>
      <w:r w:rsidRPr="00E36010">
        <w:rPr>
          <w:rStyle w:val="VerbatimChar"/>
          <w:rFonts w:eastAsiaTheme="minorHAnsi"/>
          <w:lang w:val="en-US"/>
        </w:rPr>
        <w:t>PE0</w:t>
      </w:r>
      <w:r w:rsidRPr="00E36010">
        <w:rPr>
          <w:lang w:val="en-US"/>
        </w:rPr>
        <w:t xml:space="preserve">, …) — read from </w:t>
      </w:r>
      <w:r w:rsidRPr="00E36010">
        <w:rPr>
          <w:rStyle w:val="VerbatimChar"/>
          <w:rFonts w:eastAsiaTheme="minorHAnsi"/>
          <w:lang w:val="en-US"/>
        </w:rPr>
        <w:t>Start</w:t>
      </w:r>
      <w:r w:rsidRPr="00E36010">
        <w:rPr>
          <w:lang w:val="en-US"/>
        </w:rPr>
        <w:t xml:space="preserve"> when available.</w:t>
      </w:r>
    </w:p>
    <w:p w14:paraId="347F1324" w14:textId="77777777" w:rsidR="00050AF7" w:rsidRPr="00E36010" w:rsidRDefault="00000000">
      <w:pPr>
        <w:pStyle w:val="Compact"/>
        <w:numPr>
          <w:ilvl w:val="0"/>
          <w:numId w:val="4"/>
        </w:numPr>
        <w:rPr>
          <w:lang w:val="en-US"/>
        </w:rPr>
      </w:pPr>
      <w:r w:rsidRPr="00E36010">
        <w:rPr>
          <w:b/>
          <w:bCs/>
          <w:lang w:val="en-US"/>
        </w:rPr>
        <w:t>Solved residual parameters</w:t>
      </w:r>
      <w:r w:rsidRPr="00E36010">
        <w:rPr>
          <w:lang w:val="en-US"/>
        </w:rPr>
        <w:t xml:space="preserve"> (CES weights, emission intensities </w:t>
      </w:r>
      <w:r w:rsidRPr="00E36010">
        <w:rPr>
          <w:rStyle w:val="VerbatimChar"/>
          <w:rFonts w:eastAsiaTheme="minorHAnsi"/>
          <w:lang w:val="en-US"/>
        </w:rPr>
        <w:t>kappaE</w:t>
      </w:r>
      <w:r w:rsidRPr="00E36010">
        <w:rPr>
          <w:lang w:val="en-US"/>
        </w:rPr>
        <w:t xml:space="preserve">, labor disutility weights, TFP levels </w:t>
      </w:r>
      <w:r w:rsidRPr="00E36010">
        <w:rPr>
          <w:rStyle w:val="VerbatimChar"/>
          <w:rFonts w:eastAsiaTheme="minorHAnsi"/>
          <w:lang w:val="en-US"/>
        </w:rPr>
        <w:t>A_s</w:t>
      </w:r>
      <w:r w:rsidRPr="00E36010">
        <w:rPr>
          <w:lang w:val="en-US"/>
        </w:rPr>
        <w:t xml:space="preserve">, </w:t>
      </w:r>
      <w:r w:rsidRPr="00E36010">
        <w:rPr>
          <w:rStyle w:val="VerbatimChar"/>
          <w:rFonts w:eastAsiaTheme="minorHAnsi"/>
          <w:lang w:val="en-US"/>
        </w:rPr>
        <w:t>rf0</w:t>
      </w:r>
      <w:r w:rsidRPr="00E36010">
        <w:rPr>
          <w:lang w:val="en-US"/>
        </w:rPr>
        <w:t>) — backed out inside the steady-state routines so the baseline is internally consistent.</w:t>
      </w:r>
    </w:p>
    <w:p w14:paraId="0A0E10B7" w14:textId="77777777" w:rsidR="00050AF7" w:rsidRPr="00E36010" w:rsidRDefault="00000000">
      <w:pPr>
        <w:pStyle w:val="FirstParagraph"/>
        <w:rPr>
          <w:lang w:val="en-US"/>
        </w:rPr>
      </w:pPr>
      <w:r w:rsidRPr="00E36010">
        <w:rPr>
          <w:lang w:val="en-US"/>
        </w:rPr>
        <w:t xml:space="preserve">The model is calibrated in three stages: (i) </w:t>
      </w:r>
      <w:r w:rsidRPr="00E36010">
        <w:rPr>
          <w:rStyle w:val="VerbatimChar"/>
          <w:rFonts w:eastAsiaTheme="minorHAnsi"/>
          <w:lang w:val="en-US"/>
        </w:rPr>
        <w:t>lCalibration_p = 1</w:t>
      </w:r>
      <w:r w:rsidRPr="00E36010">
        <w:rPr>
          <w:lang w:val="en-US"/>
        </w:rPr>
        <w:t xml:space="preserve"> builds the baseline steady state and solves residual parameters via </w:t>
      </w:r>
      <w:r w:rsidRPr="00E36010">
        <w:rPr>
          <w:rStyle w:val="VerbatimChar"/>
          <w:rFonts w:eastAsiaTheme="minorHAnsi"/>
          <w:lang w:val="en-US"/>
        </w:rPr>
        <w:t>fsolve</w:t>
      </w:r>
      <w:r w:rsidRPr="00E36010">
        <w:rPr>
          <w:lang w:val="en-US"/>
        </w:rPr>
        <w:t xml:space="preserve">; (ii) </w:t>
      </w:r>
      <w:r w:rsidRPr="00E36010">
        <w:rPr>
          <w:rStyle w:val="VerbatimChar"/>
          <w:rFonts w:eastAsiaTheme="minorHAnsi"/>
          <w:lang w:val="en-US"/>
        </w:rPr>
        <w:t>lCalibration_p = 0</w:t>
      </w:r>
      <w:r w:rsidRPr="00E36010">
        <w:rPr>
          <w:lang w:val="en-US"/>
        </w:rPr>
        <w:t xml:space="preserve"> re-solves the full steady state using the calibrated parameters as fixed; (iii) non-baseline scenarios run in a hybrid mode (</w:t>
      </w:r>
      <w:r w:rsidRPr="00E36010">
        <w:rPr>
          <w:rStyle w:val="VerbatimChar"/>
          <w:rFonts w:eastAsiaTheme="minorHAnsi"/>
          <w:lang w:val="en-US"/>
        </w:rPr>
        <w:t>lCalibration_p = 2</w:t>
      </w:r>
      <w:r w:rsidRPr="00E36010">
        <w:rPr>
          <w:lang w:val="en-US"/>
        </w:rPr>
        <w:t xml:space="preserve">) that takes the calibrated baseline as given and applies scenario shocks. See </w:t>
      </w:r>
      <w:hyperlink r:id="rId19">
        <w:r w:rsidRPr="00E36010">
          <w:rPr>
            <w:rStyle w:val="Hyperlink"/>
            <w:lang w:val="en-US"/>
          </w:rPr>
          <w:t>calibration.md</w:t>
        </w:r>
      </w:hyperlink>
      <w:r w:rsidRPr="00E36010">
        <w:rPr>
          <w:lang w:val="en-US"/>
        </w:rPr>
        <w:t xml:space="preserve"> for the step-by-step MATLAB call sequence.</w:t>
      </w:r>
    </w:p>
    <w:p w14:paraId="58A3FEA4" w14:textId="1EDA4284" w:rsidR="00050AF7" w:rsidRPr="00247F97" w:rsidRDefault="00000000" w:rsidP="00247F97">
      <w:pPr>
        <w:pStyle w:val="Heading2"/>
        <w:rPr>
          <w:lang w:val="en-US"/>
        </w:rPr>
      </w:pPr>
      <w:bookmarkStart w:id="45" w:name="the-factor-cost-gva-identity"/>
      <w:bookmarkStart w:id="46" w:name="_Toc235867062"/>
      <w:bookmarkEnd w:id="43"/>
      <w:r w:rsidRPr="00247F97">
        <w:rPr>
          <w:lang w:val="en-US"/>
        </w:rPr>
        <w:t>The factor-cost GVA identity</w:t>
      </w:r>
      <w:bookmarkEnd w:id="46"/>
    </w:p>
    <w:p w14:paraId="266CC254" w14:textId="77777777" w:rsidR="00050AF7" w:rsidRPr="00E36010" w:rsidRDefault="00000000">
      <w:pPr>
        <w:pStyle w:val="FirstParagraph"/>
        <w:rPr>
          <w:lang w:val="en-US"/>
        </w:rPr>
      </w:pPr>
      <w:r w:rsidRPr="00E36010">
        <w:rPr>
          <w:lang w:val="en-US"/>
        </w:rPr>
        <w:t>A central calibration invariant, load-bearing whenever the baseline emission price is positive (</w:t>
      </w:r>
      <w:r w:rsidRPr="00E36010">
        <w:rPr>
          <w:rStyle w:val="VerbatimChar"/>
          <w:rFonts w:eastAsiaTheme="minorHAnsi"/>
          <w:lang w:val="en-US"/>
        </w:rPr>
        <w:t>PE &gt; 0</w:t>
      </w:r>
      <w:r w:rsidRPr="00E36010">
        <w:rPr>
          <w:lang w:val="en-US"/>
        </w:rPr>
        <w:t>), is:</w:t>
      </w:r>
    </w:p>
    <w:p w14:paraId="3567E7CF" w14:textId="77777777" w:rsidR="00050AF7" w:rsidRDefault="00000000">
      <w:pPr>
        <w:pStyle w:val="BodyText"/>
      </w:pPr>
      <w:r>
        <w:rPr>
          <w:noProof/>
        </w:rPr>
        <w:drawing>
          <wp:inline distT="0" distB="0" distL="0" distR="0" wp14:anchorId="5606247B" wp14:editId="44B26CC8">
            <wp:extent cx="3783787" cy="163849"/>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C:\Users\schul\Documents\GitHub\DGE-METRIC\.tmp\technical_report_build\math\math-0005.png"/>
                    <pic:cNvPicPr>
                      <a:picLocks noChangeAspect="1" noChangeArrowheads="1"/>
                    </pic:cNvPicPr>
                  </pic:nvPicPr>
                  <pic:blipFill>
                    <a:blip r:embed="rId20"/>
                    <a:stretch>
                      <a:fillRect/>
                    </a:stretch>
                  </pic:blipFill>
                  <pic:spPr bwMode="auto">
                    <a:xfrm>
                      <a:off x="0" y="0"/>
                      <a:ext cx="3783787" cy="163849"/>
                    </a:xfrm>
                    <a:prstGeom prst="rect">
                      <a:avLst/>
                    </a:prstGeom>
                    <a:noFill/>
                    <a:ln w="9525">
                      <a:noFill/>
                      <a:headEnd/>
                      <a:tailEnd/>
                    </a:ln>
                  </pic:spPr>
                </pic:pic>
              </a:graphicData>
            </a:graphic>
          </wp:inline>
        </w:drawing>
      </w:r>
    </w:p>
    <w:p w14:paraId="6E34BB20" w14:textId="77777777" w:rsidR="00050AF7" w:rsidRPr="00E36010" w:rsidRDefault="00000000">
      <w:pPr>
        <w:pStyle w:val="BodyText"/>
        <w:rPr>
          <w:lang w:val="en-US"/>
        </w:rPr>
      </w:pPr>
      <w:r w:rsidRPr="00E36010">
        <w:rPr>
          <w:lang w:val="en-US"/>
        </w:rPr>
        <w:t>i.e., the baseline price-weighted value-added target in the model numeraire must equal the factor-cost gross value added actually computed from national accounts (basic-price gross output, minus intermediate use, minus direct ETS permit cost). An earlier share-based normalization (</w:t>
      </w:r>
      <w:r>
        <w:rPr>
          <w:rStyle w:val="VerbatimChar"/>
          <w:rFonts w:eastAsiaTheme="minorHAnsi"/>
        </w:rPr>
        <w:t>φ</w:t>
      </w:r>
      <w:r w:rsidRPr="00E36010">
        <w:rPr>
          <w:rStyle w:val="VerbatimChar"/>
          <w:rFonts w:eastAsiaTheme="minorHAnsi"/>
          <w:lang w:val="en-US"/>
        </w:rPr>
        <w:t xml:space="preserve"> Y_s · Q0_p</w:t>
      </w:r>
      <w:r w:rsidRPr="00E36010">
        <w:rPr>
          <w:lang w:val="en-US"/>
        </w:rPr>
        <w:t xml:space="preserve">) was only valid when </w:t>
      </w:r>
      <w:r w:rsidRPr="00E36010">
        <w:rPr>
          <w:rStyle w:val="VerbatimChar"/>
          <w:rFonts w:eastAsiaTheme="minorHAnsi"/>
          <w:lang w:val="en-US"/>
        </w:rPr>
        <w:t>PE = 0</w:t>
      </w:r>
      <w:r w:rsidRPr="00E36010">
        <w:rPr>
          <w:lang w:val="en-US"/>
        </w:rPr>
        <w:t xml:space="preserve"> and produced non-zero Dynare static residuals in the TFP equations at any positive carbon price. The current implementation enforces </w:t>
      </w:r>
      <w:r w:rsidRPr="00E36010">
        <w:rPr>
          <w:rStyle w:val="VerbatimChar"/>
          <w:rFonts w:eastAsiaTheme="minorHAnsi"/>
          <w:lang w:val="en-US"/>
        </w:rPr>
        <w:t>P0_s · Y0_s = FCgva_s</w:t>
      </w:r>
      <w:r w:rsidRPr="00E36010">
        <w:rPr>
          <w:lang w:val="en-US"/>
        </w:rPr>
        <w:t xml:space="preserve"> consistently across the MATLAB calibration routines and the </w:t>
      </w:r>
      <w:r w:rsidRPr="00E36010">
        <w:rPr>
          <w:rStyle w:val="VerbatimChar"/>
          <w:rFonts w:eastAsiaTheme="minorHAnsi"/>
          <w:lang w:val="en-US"/>
        </w:rPr>
        <w:t>.mod</w:t>
      </w:r>
      <w:r w:rsidRPr="00E36010">
        <w:rPr>
          <w:lang w:val="en-US"/>
        </w:rPr>
        <w:t xml:space="preserve"> productivity equations — see </w:t>
      </w:r>
      <w:hyperlink r:id="rId21">
        <w:r w:rsidRPr="00E36010">
          <w:rPr>
            <w:rStyle w:val="Hyperlink"/>
            <w:lang w:val="en-US"/>
          </w:rPr>
          <w:t>calibration_model_detailed.md</w:t>
        </w:r>
      </w:hyperlink>
      <w:r w:rsidRPr="00E36010">
        <w:rPr>
          <w:lang w:val="en-US"/>
        </w:rPr>
        <w:t xml:space="preserve"> for the full derivation, code locations, and baseline-check identities.</w:t>
      </w:r>
    </w:p>
    <w:p w14:paraId="77FBAD0A" w14:textId="2F79F8E4" w:rsidR="00050AF7" w:rsidRPr="00247F97" w:rsidRDefault="00000000" w:rsidP="00247F97">
      <w:pPr>
        <w:pStyle w:val="Heading2"/>
        <w:rPr>
          <w:lang w:val="en-US"/>
        </w:rPr>
      </w:pPr>
      <w:bookmarkStart w:id="47" w:name="code-defaults-vs.-active-calibration"/>
      <w:bookmarkStart w:id="48" w:name="_Toc235867063"/>
      <w:bookmarkEnd w:id="45"/>
      <w:r w:rsidRPr="00247F97">
        <w:rPr>
          <w:lang w:val="en-US"/>
        </w:rPr>
        <w:t>Code defaults vs. active calibration</w:t>
      </w:r>
      <w:bookmarkEnd w:id="48"/>
    </w:p>
    <w:p w14:paraId="0D2A4090" w14:textId="77777777" w:rsidR="00050AF7" w:rsidRPr="00E36010" w:rsidRDefault="00000000">
      <w:pPr>
        <w:pStyle w:val="FirstParagraph"/>
        <w:rPr>
          <w:lang w:val="en-US"/>
        </w:rPr>
      </w:pPr>
      <w:r w:rsidRPr="00E36010">
        <w:rPr>
          <w:rStyle w:val="VerbatimChar"/>
          <w:rFonts w:eastAsiaTheme="minorHAnsi"/>
          <w:lang w:val="en-US"/>
        </w:rPr>
        <w:t>ModFiles/DGE_Model_Parameters.mod</w:t>
      </w:r>
      <w:r w:rsidRPr="00E36010">
        <w:rPr>
          <w:lang w:val="en-US"/>
        </w:rPr>
        <w:t xml:space="preserve"> ships default parameter values, but the active 5-sector/1-region workbook materially overrides several of them — most importantly the external-finance-premium parameters </w:t>
      </w:r>
      <w:r w:rsidRPr="00E36010">
        <w:rPr>
          <w:rStyle w:val="VerbatimChar"/>
          <w:rFonts w:eastAsiaTheme="minorHAnsi"/>
          <w:lang w:val="en-US"/>
        </w:rPr>
        <w:t>phiB_p</w:t>
      </w:r>
      <w:r w:rsidRPr="00E36010">
        <w:rPr>
          <w:lang w:val="en-US"/>
        </w:rPr>
        <w:t xml:space="preserve"> (code default 10.0 vs. active workbook 0.1) and </w:t>
      </w:r>
      <w:r w:rsidRPr="00E36010">
        <w:rPr>
          <w:rStyle w:val="VerbatimChar"/>
          <w:rFonts w:eastAsiaTheme="minorHAnsi"/>
          <w:lang w:val="en-US"/>
        </w:rPr>
        <w:t>phiadjB_p</w:t>
      </w:r>
      <w:r w:rsidRPr="00E36010">
        <w:rPr>
          <w:lang w:val="en-US"/>
        </w:rPr>
        <w:t xml:space="preserve"> (1.0 vs. 0.1), which differ by two orders of magnitude. </w:t>
      </w:r>
      <w:r w:rsidRPr="00E36010">
        <w:rPr>
          <w:b/>
          <w:bCs/>
          <w:lang w:val="en-US"/>
        </w:rPr>
        <w:t xml:space="preserve">The workbook values, not the </w:t>
      </w:r>
      <w:r w:rsidRPr="00E36010">
        <w:rPr>
          <w:rStyle w:val="VerbatimChar"/>
          <w:rFonts w:eastAsiaTheme="minorHAnsi"/>
          <w:b/>
          <w:bCs/>
          <w:lang w:val="en-US"/>
        </w:rPr>
        <w:t>.mod</w:t>
      </w:r>
      <w:r w:rsidRPr="00E36010">
        <w:rPr>
          <w:b/>
          <w:bCs/>
          <w:lang w:val="en-US"/>
        </w:rPr>
        <w:t xml:space="preserve"> file defaults, govern the currently compiled model.</w:t>
      </w:r>
      <w:r w:rsidRPr="00E36010">
        <w:rPr>
          <w:lang w:val="en-US"/>
        </w:rPr>
        <w:t xml:space="preserve"> Analysts citing a structural parameter should always confirm which workbook is loaded for the run in question; the full override table is in </w:t>
      </w:r>
      <w:hyperlink r:id="rId22">
        <w:r w:rsidRPr="00E36010">
          <w:rPr>
            <w:rStyle w:val="Hyperlink"/>
            <w:lang w:val="en-US"/>
          </w:rPr>
          <w:t>calibration_model_detailed.md §12</w:t>
        </w:r>
      </w:hyperlink>
      <w:r w:rsidRPr="00E36010">
        <w:rPr>
          <w:lang w:val="en-US"/>
        </w:rPr>
        <w:t>.</w:t>
      </w:r>
    </w:p>
    <w:p w14:paraId="28FB8564" w14:textId="5D9E2021" w:rsidR="00050AF7" w:rsidRPr="00E36010" w:rsidRDefault="00000000" w:rsidP="00247F97">
      <w:pPr>
        <w:pStyle w:val="Heading2"/>
        <w:rPr>
          <w:lang w:val="en-US"/>
        </w:rPr>
      </w:pPr>
      <w:bookmarkStart w:id="49" w:name="X4966a39ef1536792499f9eef18a02940053bd95"/>
      <w:bookmarkStart w:id="50" w:name="_Toc235867064"/>
      <w:bookmarkEnd w:id="47"/>
      <w:r w:rsidRPr="00E36010">
        <w:rPr>
          <w:lang w:val="en-US"/>
        </w:rPr>
        <w:t>Baseline diagnostics plots used for calibration checks</w:t>
      </w:r>
      <w:bookmarkEnd w:id="50"/>
    </w:p>
    <w:p w14:paraId="54392631" w14:textId="77777777" w:rsidR="00050AF7" w:rsidRPr="00E36010" w:rsidRDefault="00000000">
      <w:pPr>
        <w:pStyle w:val="FirstParagraph"/>
        <w:rPr>
          <w:lang w:val="en-US"/>
        </w:rPr>
      </w:pPr>
      <w:r w:rsidRPr="00E36010">
        <w:rPr>
          <w:lang w:val="en-US"/>
        </w:rPr>
        <w:t xml:space="preserve">The baseline reporting script </w:t>
      </w:r>
      <w:r w:rsidRPr="00E36010">
        <w:rPr>
          <w:rStyle w:val="VerbatimChar"/>
          <w:rFonts w:eastAsiaTheme="minorHAnsi"/>
          <w:lang w:val="en-US"/>
        </w:rPr>
        <w:t>scripts/reporting/DisplayBaselineEnergy.m</w:t>
      </w:r>
      <w:r w:rsidRPr="00E36010">
        <w:rPr>
          <w:lang w:val="en-US"/>
        </w:rPr>
        <w:t xml:space="preserve"> writes its figures to the repository-level </w:t>
      </w:r>
      <w:r w:rsidRPr="00E36010">
        <w:rPr>
          <w:rStyle w:val="VerbatimChar"/>
          <w:rFonts w:eastAsiaTheme="minorHAnsi"/>
          <w:lang w:val="en-US"/>
        </w:rPr>
        <w:t>Figures/</w:t>
      </w:r>
      <w:r w:rsidRPr="00E36010">
        <w:rPr>
          <w:lang w:val="en-US"/>
        </w:rPr>
        <w:t xml:space="preserve"> directory (not </w:t>
      </w:r>
      <w:r w:rsidRPr="00E36010">
        <w:rPr>
          <w:rStyle w:val="VerbatimChar"/>
          <w:rFonts w:eastAsiaTheme="minorHAnsi"/>
          <w:lang w:val="en-US"/>
        </w:rPr>
        <w:t>docs/figures/</w:t>
      </w:r>
      <w:r w:rsidRPr="00E36010">
        <w:rPr>
          <w:lang w:val="en-US"/>
        </w:rPr>
        <w:t xml:space="preserve">). The script uses </w:t>
      </w:r>
      <w:r w:rsidRPr="00E36010">
        <w:rPr>
          <w:rStyle w:val="VerbatimChar"/>
          <w:rFonts w:eastAsiaTheme="minorHAnsi"/>
          <w:lang w:val="en-US"/>
        </w:rPr>
        <w:t>outDir = fullfile(repoRoot,</w:t>
      </w:r>
      <w:r w:rsidRPr="00E36010">
        <w:rPr>
          <w:rStyle w:val="VerbatimChar"/>
          <w:rFonts w:eastAsiaTheme="minorHAnsi"/>
          <w:lang w:val="en-US"/>
        </w:rPr>
        <w:lastRenderedPageBreak/>
        <w:t xml:space="preserve"> 'Figures')</w:t>
      </w:r>
      <w:r w:rsidRPr="00E36010">
        <w:rPr>
          <w:lang w:val="en-US"/>
        </w:rPr>
        <w:t xml:space="preserve"> and exports both raster and vector versions (</w:t>
      </w:r>
      <w:r w:rsidRPr="00E36010">
        <w:rPr>
          <w:rStyle w:val="VerbatimChar"/>
          <w:rFonts w:eastAsiaTheme="minorHAnsi"/>
          <w:lang w:val="en-US"/>
        </w:rPr>
        <w:t>.png</w:t>
      </w:r>
      <w:r w:rsidRPr="00E36010">
        <w:rPr>
          <w:lang w:val="en-US"/>
        </w:rPr>
        <w:t xml:space="preserve"> at 300 dpi and </w:t>
      </w:r>
      <w:r w:rsidRPr="00E36010">
        <w:rPr>
          <w:rStyle w:val="VerbatimChar"/>
          <w:rFonts w:eastAsiaTheme="minorHAnsi"/>
          <w:lang w:val="en-US"/>
        </w:rPr>
        <w:t>.pdf</w:t>
      </w:r>
      <w:r w:rsidRPr="00E36010">
        <w:rPr>
          <w:lang w:val="en-US"/>
        </w:rPr>
        <w:t xml:space="preserve"> vector).</w:t>
      </w:r>
    </w:p>
    <w:p w14:paraId="2F7B0FFA" w14:textId="77777777" w:rsidR="00050AF7" w:rsidRPr="00E36010" w:rsidRDefault="00000000">
      <w:pPr>
        <w:pStyle w:val="BodyText"/>
        <w:rPr>
          <w:lang w:val="en-US"/>
        </w:rPr>
      </w:pPr>
      <w:r w:rsidRPr="00E36010">
        <w:rPr>
          <w:lang w:val="en-US"/>
        </w:rPr>
        <w:t>These plots provide an operational bridge between the workbook targets and the calibrated baseline path:</w:t>
      </w:r>
    </w:p>
    <w:p w14:paraId="1F20AC0F" w14:textId="77777777" w:rsidR="00050AF7" w:rsidRPr="00E36010" w:rsidRDefault="00000000">
      <w:pPr>
        <w:pStyle w:val="Compact"/>
        <w:numPr>
          <w:ilvl w:val="0"/>
          <w:numId w:val="5"/>
        </w:numPr>
        <w:rPr>
          <w:lang w:val="en-US"/>
        </w:rPr>
      </w:pPr>
      <w:r w:rsidRPr="00E36010">
        <w:rPr>
          <w:b/>
          <w:bCs/>
          <w:lang w:val="en-US"/>
        </w:rPr>
        <w:t>Level/index path checks</w:t>
      </w:r>
      <w:r w:rsidRPr="00E36010">
        <w:rPr>
          <w:lang w:val="en-US"/>
        </w:rPr>
        <w:t xml:space="preserve"> (</w:t>
      </w:r>
      <w:r w:rsidRPr="00E36010">
        <w:rPr>
          <w:rStyle w:val="VerbatimChar"/>
          <w:rFonts w:eastAsiaTheme="minorHAnsi"/>
          <w:lang w:val="en-US"/>
        </w:rPr>
        <w:t>baseline_ren_capital</w:t>
      </w:r>
      <w:r w:rsidRPr="00E36010">
        <w:rPr>
          <w:lang w:val="en-US"/>
        </w:rPr>
        <w:t xml:space="preserve">, </w:t>
      </w:r>
      <w:r w:rsidRPr="00E36010">
        <w:rPr>
          <w:rStyle w:val="VerbatimChar"/>
          <w:rFonts w:eastAsiaTheme="minorHAnsi"/>
          <w:lang w:val="en-US"/>
        </w:rPr>
        <w:t>baseline_ren_production</w:t>
      </w:r>
      <w:r w:rsidRPr="00E36010">
        <w:rPr>
          <w:lang w:val="en-US"/>
        </w:rPr>
        <w:t xml:space="preserve">, </w:t>
      </w:r>
      <w:r w:rsidRPr="00E36010">
        <w:rPr>
          <w:rStyle w:val="VerbatimChar"/>
          <w:rFonts w:eastAsiaTheme="minorHAnsi"/>
          <w:lang w:val="en-US"/>
        </w:rPr>
        <w:t>baseline_energy_efficiency</w:t>
      </w:r>
      <w:r w:rsidRPr="00E36010">
        <w:rPr>
          <w:lang w:val="en-US"/>
        </w:rPr>
        <w:t xml:space="preserve">, </w:t>
      </w:r>
      <w:r w:rsidRPr="00E36010">
        <w:rPr>
          <w:rStyle w:val="VerbatimChar"/>
          <w:rFonts w:eastAsiaTheme="minorHAnsi"/>
          <w:lang w:val="en-US"/>
        </w:rPr>
        <w:t>baseline_res_share</w:t>
      </w:r>
      <w:r w:rsidRPr="00E36010">
        <w:rPr>
          <w:lang w:val="en-US"/>
        </w:rPr>
        <w:t>) show whether the solved baseline trajectory behaves plausibly over 2025-2050.</w:t>
      </w:r>
    </w:p>
    <w:p w14:paraId="437584CE" w14:textId="77777777" w:rsidR="00050AF7" w:rsidRPr="00E36010" w:rsidRDefault="00000000">
      <w:pPr>
        <w:pStyle w:val="Compact"/>
        <w:numPr>
          <w:ilvl w:val="0"/>
          <w:numId w:val="5"/>
        </w:numPr>
        <w:rPr>
          <w:lang w:val="en-US"/>
        </w:rPr>
      </w:pPr>
      <w:r w:rsidRPr="00E36010">
        <w:rPr>
          <w:b/>
          <w:bCs/>
          <w:lang w:val="en-US"/>
        </w:rPr>
        <w:t>Annual target alignment checks</w:t>
      </w:r>
      <w:r w:rsidRPr="00E36010">
        <w:rPr>
          <w:lang w:val="en-US"/>
        </w:rPr>
        <w:t xml:space="preserve"> (</w:t>
      </w:r>
      <w:r w:rsidRPr="00E36010">
        <w:rPr>
          <w:rStyle w:val="VerbatimChar"/>
          <w:rFonts w:eastAsiaTheme="minorHAnsi"/>
          <w:lang w:val="en-US"/>
        </w:rPr>
        <w:t>ren_cap_annual</w:t>
      </w:r>
      <w:r w:rsidRPr="00E36010">
        <w:rPr>
          <w:lang w:val="en-US"/>
        </w:rPr>
        <w:t xml:space="preserve">, </w:t>
      </w:r>
      <w:r w:rsidRPr="00E36010">
        <w:rPr>
          <w:rStyle w:val="VerbatimChar"/>
          <w:rFonts w:eastAsiaTheme="minorHAnsi"/>
          <w:lang w:val="en-US"/>
        </w:rPr>
        <w:t>fos_cap_annual</w:t>
      </w:r>
      <w:r w:rsidRPr="00E36010">
        <w:rPr>
          <w:lang w:val="en-US"/>
        </w:rPr>
        <w:t xml:space="preserve">, </w:t>
      </w:r>
      <w:r w:rsidRPr="00E36010">
        <w:rPr>
          <w:rStyle w:val="VerbatimChar"/>
          <w:rFonts w:eastAsiaTheme="minorHAnsi"/>
          <w:lang w:val="en-US"/>
        </w:rPr>
        <w:t>ren_inv_annual</w:t>
      </w:r>
      <w:r w:rsidRPr="00E36010">
        <w:rPr>
          <w:lang w:val="en-US"/>
        </w:rPr>
        <w:t xml:space="preserve">, </w:t>
      </w:r>
      <w:r w:rsidRPr="00E36010">
        <w:rPr>
          <w:rStyle w:val="VerbatimChar"/>
          <w:rFonts w:eastAsiaTheme="minorHAnsi"/>
          <w:lang w:val="en-US"/>
        </w:rPr>
        <w:t>fos_inv_annual</w:t>
      </w:r>
      <w:r w:rsidRPr="00E36010">
        <w:rPr>
          <w:lang w:val="en-US"/>
        </w:rPr>
        <w:t xml:space="preserve">, plus dashboard </w:t>
      </w:r>
      <w:r w:rsidRPr="00E36010">
        <w:rPr>
          <w:rStyle w:val="VerbatimChar"/>
          <w:rFonts w:eastAsiaTheme="minorHAnsi"/>
          <w:lang w:val="en-US"/>
        </w:rPr>
        <w:t>baseline_pdp8_annual_comparison</w:t>
      </w:r>
      <w:r w:rsidRPr="00E36010">
        <w:rPr>
          <w:lang w:val="en-US"/>
        </w:rPr>
        <w:t>) compare simulation series to PDP8/Baseline target paths year by year.</w:t>
      </w:r>
    </w:p>
    <w:p w14:paraId="0E74A602" w14:textId="77777777" w:rsidR="00050AF7" w:rsidRPr="00E36010" w:rsidRDefault="00000000">
      <w:pPr>
        <w:pStyle w:val="Compact"/>
        <w:numPr>
          <w:ilvl w:val="0"/>
          <w:numId w:val="5"/>
        </w:numPr>
        <w:rPr>
          <w:lang w:val="en-US"/>
        </w:rPr>
      </w:pPr>
      <w:r w:rsidRPr="00E36010">
        <w:rPr>
          <w:b/>
          <w:bCs/>
          <w:lang w:val="en-US"/>
        </w:rPr>
        <w:t>Period/end-year consistency checks</w:t>
      </w:r>
      <w:r w:rsidRPr="00E36010">
        <w:rPr>
          <w:lang w:val="en-US"/>
        </w:rPr>
        <w:t xml:space="preserve"> (</w:t>
      </w:r>
      <w:r w:rsidRPr="00E36010">
        <w:rPr>
          <w:rStyle w:val="VerbatimChar"/>
          <w:rFonts w:eastAsiaTheme="minorHAnsi"/>
          <w:lang w:val="en-US"/>
        </w:rPr>
        <w:t>ren_inv_bar</w:t>
      </w:r>
      <w:r w:rsidRPr="00E36010">
        <w:rPr>
          <w:lang w:val="en-US"/>
        </w:rPr>
        <w:t xml:space="preserve">, </w:t>
      </w:r>
      <w:r w:rsidRPr="00E36010">
        <w:rPr>
          <w:rStyle w:val="VerbatimChar"/>
          <w:rFonts w:eastAsiaTheme="minorHAnsi"/>
          <w:lang w:val="en-US"/>
        </w:rPr>
        <w:t>fos_inv_bar</w:t>
      </w:r>
      <w:r w:rsidRPr="00E36010">
        <w:rPr>
          <w:lang w:val="en-US"/>
        </w:rPr>
        <w:t xml:space="preserve">, </w:t>
      </w:r>
      <w:r w:rsidRPr="00E36010">
        <w:rPr>
          <w:rStyle w:val="VerbatimChar"/>
          <w:rFonts w:eastAsiaTheme="minorHAnsi"/>
          <w:lang w:val="en-US"/>
        </w:rPr>
        <w:t>ren_cap_bar</w:t>
      </w:r>
      <w:r w:rsidRPr="00E36010">
        <w:rPr>
          <w:lang w:val="en-US"/>
        </w:rPr>
        <w:t xml:space="preserve">, </w:t>
      </w:r>
      <w:r w:rsidRPr="00E36010">
        <w:rPr>
          <w:rStyle w:val="VerbatimChar"/>
          <w:rFonts w:eastAsiaTheme="minorHAnsi"/>
          <w:lang w:val="en-US"/>
        </w:rPr>
        <w:t>fos_cap_bar</w:t>
      </w:r>
      <w:r w:rsidRPr="00E36010">
        <w:rPr>
          <w:lang w:val="en-US"/>
        </w:rPr>
        <w:t xml:space="preserve">, plus dashboard </w:t>
      </w:r>
      <w:r w:rsidRPr="00E36010">
        <w:rPr>
          <w:rStyle w:val="VerbatimChar"/>
          <w:rFonts w:eastAsiaTheme="minorHAnsi"/>
          <w:lang w:val="en-US"/>
        </w:rPr>
        <w:t>baseline_pdp8_period_comparison</w:t>
      </w:r>
      <w:r w:rsidRPr="00E36010">
        <w:rPr>
          <w:lang w:val="en-US"/>
        </w:rPr>
        <w:t>) verify that 5-year investment shares and end-year capacity levels match the planning aggregates used in calibration discussions.</w:t>
      </w:r>
    </w:p>
    <w:p w14:paraId="2C116608" w14:textId="77777777" w:rsidR="00050AF7" w:rsidRPr="00E36010" w:rsidRDefault="00000000">
      <w:pPr>
        <w:pStyle w:val="FirstParagraph"/>
        <w:rPr>
          <w:lang w:val="en-US"/>
        </w:rPr>
      </w:pPr>
      <w:r w:rsidRPr="00E36010">
        <w:rPr>
          <w:lang w:val="en-US"/>
        </w:rPr>
        <w:t xml:space="preserve">In practice, Section 4’s data provenance and calibration claims should be read alongside these files in </w:t>
      </w:r>
      <w:r w:rsidRPr="00E36010">
        <w:rPr>
          <w:rStyle w:val="VerbatimChar"/>
          <w:rFonts w:eastAsiaTheme="minorHAnsi"/>
          <w:lang w:val="en-US"/>
        </w:rPr>
        <w:t>Figures/</w:t>
      </w:r>
      <w:r w:rsidRPr="00E36010">
        <w:rPr>
          <w:lang w:val="en-US"/>
        </w:rPr>
        <w:t>, because they are the fastest visual QA artifacts for checking whether the solved baseline reproduces the workbook’s energy transition intent.</w:t>
      </w:r>
    </w:p>
    <w:p w14:paraId="32840970" w14:textId="77777777" w:rsidR="00050AF7" w:rsidRPr="00E36010" w:rsidRDefault="00000000">
      <w:pPr>
        <w:pStyle w:val="BodyText"/>
        <w:rPr>
          <w:lang w:val="en-US"/>
        </w:rPr>
      </w:pPr>
      <w:r w:rsidRPr="00E36010">
        <w:rPr>
          <w:lang w:val="en-US"/>
        </w:rPr>
        <w:t xml:space="preserve">Bar-plot previews used in this section (rendered from </w:t>
      </w:r>
      <w:r w:rsidRPr="00E36010">
        <w:rPr>
          <w:rStyle w:val="VerbatimChar"/>
          <w:rFonts w:eastAsiaTheme="minorHAnsi"/>
          <w:lang w:val="en-US"/>
        </w:rPr>
        <w:t>Figures/</w:t>
      </w:r>
      <w:r w:rsidRPr="00E36010">
        <w:rPr>
          <w:lang w:val="en-US"/>
        </w:rPr>
        <w:t>):</w:t>
      </w:r>
    </w:p>
    <w:p w14:paraId="0E6AE0F0" w14:textId="77777777" w:rsidR="00050AF7" w:rsidRDefault="00000000">
      <w:pPr>
        <w:pStyle w:val="CaptionedFigure"/>
      </w:pPr>
      <w:r>
        <w:rPr>
          <w:noProof/>
        </w:rPr>
        <w:drawing>
          <wp:inline distT="0" distB="0" distL="0" distR="0" wp14:anchorId="0C04164B" wp14:editId="13D7E25D">
            <wp:extent cx="5334000" cy="3738855"/>
            <wp:effectExtent l="0" t="0" r="0" b="0"/>
            <wp:docPr id="69" name="Picture" descr="Renewable capacity end-year comparison"/>
            <wp:cNvGraphicFramePr/>
            <a:graphic xmlns:a="http://schemas.openxmlformats.org/drawingml/2006/main">
              <a:graphicData uri="http://schemas.openxmlformats.org/drawingml/2006/picture">
                <pic:pic xmlns:pic="http://schemas.openxmlformats.org/drawingml/2006/picture">
                  <pic:nvPicPr>
                    <pic:cNvPr id="70" name="Picture" descr="../../Figures/ren_cap_bar.png"/>
                    <pic:cNvPicPr>
                      <a:picLocks noChangeAspect="1" noChangeArrowheads="1"/>
                    </pic:cNvPicPr>
                  </pic:nvPicPr>
                  <pic:blipFill>
                    <a:blip r:embed="rId23"/>
                    <a:stretch>
                      <a:fillRect/>
                    </a:stretch>
                  </pic:blipFill>
                  <pic:spPr bwMode="auto">
                    <a:xfrm>
                      <a:off x="0" y="0"/>
                      <a:ext cx="5334000" cy="3738855"/>
                    </a:xfrm>
                    <a:prstGeom prst="rect">
                      <a:avLst/>
                    </a:prstGeom>
                    <a:noFill/>
                    <a:ln w="9525">
                      <a:noFill/>
                      <a:headEnd/>
                      <a:tailEnd/>
                    </a:ln>
                  </pic:spPr>
                </pic:pic>
              </a:graphicData>
            </a:graphic>
          </wp:inline>
        </w:drawing>
      </w:r>
    </w:p>
    <w:p w14:paraId="35440319" w14:textId="77777777" w:rsidR="00050AF7" w:rsidRDefault="00000000">
      <w:pPr>
        <w:pStyle w:val="ImageCaption"/>
      </w:pPr>
      <w:r>
        <w:t>Renewable capacity end-year comparison</w:t>
      </w:r>
    </w:p>
    <w:p w14:paraId="0D379A7F" w14:textId="77777777" w:rsidR="00050AF7" w:rsidRPr="00E36010" w:rsidRDefault="00000000">
      <w:pPr>
        <w:pStyle w:val="BodyText"/>
        <w:rPr>
          <w:lang w:val="en-US"/>
        </w:rPr>
      </w:pPr>
      <w:r w:rsidRPr="00E36010">
        <w:rPr>
          <w:lang w:val="en-US"/>
        </w:rPr>
        <w:t>Figure 4.2. Baseline simulation vs PDP8 target for renewable installed capacity (end-year levels).</w:t>
      </w:r>
    </w:p>
    <w:p w14:paraId="292EA765" w14:textId="77777777" w:rsidR="00050AF7" w:rsidRPr="00E36010" w:rsidRDefault="00000000">
      <w:pPr>
        <w:pStyle w:val="BodyText"/>
        <w:rPr>
          <w:lang w:val="en-US"/>
        </w:rPr>
      </w:pPr>
      <w:r w:rsidRPr="00E36010">
        <w:rPr>
          <w:lang w:val="en-US"/>
        </w:rPr>
        <w:t>Note: Bars compare the model-implied capacity index to PDP8 index values at the end of each reporting period (index base: 2025 = 100).</w:t>
      </w:r>
    </w:p>
    <w:p w14:paraId="7DD89C70" w14:textId="77777777" w:rsidR="00050AF7" w:rsidRPr="00E36010" w:rsidRDefault="00000000">
      <w:pPr>
        <w:pStyle w:val="BodyText"/>
        <w:rPr>
          <w:lang w:val="en-US"/>
        </w:rPr>
      </w:pPr>
      <w:r w:rsidRPr="00E36010">
        <w:rPr>
          <w:lang w:val="en-US"/>
        </w:rPr>
        <w:t xml:space="preserve">Source: Author calculations from baseline simulation output </w:t>
      </w:r>
      <w:r w:rsidRPr="00E36010">
        <w:rPr>
          <w:rStyle w:val="VerbatimChar"/>
          <w:rFonts w:eastAsiaTheme="minorHAnsi"/>
          <w:lang w:val="en-US"/>
        </w:rPr>
        <w:t>ExcelFiles/Output/Baseline.csv</w:t>
      </w:r>
      <w:r w:rsidRPr="00E36010">
        <w:rPr>
          <w:lang w:val="en-US"/>
        </w:rPr>
        <w:t xml:space="preserve"> and PDP8 capacity targets </w:t>
      </w:r>
      <w:r w:rsidRPr="00E36010">
        <w:rPr>
          <w:rStyle w:val="VerbatimChar"/>
          <w:rFonts w:eastAsiaTheme="minorHAnsi"/>
          <w:lang w:val="en-US"/>
        </w:rPr>
        <w:t>ExcelFiles/PDP8/IndexedTrajectories_FossilRenewable_Capacity.csv</w:t>
      </w:r>
      <w:r w:rsidRPr="00E36010">
        <w:rPr>
          <w:lang w:val="en-US"/>
        </w:rPr>
        <w:t xml:space="preserve">, plotted by </w:t>
      </w:r>
      <w:r w:rsidRPr="00E36010">
        <w:rPr>
          <w:rStyle w:val="VerbatimChar"/>
          <w:rFonts w:eastAsiaTheme="minorHAnsi"/>
          <w:lang w:val="en-US"/>
        </w:rPr>
        <w:t>scripts/reporting/DisplayBaselineEnergy.m</w:t>
      </w:r>
      <w:r w:rsidRPr="00E36010">
        <w:rPr>
          <w:lang w:val="en-US"/>
        </w:rPr>
        <w:t>.</w:t>
      </w:r>
    </w:p>
    <w:p w14:paraId="79F67137" w14:textId="77777777" w:rsidR="00050AF7" w:rsidRDefault="00000000">
      <w:pPr>
        <w:pStyle w:val="CaptionedFigure"/>
      </w:pPr>
      <w:r>
        <w:rPr>
          <w:noProof/>
        </w:rPr>
        <w:drawing>
          <wp:inline distT="0" distB="0" distL="0" distR="0" wp14:anchorId="5C13B637" wp14:editId="7B42512A">
            <wp:extent cx="5334000" cy="3789138"/>
            <wp:effectExtent l="0" t="0" r="0" b="0"/>
            <wp:docPr id="72" name="Picture" descr="Fossil capacity end-year comparison"/>
            <wp:cNvGraphicFramePr/>
            <a:graphic xmlns:a="http://schemas.openxmlformats.org/drawingml/2006/main">
              <a:graphicData uri="http://schemas.openxmlformats.org/drawingml/2006/picture">
                <pic:pic xmlns:pic="http://schemas.openxmlformats.org/drawingml/2006/picture">
                  <pic:nvPicPr>
                    <pic:cNvPr id="73" name="Picture" descr="../../Figures/fos_cap_bar.png"/>
                    <pic:cNvPicPr>
                      <a:picLocks noChangeAspect="1" noChangeArrowheads="1"/>
                    </pic:cNvPicPr>
                  </pic:nvPicPr>
                  <pic:blipFill>
                    <a:blip r:embed="rId24"/>
                    <a:stretch>
                      <a:fillRect/>
                    </a:stretch>
                  </pic:blipFill>
                  <pic:spPr bwMode="auto">
                    <a:xfrm>
                      <a:off x="0" y="0"/>
                      <a:ext cx="5334000" cy="3789138"/>
                    </a:xfrm>
                    <a:prstGeom prst="rect">
                      <a:avLst/>
                    </a:prstGeom>
                    <a:noFill/>
                    <a:ln w="9525">
                      <a:noFill/>
                      <a:headEnd/>
                      <a:tailEnd/>
                    </a:ln>
                  </pic:spPr>
                </pic:pic>
              </a:graphicData>
            </a:graphic>
          </wp:inline>
        </w:drawing>
      </w:r>
    </w:p>
    <w:p w14:paraId="7E6246FC" w14:textId="77777777" w:rsidR="00050AF7" w:rsidRDefault="00000000">
      <w:pPr>
        <w:pStyle w:val="ImageCaption"/>
      </w:pPr>
      <w:r>
        <w:t>Fossil capacity end-year comparison</w:t>
      </w:r>
    </w:p>
    <w:p w14:paraId="1B4A2311" w14:textId="77777777" w:rsidR="00050AF7" w:rsidRPr="00E36010" w:rsidRDefault="00000000">
      <w:pPr>
        <w:pStyle w:val="BodyText"/>
        <w:rPr>
          <w:lang w:val="en-US"/>
        </w:rPr>
      </w:pPr>
      <w:r w:rsidRPr="00E36010">
        <w:rPr>
          <w:lang w:val="en-US"/>
        </w:rPr>
        <w:t>Figure 4.3. Baseline simulation vs PDP8 target for fossil installed capacity (end-year levels).</w:t>
      </w:r>
    </w:p>
    <w:p w14:paraId="062FFDD9" w14:textId="77777777" w:rsidR="00050AF7" w:rsidRPr="00E36010" w:rsidRDefault="00000000">
      <w:pPr>
        <w:pStyle w:val="BodyText"/>
        <w:rPr>
          <w:lang w:val="en-US"/>
        </w:rPr>
      </w:pPr>
      <w:r w:rsidRPr="00E36010">
        <w:rPr>
          <w:lang w:val="en-US"/>
        </w:rPr>
        <w:t>Note: Bars compare the model-implied capacity index to PDP8 index va</w:t>
      </w:r>
      <w:r w:rsidRPr="00E36010">
        <w:rPr>
          <w:lang w:val="en-US"/>
        </w:rPr>
        <w:lastRenderedPageBreak/>
        <w:t>lues at the end of each reporting period (index base: 2025 = 100).</w:t>
      </w:r>
    </w:p>
    <w:p w14:paraId="7A2A29EC" w14:textId="77777777" w:rsidR="00050AF7" w:rsidRPr="00E36010" w:rsidRDefault="00000000">
      <w:pPr>
        <w:pStyle w:val="BodyText"/>
        <w:rPr>
          <w:lang w:val="en-US"/>
        </w:rPr>
      </w:pPr>
      <w:r w:rsidRPr="00E36010">
        <w:rPr>
          <w:lang w:val="en-US"/>
        </w:rPr>
        <w:t xml:space="preserve">Source: Author calculations from baseline simulation output </w:t>
      </w:r>
      <w:r w:rsidRPr="00E36010">
        <w:rPr>
          <w:rStyle w:val="VerbatimChar"/>
          <w:rFonts w:eastAsiaTheme="minorHAnsi"/>
          <w:lang w:val="en-US"/>
        </w:rPr>
        <w:t>ExcelFiles/Output/Baseline.csv</w:t>
      </w:r>
      <w:r w:rsidRPr="00E36010">
        <w:rPr>
          <w:lang w:val="en-US"/>
        </w:rPr>
        <w:t xml:space="preserve"> and PDP8 capacity targets </w:t>
      </w:r>
      <w:r w:rsidRPr="00E36010">
        <w:rPr>
          <w:rStyle w:val="VerbatimChar"/>
          <w:rFonts w:eastAsiaTheme="minorHAnsi"/>
          <w:lang w:val="en-US"/>
        </w:rPr>
        <w:t>ExcelFiles/PDP8/IndexedTrajectories_FossilRenewable_Capacity.csv</w:t>
      </w:r>
      <w:r w:rsidRPr="00E36010">
        <w:rPr>
          <w:lang w:val="en-US"/>
        </w:rPr>
        <w:t xml:space="preserve">, plotted by </w:t>
      </w:r>
      <w:r w:rsidRPr="00E36010">
        <w:rPr>
          <w:rStyle w:val="VerbatimChar"/>
          <w:rFonts w:eastAsiaTheme="minorHAnsi"/>
          <w:lang w:val="en-US"/>
        </w:rPr>
        <w:t>scripts/reporting/DisplayBaselineEnergy.m</w:t>
      </w:r>
      <w:r w:rsidRPr="00E36010">
        <w:rPr>
          <w:lang w:val="en-US"/>
        </w:rPr>
        <w:t>.</w:t>
      </w:r>
    </w:p>
    <w:p w14:paraId="3E973680" w14:textId="77777777" w:rsidR="00050AF7" w:rsidRDefault="00000000">
      <w:pPr>
        <w:pStyle w:val="CaptionedFigure"/>
      </w:pPr>
      <w:r>
        <w:rPr>
          <w:noProof/>
        </w:rPr>
        <w:drawing>
          <wp:inline distT="0" distB="0" distL="0" distR="0" wp14:anchorId="3A30BBC2" wp14:editId="7A9FD2EC">
            <wp:extent cx="5334000" cy="3941949"/>
            <wp:effectExtent l="0" t="0" r="0" b="0"/>
            <wp:docPr id="75" name="Picture" descr="Renewable investment share by period"/>
            <wp:cNvGraphicFramePr/>
            <a:graphic xmlns:a="http://schemas.openxmlformats.org/drawingml/2006/main">
              <a:graphicData uri="http://schemas.openxmlformats.org/drawingml/2006/picture">
                <pic:pic xmlns:pic="http://schemas.openxmlformats.org/drawingml/2006/picture">
                  <pic:nvPicPr>
                    <pic:cNvPr id="76" name="Picture" descr="../../Figures/ren_inv_bar.png"/>
                    <pic:cNvPicPr>
                      <a:picLocks noChangeAspect="1" noChangeArrowheads="1"/>
                    </pic:cNvPicPr>
                  </pic:nvPicPr>
                  <pic:blipFill>
                    <a:blip r:embed="rId25"/>
                    <a:stretch>
                      <a:fillRect/>
                    </a:stretch>
                  </pic:blipFill>
                  <pic:spPr bwMode="auto">
                    <a:xfrm>
                      <a:off x="0" y="0"/>
                      <a:ext cx="5334000" cy="3941949"/>
                    </a:xfrm>
                    <a:prstGeom prst="rect">
                      <a:avLst/>
                    </a:prstGeom>
                    <a:noFill/>
                    <a:ln w="9525">
                      <a:noFill/>
                      <a:headEnd/>
                      <a:tailEnd/>
                    </a:ln>
                  </pic:spPr>
                </pic:pic>
              </a:graphicData>
            </a:graphic>
          </wp:inline>
        </w:drawing>
      </w:r>
    </w:p>
    <w:p w14:paraId="4A129867" w14:textId="77777777" w:rsidR="00050AF7" w:rsidRDefault="00000000">
      <w:pPr>
        <w:pStyle w:val="ImageCaption"/>
      </w:pPr>
      <w:r>
        <w:t>Renewable investment share by period</w:t>
      </w:r>
    </w:p>
    <w:p w14:paraId="466D8155" w14:textId="77777777" w:rsidR="00050AF7" w:rsidRPr="00E36010" w:rsidRDefault="00000000">
      <w:pPr>
        <w:pStyle w:val="BodyText"/>
        <w:rPr>
          <w:lang w:val="en-US"/>
        </w:rPr>
      </w:pPr>
      <w:r w:rsidRPr="00E36010">
        <w:rPr>
          <w:lang w:val="en-US"/>
        </w:rPr>
        <w:t>Figure 4.4. Baseline simulation vs PDP8 target for renewable investment share.</w:t>
      </w:r>
    </w:p>
    <w:p w14:paraId="72077284" w14:textId="77777777" w:rsidR="00050AF7" w:rsidRPr="00E36010" w:rsidRDefault="00000000">
      <w:pPr>
        <w:pStyle w:val="BodyText"/>
        <w:rPr>
          <w:lang w:val="en-US"/>
        </w:rPr>
      </w:pPr>
      <w:r w:rsidRPr="00E36010">
        <w:rPr>
          <w:lang w:val="en-US"/>
        </w:rPr>
        <w:t>Note: Each bar reports renewable investment as a share of GDP aggregated over a 5-year per</w:t>
      </w:r>
      <w:r w:rsidRPr="00E36010">
        <w:rPr>
          <w:lang w:val="en-US"/>
        </w:rPr>
        <w:lastRenderedPageBreak/>
        <w:t>iod (</w:t>
      </w:r>
      <w:r w:rsidRPr="00E36010">
        <w:rPr>
          <w:rStyle w:val="VerbatimChar"/>
          <w:rFonts w:eastAsiaTheme="minorHAnsi"/>
          <w:lang w:val="en-US"/>
        </w:rPr>
        <w:t>% of period GDP</w:t>
      </w:r>
      <w:r w:rsidRPr="00E36010">
        <w:rPr>
          <w:lang w:val="en-US"/>
        </w:rPr>
        <w:t>), comparing simulation outcomes to the baseline workbook target path.</w:t>
      </w:r>
    </w:p>
    <w:p w14:paraId="22C12D96" w14:textId="77777777" w:rsidR="00050AF7" w:rsidRPr="00E36010" w:rsidRDefault="00000000">
      <w:pPr>
        <w:pStyle w:val="BodyText"/>
        <w:rPr>
          <w:lang w:val="en-US"/>
        </w:rPr>
      </w:pPr>
      <w:r w:rsidRPr="00E36010">
        <w:rPr>
          <w:lang w:val="en-US"/>
        </w:rPr>
        <w:t xml:space="preserve">Source: Author calculations from baseline simulation output </w:t>
      </w:r>
      <w:r w:rsidRPr="00E36010">
        <w:rPr>
          <w:rStyle w:val="VerbatimChar"/>
          <w:rFonts w:eastAsiaTheme="minorHAnsi"/>
          <w:lang w:val="en-US"/>
        </w:rPr>
        <w:t>ExcelFiles/Output/Baseline.csv</w:t>
      </w:r>
      <w:r w:rsidRPr="00E36010">
        <w:rPr>
          <w:lang w:val="en-US"/>
        </w:rPr>
        <w:t xml:space="preserve"> and baseline target workbook </w:t>
      </w:r>
      <w:r w:rsidRPr="00E36010">
        <w:rPr>
          <w:rStyle w:val="VerbatimChar"/>
          <w:rFonts w:eastAsiaTheme="minorHAnsi"/>
          <w:lang w:val="en-US"/>
        </w:rPr>
        <w:t>ExcelFiles/ModelBaseline5Sectorsand1Regions.xlsx</w:t>
      </w:r>
      <w:r w:rsidRPr="00E36010">
        <w:rPr>
          <w:lang w:val="en-US"/>
        </w:rPr>
        <w:t xml:space="preserve"> (sheet </w:t>
      </w:r>
      <w:r w:rsidRPr="00E36010">
        <w:rPr>
          <w:rStyle w:val="VerbatimChar"/>
          <w:rFonts w:eastAsiaTheme="minorHAnsi"/>
          <w:lang w:val="en-US"/>
        </w:rPr>
        <w:t>Baseline</w:t>
      </w:r>
      <w:r w:rsidRPr="00E36010">
        <w:rPr>
          <w:lang w:val="en-US"/>
        </w:rPr>
        <w:t xml:space="preserve">), plotted by </w:t>
      </w:r>
      <w:r w:rsidRPr="00E36010">
        <w:rPr>
          <w:rStyle w:val="VerbatimChar"/>
          <w:rFonts w:eastAsiaTheme="minorHAnsi"/>
          <w:lang w:val="en-US"/>
        </w:rPr>
        <w:t>scripts/reporting/DisplayBaselineEnergy.m</w:t>
      </w:r>
      <w:r w:rsidRPr="00E36010">
        <w:rPr>
          <w:lang w:val="en-US"/>
        </w:rPr>
        <w:t>.</w:t>
      </w:r>
    </w:p>
    <w:p w14:paraId="67FEA23D" w14:textId="77777777" w:rsidR="00050AF7" w:rsidRDefault="00000000">
      <w:pPr>
        <w:pStyle w:val="CaptionedFigure"/>
      </w:pPr>
      <w:r>
        <w:rPr>
          <w:noProof/>
        </w:rPr>
        <w:drawing>
          <wp:inline distT="0" distB="0" distL="0" distR="0" wp14:anchorId="606B9295" wp14:editId="19E338DF">
            <wp:extent cx="5334000" cy="3941949"/>
            <wp:effectExtent l="0" t="0" r="0" b="0"/>
            <wp:docPr id="78" name="Picture" descr="Fossil investment share by period"/>
            <wp:cNvGraphicFramePr/>
            <a:graphic xmlns:a="http://schemas.openxmlformats.org/drawingml/2006/main">
              <a:graphicData uri="http://schemas.openxmlformats.org/drawingml/2006/picture">
                <pic:pic xmlns:pic="http://schemas.openxmlformats.org/drawingml/2006/picture">
                  <pic:nvPicPr>
                    <pic:cNvPr id="79" name="Picture" descr="../../Figures/fos_inv_bar.png"/>
                    <pic:cNvPicPr>
                      <a:picLocks noChangeAspect="1" noChangeArrowheads="1"/>
                    </pic:cNvPicPr>
                  </pic:nvPicPr>
                  <pic:blipFill>
                    <a:blip r:embed="rId26"/>
                    <a:stretch>
                      <a:fillRect/>
                    </a:stretch>
                  </pic:blipFill>
                  <pic:spPr bwMode="auto">
                    <a:xfrm>
                      <a:off x="0" y="0"/>
                      <a:ext cx="5334000" cy="3941949"/>
                    </a:xfrm>
                    <a:prstGeom prst="rect">
                      <a:avLst/>
                    </a:prstGeom>
                    <a:noFill/>
                    <a:ln w="9525">
                      <a:noFill/>
                      <a:headEnd/>
                      <a:tailEnd/>
                    </a:ln>
                  </pic:spPr>
                </pic:pic>
              </a:graphicData>
            </a:graphic>
          </wp:inline>
        </w:drawing>
      </w:r>
    </w:p>
    <w:p w14:paraId="2EA2FAB1" w14:textId="77777777" w:rsidR="00050AF7" w:rsidRDefault="00000000">
      <w:pPr>
        <w:pStyle w:val="ImageCaption"/>
      </w:pPr>
      <w:r>
        <w:t>Fossil investment share by period</w:t>
      </w:r>
    </w:p>
    <w:p w14:paraId="3D782DCB" w14:textId="77777777" w:rsidR="00050AF7" w:rsidRPr="00E36010" w:rsidRDefault="00000000">
      <w:pPr>
        <w:pStyle w:val="BodyText"/>
        <w:rPr>
          <w:lang w:val="en-US"/>
        </w:rPr>
      </w:pPr>
      <w:r w:rsidRPr="00E36010">
        <w:rPr>
          <w:lang w:val="en-US"/>
        </w:rPr>
        <w:t>Figure 4.5. Baseline simulation vs PDP8 target for fossil investment share.</w:t>
      </w:r>
    </w:p>
    <w:p w14:paraId="4681A840" w14:textId="77777777" w:rsidR="00050AF7" w:rsidRPr="00E36010" w:rsidRDefault="00000000">
      <w:pPr>
        <w:pStyle w:val="BodyText"/>
        <w:rPr>
          <w:lang w:val="en-US"/>
        </w:rPr>
      </w:pPr>
      <w:r w:rsidRPr="00E36010">
        <w:rPr>
          <w:lang w:val="en-US"/>
        </w:rPr>
        <w:t>Note: Each bar reports fossil investment as a share of GDP agg</w:t>
      </w:r>
      <w:r w:rsidRPr="00E36010">
        <w:rPr>
          <w:lang w:val="en-US"/>
        </w:rPr>
        <w:lastRenderedPageBreak/>
        <w:t>regated over a 5-year period (</w:t>
      </w:r>
      <w:r w:rsidRPr="00E36010">
        <w:rPr>
          <w:rStyle w:val="VerbatimChar"/>
          <w:rFonts w:eastAsiaTheme="minorHAnsi"/>
          <w:lang w:val="en-US"/>
        </w:rPr>
        <w:t>% of period GDP</w:t>
      </w:r>
      <w:r w:rsidRPr="00E36010">
        <w:rPr>
          <w:lang w:val="en-US"/>
        </w:rPr>
        <w:t>), comparing simulation outcomes to the baseline workbook target path.</w:t>
      </w:r>
    </w:p>
    <w:p w14:paraId="7720817A" w14:textId="77777777" w:rsidR="00050AF7" w:rsidRPr="00E36010" w:rsidRDefault="00000000">
      <w:pPr>
        <w:pStyle w:val="BodyText"/>
        <w:rPr>
          <w:lang w:val="en-US"/>
        </w:rPr>
      </w:pPr>
      <w:r w:rsidRPr="00E36010">
        <w:rPr>
          <w:lang w:val="en-US"/>
        </w:rPr>
        <w:t xml:space="preserve">Source: Author calculations from baseline simulation output </w:t>
      </w:r>
      <w:r w:rsidRPr="00E36010">
        <w:rPr>
          <w:rStyle w:val="VerbatimChar"/>
          <w:rFonts w:eastAsiaTheme="minorHAnsi"/>
          <w:lang w:val="en-US"/>
        </w:rPr>
        <w:t>ExcelFiles/Output/Baseline.csv</w:t>
      </w:r>
      <w:r w:rsidRPr="00E36010">
        <w:rPr>
          <w:lang w:val="en-US"/>
        </w:rPr>
        <w:t xml:space="preserve"> and baseline target workbook </w:t>
      </w:r>
      <w:r w:rsidRPr="00E36010">
        <w:rPr>
          <w:rStyle w:val="VerbatimChar"/>
          <w:rFonts w:eastAsiaTheme="minorHAnsi"/>
          <w:lang w:val="en-US"/>
        </w:rPr>
        <w:t>ExcelFiles/ModelBaseline5Sectorsand1Regions.xlsx</w:t>
      </w:r>
      <w:r w:rsidRPr="00E36010">
        <w:rPr>
          <w:lang w:val="en-US"/>
        </w:rPr>
        <w:t xml:space="preserve"> (sheet </w:t>
      </w:r>
      <w:r w:rsidRPr="00E36010">
        <w:rPr>
          <w:rStyle w:val="VerbatimChar"/>
          <w:rFonts w:eastAsiaTheme="minorHAnsi"/>
          <w:lang w:val="en-US"/>
        </w:rPr>
        <w:t>Baseline</w:t>
      </w:r>
      <w:r w:rsidRPr="00E36010">
        <w:rPr>
          <w:lang w:val="en-US"/>
        </w:rPr>
        <w:t xml:space="preserve">), plotted by </w:t>
      </w:r>
      <w:r w:rsidRPr="00E36010">
        <w:rPr>
          <w:rStyle w:val="VerbatimChar"/>
          <w:rFonts w:eastAsiaTheme="minorHAnsi"/>
          <w:lang w:val="en-US"/>
        </w:rPr>
        <w:t>scripts/reporting/DisplayBaselineEnergy.m</w:t>
      </w:r>
      <w:r w:rsidRPr="00E36010">
        <w:rPr>
          <w:lang w:val="en-US"/>
        </w:rPr>
        <w:t>.</w:t>
      </w:r>
    </w:p>
    <w:p w14:paraId="35142A8B" w14:textId="77777777" w:rsidR="00050AF7" w:rsidRDefault="00000000">
      <w:r>
        <w:pict w14:anchorId="3D097537">
          <v:rect id="_x0000_i1469" style="width:0;height:1.5pt" o:hralign="center" o:hrstd="t" o:hr="t"/>
        </w:pict>
      </w:r>
    </w:p>
    <w:p w14:paraId="61B0EED6" w14:textId="1C544D64" w:rsidR="00050AF7" w:rsidRDefault="00000000" w:rsidP="00E36010">
      <w:pPr>
        <w:pStyle w:val="Heading1"/>
      </w:pPr>
      <w:bookmarkStart w:id="51" w:name="solution-method"/>
      <w:bookmarkStart w:id="52" w:name="_Toc235867065"/>
      <w:bookmarkEnd w:id="35"/>
      <w:bookmarkEnd w:id="49"/>
      <w:r>
        <w:t>Solution Method</w:t>
      </w:r>
      <w:bookmarkEnd w:id="52"/>
    </w:p>
    <w:p w14:paraId="5BC76780" w14:textId="3D1D9110" w:rsidR="00050AF7" w:rsidRDefault="00000000" w:rsidP="00E36010">
      <w:pPr>
        <w:pStyle w:val="Heading2"/>
      </w:pPr>
      <w:bookmarkStart w:id="53" w:name="dynare-perfect-foresight-solving"/>
      <w:bookmarkStart w:id="54" w:name="_Toc235867066"/>
      <w:r>
        <w:t>Dynare perfect-foresight solving</w:t>
      </w:r>
      <w:bookmarkEnd w:id="54"/>
    </w:p>
    <w:p w14:paraId="0BDA7896" w14:textId="77777777" w:rsidR="00050AF7" w:rsidRPr="00E36010" w:rsidRDefault="00000000">
      <w:pPr>
        <w:pStyle w:val="FirstParagraph"/>
        <w:rPr>
          <w:lang w:val="en-US"/>
        </w:rPr>
      </w:pPr>
      <w:r w:rsidRPr="00E36010">
        <w:rPr>
          <w:lang w:val="en-US"/>
        </w:rPr>
        <w:t>DGE-METRIC is solved with Dynare’s deterministic (perfect-foresight) simulation routines: agents have full knowledge of the future p</w:t>
      </w:r>
      <w:r w:rsidRPr="00E36010">
        <w:rPr>
          <w:lang w:val="en-US"/>
        </w:rPr>
        <w:lastRenderedPageBreak/>
        <w:t>ath of exogenous shocks and policy variables, and the model solves for the transition path that satisfies all first-order conditions and market-clearing conditions simultaneously across the full 2026–2050 horizon. This is the right solution concept for anticipated, pre-announced policy paths (e.g. a legislated ETS cap schedule or a pre-announced PDP8 investment plan), as opposed to a stochastic/linearized solution concept built for analyzing responses to unanticipated shocks.</w:t>
      </w:r>
    </w:p>
    <w:p w14:paraId="5750D939" w14:textId="77777777" w:rsidR="00050AF7" w:rsidRPr="00E36010" w:rsidRDefault="00000000">
      <w:pPr>
        <w:pStyle w:val="BodyText"/>
        <w:rPr>
          <w:lang w:val="en-US"/>
        </w:rPr>
      </w:pPr>
      <w:r w:rsidRPr="00E36010">
        <w:rPr>
          <w:rStyle w:val="VerbatimChar"/>
          <w:rFonts w:eastAsiaTheme="minorHAnsi"/>
          <w:lang w:val="en-US"/>
        </w:rPr>
        <w:t>DGE_Model.mod</w:t>
      </w:r>
      <w:r w:rsidRPr="00E36010">
        <w:rPr>
          <w:lang w:val="en-US"/>
        </w:rPr>
        <w:t xml:space="preserve"> is the canonical entry point; shared equation blocks live under </w:t>
      </w:r>
      <w:r w:rsidRPr="00E36010">
        <w:rPr>
          <w:rStyle w:val="VerbatimChar"/>
          <w:rFonts w:eastAsiaTheme="minorHAnsi"/>
          <w:lang w:val="en-US"/>
        </w:rPr>
        <w:t>ModFiles/Equations/</w:t>
      </w:r>
      <w:r w:rsidRPr="00E36010">
        <w:rPr>
          <w:lang w:val="en-US"/>
        </w:rPr>
        <w:t xml:space="preserve"> (and are mirrored in human-readable form under </w:t>
      </w:r>
      <w:r w:rsidRPr="00E36010">
        <w:rPr>
          <w:rStyle w:val="VerbatimChar"/>
          <w:rFonts w:eastAsiaTheme="minorHAnsi"/>
          <w:lang w:val="en-US"/>
        </w:rPr>
        <w:t>ModFiles/Equations/Equations_display/</w:t>
      </w:r>
      <w:r w:rsidRPr="00E36010">
        <w:rPr>
          <w:lang w:val="en-US"/>
        </w:rPr>
        <w:t>). Dynare’s macro-preprocessor (</w:t>
      </w:r>
      <w:r w:rsidRPr="00E36010">
        <w:rPr>
          <w:rStyle w:val="VerbatimChar"/>
          <w:rFonts w:eastAsiaTheme="minorHAnsi"/>
          <w:lang w:val="en-US"/>
        </w:rPr>
        <w:t>@#</w:t>
      </w:r>
      <w:r w:rsidRPr="00E36010">
        <w:rPr>
          <w:lang w:val="en-US"/>
        </w:rPr>
        <w:t>-directives) expands sector/region loops and branches on structural switches (</w:t>
      </w:r>
      <w:r w:rsidRPr="00E36010">
        <w:rPr>
          <w:rStyle w:val="VerbatimChar"/>
          <w:rFonts w:eastAsiaTheme="minorHAnsi"/>
          <w:lang w:val="en-US"/>
        </w:rPr>
        <w:t>lCapPrice</w:t>
      </w:r>
      <w:r w:rsidRPr="00E36010">
        <w:rPr>
          <w:lang w:val="en-US"/>
        </w:rPr>
        <w:t xml:space="preserve">, </w:t>
      </w:r>
      <w:r w:rsidRPr="00E36010">
        <w:rPr>
          <w:rStyle w:val="VerbatimChar"/>
          <w:rFonts w:eastAsiaTheme="minorHAnsi"/>
          <w:lang w:val="en-US"/>
        </w:rPr>
        <w:t>lAdjPos</w:t>
      </w:r>
      <w:r w:rsidRPr="00E36010">
        <w:rPr>
          <w:lang w:val="en-US"/>
        </w:rPr>
        <w:t xml:space="preserve">, </w:t>
      </w:r>
      <w:r w:rsidRPr="00E36010">
        <w:rPr>
          <w:rStyle w:val="VerbatimChar"/>
          <w:rFonts w:eastAsiaTheme="minorHAnsi"/>
          <w:lang w:val="en-US"/>
        </w:rPr>
        <w:t>YEndogenous</w:t>
      </w:r>
      <w:r w:rsidRPr="00E36010">
        <w:rPr>
          <w:lang w:val="en-US"/>
        </w:rPr>
        <w:t xml:space="preserve">, </w:t>
      </w:r>
      <w:r w:rsidRPr="00E36010">
        <w:rPr>
          <w:rStyle w:val="VerbatimChar"/>
          <w:rFonts w:eastAsiaTheme="minorHAnsi"/>
          <w:lang w:val="en-US"/>
        </w:rPr>
        <w:t>CapandTrade</w:t>
      </w:r>
      <w:r w:rsidRPr="00E36010">
        <w:rPr>
          <w:lang w:val="en-US"/>
        </w:rPr>
        <w:t xml:space="preserve">, …) declared at the top of </w:t>
      </w:r>
      <w:r w:rsidRPr="00E36010">
        <w:rPr>
          <w:rStyle w:val="VerbatimChar"/>
          <w:rFonts w:eastAsiaTheme="minorHAnsi"/>
          <w:lang w:val="en-US"/>
        </w:rPr>
        <w:t>DGE_Model.mod</w:t>
      </w:r>
      <w:r w:rsidRPr="00E36010">
        <w:rPr>
          <w:lang w:val="en-US"/>
        </w:rPr>
        <w:t>. All Dynare-generated code (</w:t>
      </w:r>
      <w:r w:rsidRPr="00E36010">
        <w:rPr>
          <w:rStyle w:val="VerbatimChar"/>
          <w:rFonts w:eastAsiaTheme="minorHAnsi"/>
          <w:lang w:val="en-US"/>
        </w:rPr>
        <w:t>+DGE_Model/</w:t>
      </w:r>
      <w:r w:rsidRPr="00E36010">
        <w:rPr>
          <w:lang w:val="en-US"/>
        </w:rPr>
        <w:t xml:space="preserve">, </w:t>
      </w:r>
      <w:r w:rsidRPr="00E36010">
        <w:rPr>
          <w:rStyle w:val="VerbatimChar"/>
          <w:rFonts w:eastAsiaTheme="minorHAnsi"/>
          <w:lang w:val="en-US"/>
        </w:rPr>
        <w:t>DGE_Model/</w:t>
      </w:r>
      <w:r w:rsidRPr="00E36010">
        <w:rPr>
          <w:lang w:val="en-US"/>
        </w:rPr>
        <w:t xml:space="preserve">, </w:t>
      </w:r>
      <w:r w:rsidRPr="00E36010">
        <w:rPr>
          <w:rStyle w:val="VerbatimChar"/>
          <w:rFonts w:eastAsiaTheme="minorHAnsi"/>
          <w:lang w:val="en-US"/>
        </w:rPr>
        <w:t>*_dynamic.m</w:t>
      </w:r>
      <w:r w:rsidRPr="00E36010">
        <w:rPr>
          <w:lang w:val="en-US"/>
        </w:rPr>
        <w:t xml:space="preserve">, </w:t>
      </w:r>
      <w:r w:rsidRPr="00E36010">
        <w:rPr>
          <w:rStyle w:val="VerbatimChar"/>
          <w:rFonts w:eastAsiaTheme="minorHAnsi"/>
          <w:lang w:val="en-US"/>
        </w:rPr>
        <w:t>*_static.m</w:t>
      </w:r>
      <w:r w:rsidRPr="00E36010">
        <w:rPr>
          <w:lang w:val="en-US"/>
        </w:rPr>
        <w:t xml:space="preserve">) is rebuilt on every invocation and is not source — fixes belong in the </w:t>
      </w:r>
      <w:r w:rsidRPr="00E36010">
        <w:rPr>
          <w:rStyle w:val="VerbatimChar"/>
          <w:rFonts w:eastAsiaTheme="minorHAnsi"/>
          <w:lang w:val="en-US"/>
        </w:rPr>
        <w:t>.mod</w:t>
      </w:r>
      <w:r w:rsidRPr="00E36010">
        <w:rPr>
          <w:lang w:val="en-US"/>
        </w:rPr>
        <w:t xml:space="preserve"> files, followed by a re-run.</w:t>
      </w:r>
    </w:p>
    <w:p w14:paraId="53AA4B87" w14:textId="63C3449C" w:rsidR="00050AF7" w:rsidRDefault="00000000" w:rsidP="00E36010">
      <w:pPr>
        <w:pStyle w:val="Heading2"/>
      </w:pPr>
      <w:bookmarkStart w:id="55" w:name="steady-state-calibration-pipeline"/>
      <w:bookmarkStart w:id="56" w:name="_Toc235867067"/>
      <w:bookmarkEnd w:id="53"/>
      <w:r>
        <w:t>Steady-state / calibrat</w:t>
      </w:r>
      <w:r>
        <w:lastRenderedPageBreak/>
        <w:t>ion pipeline</w:t>
      </w:r>
      <w:bookmarkEnd w:id="56"/>
    </w:p>
    <w:p w14:paraId="4720627E" w14:textId="77777777" w:rsidR="00050AF7" w:rsidRPr="00E36010" w:rsidRDefault="00000000">
      <w:pPr>
        <w:pStyle w:val="FirstParagraph"/>
        <w:rPr>
          <w:lang w:val="en-US"/>
        </w:rPr>
      </w:pPr>
      <w:r w:rsidRPr="00E36010">
        <w:rPr>
          <w:rStyle w:val="VerbatimChar"/>
          <w:rFonts w:eastAsiaTheme="minorHAnsi"/>
          <w:lang w:val="en-US"/>
        </w:rPr>
        <w:t>steadystate_model.m</w:t>
      </w:r>
      <w:r w:rsidRPr="00E36010">
        <w:rPr>
          <w:lang w:val="en-US"/>
        </w:rPr>
        <w:t xml:space="preserve"> dispatches to </w:t>
      </w:r>
      <w:r w:rsidRPr="00E36010">
        <w:rPr>
          <w:rStyle w:val="VerbatimChar"/>
          <w:rFonts w:eastAsiaTheme="minorHAnsi"/>
          <w:lang w:val="en-US"/>
        </w:rPr>
        <w:t>DGE_Model_steadystate.m</w:t>
      </w:r>
      <w:r w:rsidRPr="00E36010">
        <w:rPr>
          <w:lang w:val="en-US"/>
        </w:rPr>
        <w:t xml:space="preserve">, which routes to </w:t>
      </w:r>
      <w:r w:rsidRPr="00E36010">
        <w:rPr>
          <w:rStyle w:val="VerbatimChar"/>
          <w:rFonts w:eastAsiaTheme="minorHAnsi"/>
          <w:lang w:val="en-US"/>
        </w:rPr>
        <w:t>Functions/SteadyState/</w:t>
      </w:r>
      <w:r w:rsidRPr="00E36010">
        <w:rPr>
          <w:lang w:val="en-US"/>
        </w:rPr>
        <w:t xml:space="preserve"> depending on </w:t>
      </w:r>
      <w:r w:rsidRPr="00E36010">
        <w:rPr>
          <w:rStyle w:val="VerbatimChar"/>
          <w:rFonts w:eastAsiaTheme="minorHAnsi"/>
          <w:lang w:val="en-US"/>
        </w:rPr>
        <w:t>lCalibration_p</w:t>
      </w:r>
      <w:r w:rsidRPr="00E36010">
        <w:rPr>
          <w:lang w:val="en-US"/>
        </w:rPr>
        <w:t xml:space="preserve">: </w:t>
      </w:r>
      <w:r w:rsidRPr="00E36010">
        <w:rPr>
          <w:rStyle w:val="VerbatimChar"/>
          <w:rFonts w:eastAsiaTheme="minorHAnsi"/>
          <w:lang w:val="en-US"/>
        </w:rPr>
        <w:t>build_initial_guess.m</w:t>
      </w:r>
      <w:r w:rsidRPr="00E36010">
        <w:rPr>
          <w:lang w:val="en-US"/>
        </w:rPr>
        <w:t xml:space="preserve"> → </w:t>
      </w:r>
      <w:r w:rsidRPr="00E36010">
        <w:rPr>
          <w:rStyle w:val="VerbatimChar"/>
          <w:rFonts w:eastAsiaTheme="minorHAnsi"/>
          <w:lang w:val="en-US"/>
        </w:rPr>
        <w:t>compute_capital.m</w:t>
      </w:r>
      <w:r w:rsidRPr="00E36010">
        <w:rPr>
          <w:lang w:val="en-US"/>
        </w:rPr>
        <w:t xml:space="preserve"> → </w:t>
      </w:r>
      <w:r w:rsidRPr="00E36010">
        <w:rPr>
          <w:rStyle w:val="VerbatimChar"/>
          <w:rFonts w:eastAsiaTheme="minorHAnsi"/>
          <w:lang w:val="en-US"/>
        </w:rPr>
        <w:t>setup_initial_state.m</w:t>
      </w:r>
      <w:r w:rsidRPr="00E36010">
        <w:rPr>
          <w:lang w:val="en-US"/>
        </w:rPr>
        <w:t xml:space="preserve">, with low-level blocks in </w:t>
      </w:r>
      <w:r w:rsidRPr="00E36010">
        <w:rPr>
          <w:rStyle w:val="VerbatimChar"/>
          <w:rFonts w:eastAsiaTheme="minorHAnsi"/>
          <w:lang w:val="en-US"/>
        </w:rPr>
        <w:t>SteadyState/computeCapital/</w:t>
      </w:r>
      <w:r w:rsidRPr="00E36010">
        <w:rPr>
          <w:lang w:val="en-US"/>
        </w:rPr>
        <w:t xml:space="preserve"> and </w:t>
      </w:r>
      <w:r w:rsidRPr="00E36010">
        <w:rPr>
          <w:rStyle w:val="VerbatimChar"/>
          <w:rFonts w:eastAsiaTheme="minorHAnsi"/>
          <w:lang w:val="en-US"/>
        </w:rPr>
        <w:t>SteadyState/setupInitialState/</w:t>
      </w:r>
      <w:r w:rsidRPr="00E36010">
        <w:rPr>
          <w:lang w:val="en-US"/>
        </w:rPr>
        <w:t xml:space="preserve">. </w:t>
      </w:r>
      <w:r w:rsidRPr="00E36010">
        <w:rPr>
          <w:rStyle w:val="VerbatimChar"/>
          <w:rFonts w:eastAsiaTheme="minorHAnsi"/>
          <w:lang w:val="en-US"/>
        </w:rPr>
        <w:t>Functions/steady_state/</w:t>
      </w:r>
      <w:r w:rsidRPr="00E36010">
        <w:rPr>
          <w:lang w:val="en-US"/>
        </w:rPr>
        <w:t xml:space="preserve"> holds thin </w:t>
      </w:r>
      <w:r w:rsidRPr="00E36010">
        <w:rPr>
          <w:rStyle w:val="VerbatimChar"/>
          <w:rFonts w:eastAsiaTheme="minorHAnsi"/>
          <w:lang w:val="en-US"/>
        </w:rPr>
        <w:t>ss_*</w:t>
      </w:r>
      <w:r w:rsidRPr="00E36010">
        <w:rPr>
          <w:lang w:val="en-US"/>
        </w:rPr>
        <w:t xml:space="preserve"> wrapper functions preserving legacy call signatures over the snake_case refactored implementation.</w:t>
      </w:r>
    </w:p>
    <w:p w14:paraId="406F5D8E" w14:textId="77777777" w:rsidR="00050AF7" w:rsidRDefault="00000000">
      <w:pPr>
        <w:pStyle w:val="BodyText"/>
      </w:pPr>
      <w:r w:rsidRPr="00E36010">
        <w:rPr>
          <w:b/>
          <w:bCs/>
          <w:lang w:val="en-US"/>
        </w:rPr>
        <w:t>Critical invariant:</w:t>
      </w:r>
      <w:r w:rsidRPr="00E36010">
        <w:rPr>
          <w:lang w:val="en-US"/>
        </w:rPr>
        <w:t xml:space="preserve"> </w:t>
      </w:r>
      <w:r w:rsidRPr="00E36010">
        <w:rPr>
          <w:rStyle w:val="VerbatimChar"/>
          <w:rFonts w:eastAsiaTheme="minorHAnsi"/>
          <w:lang w:val="en-US"/>
        </w:rPr>
        <w:t>evaluate_capital_steady_state_residuals.m</w:t>
      </w:r>
      <w:r w:rsidRPr="00E36010">
        <w:rPr>
          <w:lang w:val="en-US"/>
        </w:rPr>
        <w:t xml:space="preserve"> must retain the equation labeled </w:t>
      </w:r>
      <w:r w:rsidRPr="00E36010">
        <w:rPr>
          <w:rStyle w:val="VerbatimChar"/>
          <w:rFonts w:eastAsiaTheme="minorHAnsi"/>
          <w:lang w:val="en-US"/>
        </w:rPr>
        <w:t>fval_vec_11</w:t>
      </w:r>
      <w:r w:rsidRPr="00E36010">
        <w:rPr>
          <w:lang w:val="en-US"/>
        </w:rPr>
        <w:t xml:space="preserve">, which pins </w:t>
      </w:r>
      <w:r w:rsidRPr="00E36010">
        <w:rPr>
          <w:rStyle w:val="VerbatimChar"/>
          <w:rFonts w:eastAsiaTheme="minorHAnsi"/>
          <w:lang w:val="en-US"/>
        </w:rPr>
        <w:t>Q_(fossil) = Q_0 · exp(exo_(Q,fossil))</w:t>
      </w:r>
      <w:r w:rsidRPr="00E36010">
        <w:rPr>
          <w:lang w:val="en-US"/>
        </w:rPr>
        <w:t xml:space="preserve"> in hybrid calibration mode (</w:t>
      </w:r>
      <w:r w:rsidRPr="00E36010">
        <w:rPr>
          <w:rStyle w:val="VerbatimChar"/>
          <w:rFonts w:eastAsiaTheme="minorHAnsi"/>
          <w:lang w:val="en-US"/>
        </w:rPr>
        <w:t>lCalibration_p == 2</w:t>
      </w:r>
      <w:r w:rsidRPr="00E36010">
        <w:rPr>
          <w:lang w:val="en-US"/>
        </w:rPr>
        <w:t xml:space="preserve">). This is the closing equation that lets </w:t>
      </w:r>
      <w:r w:rsidRPr="00E36010">
        <w:rPr>
          <w:rStyle w:val="VerbatimChar"/>
          <w:rFonts w:eastAsiaTheme="minorHAnsi"/>
          <w:lang w:val="en-US"/>
        </w:rPr>
        <w:t>EE_1</w:t>
      </w:r>
      <w:r w:rsidRPr="00E36010">
        <w:rPr>
          <w:lang w:val="en-US"/>
        </w:rPr>
        <w:t>/</w:t>
      </w:r>
      <w:r w:rsidRPr="00E36010">
        <w:rPr>
          <w:rStyle w:val="VerbatimChar"/>
          <w:rFonts w:eastAsiaTheme="minorHAnsi"/>
          <w:lang w:val="en-US"/>
        </w:rPr>
        <w:t>EE_sec_reg</w:t>
      </w:r>
      <w:r w:rsidRPr="00E36010">
        <w:rPr>
          <w:lang w:val="en-US"/>
        </w:rPr>
        <w:t xml:space="preserve"> float; removing it makes the hybrid steady-state solve underdetermined and </w:t>
      </w:r>
      <w:r w:rsidRPr="00E36010">
        <w:rPr>
          <w:rStyle w:val="VerbatimChar"/>
          <w:rFonts w:eastAsiaTheme="minorHAnsi"/>
          <w:lang w:val="en-US"/>
        </w:rPr>
        <w:t>fsolve</w:t>
      </w:r>
      <w:r w:rsidRPr="00E36010">
        <w:rPr>
          <w:lang w:val="en-US"/>
        </w:rPr>
        <w:t xml:space="preserve"> fails to converge. </w:t>
      </w:r>
      <w:r>
        <w:t>This has been mistakenly “cleaned up” before.</w:t>
      </w:r>
    </w:p>
    <w:p w14:paraId="0B64EC01" w14:textId="3B21F5E8" w:rsidR="00050AF7" w:rsidRDefault="00000000" w:rsidP="00E36010">
      <w:pPr>
        <w:pStyle w:val="Heading2"/>
      </w:pPr>
      <w:bookmarkStart w:id="57" w:name="simulation"/>
      <w:bookmarkStart w:id="58" w:name="_Toc235867068"/>
      <w:bookmarkEnd w:id="55"/>
      <w:r>
        <w:t>Simulation</w:t>
      </w:r>
      <w:bookmarkEnd w:id="58"/>
    </w:p>
    <w:p w14:paraId="39BE868E" w14:textId="77777777" w:rsidR="00050AF7" w:rsidRPr="00E36010" w:rsidRDefault="00000000">
      <w:pPr>
        <w:pStyle w:val="FirstParagraph"/>
        <w:rPr>
          <w:lang w:val="en-US"/>
        </w:rPr>
      </w:pPr>
      <w:r w:rsidRPr="00E36010">
        <w:rPr>
          <w:rStyle w:val="VerbatimChar"/>
          <w:rFonts w:eastAsiaTheme="minorHAnsi"/>
          <w:lang w:val="en-US"/>
        </w:rPr>
        <w:t>simulation_model_refactored.m</w:t>
      </w:r>
      <w:r w:rsidRPr="00E36010">
        <w:rPr>
          <w:lang w:val="en-US"/>
        </w:rPr>
        <w:t xml:space="preserve"> loads exogenous series (</w:t>
      </w:r>
      <w:r w:rsidRPr="00E36010">
        <w:rPr>
          <w:rStyle w:val="VerbatimChar"/>
          <w:rFonts w:eastAsiaTheme="minorHAnsi"/>
          <w:lang w:val="en-US"/>
        </w:rPr>
        <w:t>Functions/Miscellaneous/Simulation/</w:t>
      </w:r>
      <w:r w:rsidRPr="00E36010">
        <w:rPr>
          <w:lang w:val="en-US"/>
        </w:rPr>
        <w:t xml:space="preserve">), applies baseline/scenario transitions, then applies optional </w:t>
      </w:r>
      <w:r w:rsidRPr="00E36010">
        <w:rPr>
          <w:rStyle w:val="VerbatimChar"/>
          <w:rFonts w:eastAsiaTheme="minorHAnsi"/>
          <w:lang w:val="en-US"/>
        </w:rPr>
        <w:t>AdditionalShocks</w:t>
      </w:r>
      <w:r w:rsidRPr="00E36010">
        <w:rPr>
          <w:lang w:val="en-US"/>
        </w:rPr>
        <w:t xml:space="preserve"> (see </w:t>
      </w:r>
      <w:r w:rsidRPr="00E36010">
        <w:rPr>
          <w:rStyle w:val="VerbatimChar"/>
          <w:rFonts w:eastAsiaTheme="minorHAnsi"/>
          <w:lang w:val="en-US"/>
        </w:rPr>
        <w:t>Functions/README_AdditionalShocks.md</w:t>
      </w:r>
      <w:r w:rsidRPr="00E36010">
        <w:rPr>
          <w:lang w:val="en-US"/>
        </w:rPr>
        <w:t xml:space="preserve"> for the shock-struct schema and the </w:t>
      </w:r>
      <w:r w:rsidRPr="00E36010">
        <w:rPr>
          <w:rStyle w:val="VerbatimChar"/>
          <w:rFonts w:eastAsiaTheme="minorHAnsi"/>
          <w:lang w:val="en-US"/>
        </w:rPr>
        <w:t>fineTuneSteps</w:t>
      </w:r>
      <w:r w:rsidRPr="00E36010">
        <w:rPr>
          <w:lang w:val="en-US"/>
        </w:rPr>
        <w:t xml:space="preserve"> incremental-shock mechanism used to help the Newton solver converge for large shocks). Post-run audit CSVs compare Excel </w:t>
      </w:r>
      <w:r w:rsidRPr="00E36010">
        <w:rPr>
          <w:rStyle w:val="VerbatimChar"/>
          <w:rFonts w:eastAsiaTheme="minorHAnsi"/>
          <w:lang w:val="en-US"/>
        </w:rPr>
        <w:t>gY_*</w:t>
      </w:r>
      <w:r w:rsidRPr="00E36010">
        <w:rPr>
          <w:lang w:val="en-US"/>
        </w:rPr>
        <w:t xml:space="preserve"> growth targets against simulated growth, written next to </w:t>
      </w:r>
      <w:r w:rsidRPr="00E36010">
        <w:rPr>
          <w:rStyle w:val="VerbatimChar"/>
          <w:rFonts w:eastAsiaTheme="minorHAnsi"/>
          <w:lang w:val="en-US"/>
        </w:rPr>
        <w:t>ExcelFiles/Output/Baseline.csv</w:t>
      </w:r>
      <w:r w:rsidRPr="00E36010">
        <w:rPr>
          <w:lang w:val="en-US"/>
        </w:rPr>
        <w:t>.</w:t>
      </w:r>
    </w:p>
    <w:p w14:paraId="5D3CC529" w14:textId="7167C62E" w:rsidR="00050AF7" w:rsidRDefault="00E36010" w:rsidP="00E36010">
      <w:pPr>
        <w:pStyle w:val="Heading2"/>
      </w:pPr>
      <w:bookmarkStart w:id="59" w:name="verification-approach"/>
      <w:bookmarkStart w:id="60" w:name="_Toc235867069"/>
      <w:bookmarkEnd w:id="57"/>
      <w:r>
        <w:t>V</w:t>
      </w:r>
      <w:r w:rsidR="00000000">
        <w:t>erification approach</w:t>
      </w:r>
      <w:bookmarkEnd w:id="60"/>
    </w:p>
    <w:p w14:paraId="7F648BFC" w14:textId="77777777" w:rsidR="00050AF7" w:rsidRPr="00E36010" w:rsidRDefault="00000000">
      <w:pPr>
        <w:pStyle w:val="FirstParagraph"/>
        <w:rPr>
          <w:lang w:val="en-US"/>
        </w:rPr>
      </w:pPr>
      <w:r w:rsidRPr="00E36010">
        <w:rPr>
          <w:lang w:val="en-US"/>
        </w:rPr>
        <w:t>There is no automated test suite. “Does it work” is verified by: the steady-state solver converging (</w:t>
      </w:r>
      <w:r w:rsidRPr="00E36010">
        <w:rPr>
          <w:rStyle w:val="VerbatimChar"/>
          <w:rFonts w:eastAsiaTheme="minorHAnsi"/>
          <w:lang w:val="en-US"/>
        </w:rPr>
        <w:t>fsolve</w:t>
      </w:r>
      <w:r w:rsidRPr="00E36010">
        <w:rPr>
          <w:lang w:val="en-US"/>
        </w:rPr>
        <w:t xml:space="preserve"> residuals near zero, no </w:t>
      </w:r>
      <w:r w:rsidRPr="00E36010">
        <w:rPr>
          <w:rStyle w:val="VerbatimChar"/>
          <w:rFonts w:eastAsiaTheme="minorHAnsi"/>
          <w:lang w:val="en-US"/>
        </w:rPr>
        <w:t>lCalibration_p</w:t>
      </w:r>
      <w:r w:rsidRPr="00E36010">
        <w:rPr>
          <w:lang w:val="en-US"/>
        </w:rPr>
        <w:t xml:space="preserve"> branch errors); the accounting identities in </w:t>
      </w:r>
      <w:hyperlink r:id="rId27">
        <w:r w:rsidRPr="00E36010">
          <w:rPr>
            <w:rStyle w:val="Hyperlink"/>
            <w:lang w:val="en-US"/>
          </w:rPr>
          <w:t>ExcelFiles/README.md</w:t>
        </w:r>
      </w:hyperlink>
      <w:r w:rsidRPr="00E36010">
        <w:rPr>
          <w:lang w:val="en-US"/>
        </w:rPr>
        <w:t xml:space="preserve"> holding after any calibration edit (row sums, </w:t>
      </w:r>
      <w:r w:rsidRPr="00E36010">
        <w:rPr>
          <w:rStyle w:val="VerbatimChar"/>
          <w:rFonts w:eastAsiaTheme="minorHAnsi"/>
          <w:lang w:val="en-US"/>
        </w:rPr>
        <w:t>phiQI = phiX + phiY0</w:t>
      </w:r>
      <w:r w:rsidRPr="00E36010">
        <w:rPr>
          <w:lang w:val="en-US"/>
        </w:rPr>
        <w:t xml:space="preserve">, Trade_Flows rows summing to 1); and, after a baseline/scenario run, the growth-audit CSVs showing simulated growth tracking the Excel </w:t>
      </w:r>
      <w:r w:rsidRPr="00E36010">
        <w:rPr>
          <w:rStyle w:val="VerbatimChar"/>
          <w:rFonts w:eastAsiaTheme="minorHAnsi"/>
          <w:lang w:val="en-US"/>
        </w:rPr>
        <w:t>gY_*</w:t>
      </w:r>
      <w:r w:rsidRPr="00E36010">
        <w:rPr>
          <w:lang w:val="en-US"/>
        </w:rPr>
        <w:t xml:space="preserve"> targets. </w:t>
      </w:r>
      <w:r w:rsidRPr="00E36010">
        <w:rPr>
          <w:rStyle w:val="VerbatimChar"/>
          <w:rFonts w:eastAsiaTheme="minorHAnsi"/>
          <w:lang w:val="en-US"/>
        </w:rPr>
        <w:t>scripts/analysis/CheckResults.m</w:t>
      </w:r>
      <w:r w:rsidRPr="00E36010">
        <w:rPr>
          <w:lang w:val="en-US"/>
        </w:rPr>
        <w:t xml:space="preserve"> and </w:t>
      </w:r>
      <w:r w:rsidRPr="00E36010">
        <w:rPr>
          <w:rStyle w:val="VerbatimChar"/>
          <w:rFonts w:eastAsiaTheme="minorHAnsi"/>
          <w:lang w:val="en-US"/>
        </w:rPr>
        <w:t>Functions/steady_state/diagnostics/check_allocation_errors.m</w:t>
      </w:r>
      <w:r w:rsidRPr="00E36010">
        <w:rPr>
          <w:lang w:val="en-US"/>
        </w:rPr>
        <w:t xml:space="preserve"> are the existing sanity-check entry points.</w:t>
      </w:r>
    </w:p>
    <w:p w14:paraId="4F5B376F" w14:textId="77777777" w:rsidR="00050AF7" w:rsidRDefault="00000000">
      <w:r>
        <w:pict w14:anchorId="2EE28D48">
          <v:rect id="_x0000_i1470" style="width:0;height:1.5pt" o:hralign="center" o:hrstd="t" o:hr="t"/>
        </w:pict>
      </w:r>
    </w:p>
    <w:p w14:paraId="796A84F2" w14:textId="3A9D71BC" w:rsidR="00050AF7" w:rsidRDefault="00000000" w:rsidP="00E36010">
      <w:pPr>
        <w:pStyle w:val="Heading1"/>
      </w:pPr>
      <w:bookmarkStart w:id="61" w:name="scenario-design-framework"/>
      <w:bookmarkStart w:id="62" w:name="_Toc235867070"/>
      <w:bookmarkEnd w:id="51"/>
      <w:bookmarkEnd w:id="59"/>
      <w:r>
        <w:t>Scenario Design Framework</w:t>
      </w:r>
      <w:bookmarkEnd w:id="62"/>
    </w:p>
    <w:p w14:paraId="067B4023" w14:textId="3DB00A96" w:rsidR="00050AF7" w:rsidRDefault="00000000" w:rsidP="00E36010">
      <w:pPr>
        <w:pStyle w:val="Heading2"/>
      </w:pPr>
      <w:bookmarkStart w:id="63" w:name="nested-counterfactual-logic"/>
      <w:bookmarkStart w:id="64" w:name="_Toc235867071"/>
      <w:r>
        <w:t>Nested-counterfactual logic</w:t>
      </w:r>
      <w:bookmarkEnd w:id="64"/>
    </w:p>
    <w:p w14:paraId="41583AE2" w14:textId="77777777" w:rsidR="00050AF7" w:rsidRPr="00E36010" w:rsidRDefault="00000000">
      <w:pPr>
        <w:pStyle w:val="FirstParagraph"/>
        <w:rPr>
          <w:lang w:val="en-US"/>
        </w:rPr>
      </w:pPr>
      <w:r w:rsidRPr="00E36010">
        <w:rPr>
          <w:lang w:val="en-US"/>
        </w:rPr>
        <w:t>Scenarios are organized as a layered counterfactual: start from a policy-consistent baseline (PDP8), then either (a) impose a binding Net-Zero emissions cap and sequentially shut down individual adjustment channels to decompose their contribution, (b) add demand-side energy efficiency shocks, or (c) modify the cost of capital for transition investment. Every scenario shares the identical calibration and is solved as a deterministic transition path from the same initial steady state, so differences are attributable solely to the shock paths applied.</w:t>
      </w:r>
    </w:p>
    <w:p w14:paraId="70D7C478" w14:textId="77777777" w:rsidR="00050AF7" w:rsidRPr="00E36010" w:rsidRDefault="00000000">
      <w:pPr>
        <w:pStyle w:val="SourceCode"/>
        <w:rPr>
          <w:lang w:val="en-US"/>
        </w:rPr>
      </w:pPr>
      <w:r w:rsidRPr="00E36010">
        <w:rPr>
          <w:rStyle w:val="VerbatimChar"/>
          <w:rFonts w:eastAsiaTheme="minorHAnsi"/>
          <w:lang w:val="en-US"/>
        </w:rPr>
        <w:t>Baseline (PDP8)</w:t>
      </w:r>
      <w:r w:rsidRPr="00E36010">
        <w:rPr>
          <w:lang w:val="en-US"/>
        </w:rPr>
        <w:br/>
      </w:r>
      <w:r w:rsidRPr="00E36010">
        <w:rPr>
          <w:rStyle w:val="VerbatimChar"/>
          <w:rFonts w:eastAsiaTheme="minorHAnsi"/>
          <w:lang w:val="en-US"/>
        </w:rPr>
        <w:t>│</w:t>
      </w:r>
      <w:r w:rsidRPr="00E36010">
        <w:rPr>
          <w:lang w:val="en-US"/>
        </w:rPr>
        <w:br/>
      </w:r>
      <w:r w:rsidRPr="00E36010">
        <w:rPr>
          <w:rStyle w:val="VerbatimChar"/>
          <w:rFonts w:eastAsiaTheme="minorHAnsi"/>
          <w:lang w:val="en-US"/>
        </w:rPr>
        <w:t>├── Net-Zero (NZ) ─────────────────────── adds: binding emissions cap + ETS</w:t>
      </w:r>
      <w:r w:rsidRPr="00E36010">
        <w:rPr>
          <w:lang w:val="en-US"/>
        </w:rPr>
        <w:br/>
      </w:r>
      <w:r w:rsidRPr="00E36010">
        <w:rPr>
          <w:rStyle w:val="VerbatimChar"/>
          <w:rFonts w:eastAsiaTheme="minorHAnsi"/>
          <w:lang w:val="en-US"/>
        </w:rPr>
        <w:t>│     ├── N</w:t>
      </w:r>
      <w:r w:rsidRPr="00E36010">
        <w:rPr>
          <w:rStyle w:val="VerbatimChar"/>
          <w:rFonts w:eastAsiaTheme="minorHAnsi"/>
          <w:lang w:val="en-US"/>
        </w:rPr>
        <w:lastRenderedPageBreak/>
        <w:t>Z_constInt ─────────────────── removes: emission-intensity improvement</w:t>
      </w:r>
      <w:r w:rsidRPr="00E36010">
        <w:rPr>
          <w:lang w:val="en-US"/>
        </w:rPr>
        <w:br/>
      </w:r>
      <w:r w:rsidRPr="00E36010">
        <w:rPr>
          <w:rStyle w:val="VerbatimChar"/>
          <w:rFonts w:eastAsiaTheme="minorHAnsi"/>
          <w:lang w:val="en-US"/>
        </w:rPr>
        <w:t>│     └── NZ_constEEInt ───────────────── removes: energy efficiency + intensity</w:t>
      </w:r>
      <w:r w:rsidRPr="00E36010">
        <w:rPr>
          <w:lang w:val="en-US"/>
        </w:rPr>
        <w:br/>
      </w:r>
      <w:r w:rsidRPr="00E36010">
        <w:rPr>
          <w:rStyle w:val="VerbatimChar"/>
          <w:rFonts w:eastAsiaTheme="minorHAnsi"/>
          <w:lang w:val="en-US"/>
        </w:rPr>
        <w:t>│</w:t>
      </w:r>
      <w:r w:rsidRPr="00E36010">
        <w:rPr>
          <w:lang w:val="en-US"/>
        </w:rPr>
        <w:br/>
      </w:r>
      <w:r w:rsidRPr="00E36010">
        <w:rPr>
          <w:rStyle w:val="VerbatimChar"/>
          <w:rFonts w:eastAsiaTheme="minorHAnsi"/>
          <w:lang w:val="en-US"/>
        </w:rPr>
        <w:t>├── Energy Efficiency ──────────────────  adds: EE shocks on PDP8 baseline</w:t>
      </w:r>
      <w:r w:rsidRPr="00E36010">
        <w:rPr>
          <w:lang w:val="en-US"/>
        </w:rPr>
        <w:br/>
      </w:r>
      <w:r w:rsidRPr="00E36010">
        <w:rPr>
          <w:rStyle w:val="VerbatimChar"/>
          <w:rFonts w:eastAsiaTheme="minorHAnsi"/>
          <w:lang w:val="en-US"/>
        </w:rPr>
        <w:t>│     ├── EE_PDP8</w:t>
      </w:r>
      <w:r w:rsidRPr="00E36010">
        <w:rPr>
          <w:lang w:val="en-US"/>
        </w:rPr>
        <w:br/>
      </w:r>
      <w:r w:rsidRPr="00E36010">
        <w:rPr>
          <w:rStyle w:val="VerbatimChar"/>
          <w:rFonts w:eastAsiaTheme="minorHAnsi"/>
          <w:lang w:val="en-US"/>
        </w:rPr>
        <w:t>│     ├── EE_Directive10</w:t>
      </w:r>
      <w:r w:rsidRPr="00E36010">
        <w:rPr>
          <w:lang w:val="en-US"/>
        </w:rPr>
        <w:br/>
      </w:r>
      <w:r w:rsidRPr="00E36010">
        <w:rPr>
          <w:rStyle w:val="VerbatimChar"/>
          <w:rFonts w:eastAsiaTheme="minorHAnsi"/>
          <w:lang w:val="en-US"/>
        </w:rPr>
        <w:t>│     └── EE_PDP8_PV_BESS (+ NoBESS variants)</w:t>
      </w:r>
      <w:r w:rsidRPr="00E36010">
        <w:rPr>
          <w:lang w:val="en-US"/>
        </w:rPr>
        <w:br/>
      </w:r>
      <w:r w:rsidRPr="00E36010">
        <w:rPr>
          <w:rStyle w:val="VerbatimChar"/>
          <w:rFonts w:eastAsiaTheme="minorHAnsi"/>
          <w:lang w:val="en-US"/>
        </w:rPr>
        <w:t>│</w:t>
      </w:r>
      <w:r w:rsidRPr="00E36010">
        <w:rPr>
          <w:lang w:val="en-US"/>
        </w:rPr>
        <w:br/>
      </w:r>
      <w:r w:rsidRPr="00E36010">
        <w:rPr>
          <w:rStyle w:val="VerbatimChar"/>
          <w:rFonts w:eastAsiaTheme="minorHAnsi"/>
          <w:lang w:val="en-US"/>
        </w:rPr>
        <w:t>└── Green Finance ──────────────────────  modifies: cost-of-capital and investment paths</w:t>
      </w:r>
      <w:r w:rsidRPr="00E36010">
        <w:rPr>
          <w:lang w:val="en-US"/>
        </w:rPr>
        <w:br/>
      </w:r>
      <w:r w:rsidRPr="00E36010">
        <w:rPr>
          <w:rStyle w:val="VerbatimChar"/>
          <w:rFonts w:eastAsiaTheme="minorHAnsi"/>
          <w:lang w:val="en-US"/>
        </w:rPr>
        <w:t xml:space="preserve">      ├── On PDP8: GF_A, GF_B, GF_C</w:t>
      </w:r>
      <w:r w:rsidRPr="00E36010">
        <w:rPr>
          <w:lang w:val="en-US"/>
        </w:rPr>
        <w:br/>
      </w:r>
      <w:r w:rsidRPr="00E36010">
        <w:rPr>
          <w:rStyle w:val="VerbatimChar"/>
          <w:rFonts w:eastAsiaTheme="minorHAnsi"/>
          <w:lang w:val="en-US"/>
        </w:rPr>
        <w:t xml:space="preserve">      └── On NZ:   NZ_GF_A, NZ_GF_B, NZ_GF_C</w:t>
      </w:r>
    </w:p>
    <w:p w14:paraId="20991DAA" w14:textId="2F3291C6" w:rsidR="00050AF7" w:rsidRDefault="00000000" w:rsidP="00247F97">
      <w:pPr>
        <w:pStyle w:val="Heading2"/>
      </w:pPr>
      <w:bookmarkStart w:id="65" w:name="net-zero-decomposition"/>
      <w:bookmarkStart w:id="66" w:name="_Toc235867072"/>
      <w:bookmarkEnd w:id="63"/>
      <w:r>
        <w:t>Net-Zero decomposition</w:t>
      </w:r>
      <w:bookmarkEnd w:id="66"/>
    </w:p>
    <w:p w14:paraId="2D13D628" w14:textId="77777777" w:rsidR="00050AF7" w:rsidRPr="00E36010" w:rsidRDefault="00000000">
      <w:pPr>
        <w:pStyle w:val="FirstParagraph"/>
        <w:rPr>
          <w:lang w:val="en-US"/>
        </w:rPr>
      </w:pPr>
      <w:r w:rsidRPr="00E36010">
        <w:rPr>
          <w:lang w:val="en-US"/>
        </w:rPr>
        <w:t>The Net-Zero scenario imposes a binding long-run emissions cap via an economy-wide ETS with an endogenous carbon price. Constrained variants (</w:t>
      </w:r>
      <w:r w:rsidRPr="00E36010">
        <w:rPr>
          <w:rStyle w:val="VerbatimChar"/>
          <w:rFonts w:eastAsiaTheme="minorHAnsi"/>
          <w:lang w:val="en-US"/>
        </w:rPr>
        <w:t>NZ_constInt</w:t>
      </w:r>
      <w:r w:rsidRPr="00E36010">
        <w:rPr>
          <w:lang w:val="en-US"/>
        </w:rPr>
        <w:t xml:space="preserve">: fossil emission intensity held fixed; </w:t>
      </w:r>
      <w:r w:rsidRPr="00E36010">
        <w:rPr>
          <w:rStyle w:val="VerbatimChar"/>
          <w:rFonts w:eastAsiaTheme="minorHAnsi"/>
          <w:lang w:val="en-US"/>
        </w:rPr>
        <w:t>NZ_constEEInt</w:t>
      </w:r>
      <w:r w:rsidRPr="00E36010">
        <w:rPr>
          <w:lang w:val="en-US"/>
        </w:rPr>
        <w:t xml:space="preserve">: energy efficiency </w:t>
      </w:r>
      <w:r w:rsidRPr="00E36010">
        <w:rPr>
          <w:i/>
          <w:iCs/>
          <w:lang w:val="en-US"/>
        </w:rPr>
        <w:t>and</w:t>
      </w:r>
      <w:r w:rsidRPr="00E36010">
        <w:rPr>
          <w:lang w:val="en-US"/>
        </w:rPr>
        <w:t xml:space="preserve"> emission intensity both held fixed) isolate how much of the adjustment burden would fall on carbon pricing, sectoral reallocation, and accelerated renewable deployment if fuel-switching and efficiency channels were unavailable — an upper bound on adjustment cost under limited technological learning.</w:t>
      </w:r>
    </w:p>
    <w:p w14:paraId="6D0B7660" w14:textId="049C3DA8" w:rsidR="00050AF7" w:rsidRPr="00E36010" w:rsidRDefault="00000000" w:rsidP="00247F97">
      <w:pPr>
        <w:pStyle w:val="Heading2"/>
        <w:rPr>
          <w:lang w:val="en-US"/>
        </w:rPr>
      </w:pPr>
      <w:bookmarkStart w:id="67" w:name="Xe6d80d663ecbf19c0eec5ad71d2b38134d3bfff"/>
      <w:bookmarkStart w:id="68" w:name="_Toc235867073"/>
      <w:bookmarkEnd w:id="65"/>
      <w:r w:rsidRPr="00E36010">
        <w:rPr>
          <w:lang w:val="en-US"/>
        </w:rPr>
        <w:t>Green finance as a reduced-form cost-of-capital shock</w:t>
      </w:r>
      <w:bookmarkEnd w:id="68"/>
    </w:p>
    <w:p w14:paraId="6BC92367" w14:textId="77777777" w:rsidR="00050AF7" w:rsidRDefault="00000000">
      <w:pPr>
        <w:pStyle w:val="FirstParagraph"/>
      </w:pPr>
      <w:r w:rsidRPr="00E36010">
        <w:rPr>
          <w:lang w:val="en-US"/>
        </w:rPr>
        <w:t xml:space="preserve">Green finance instruments (concessional loans, blended finance, green bonds, guarantees) are </w:t>
      </w:r>
      <w:r w:rsidRPr="00E36010">
        <w:rPr>
          <w:b/>
          <w:bCs/>
          <w:lang w:val="en-US"/>
        </w:rPr>
        <w:t>not modeled as named balance-sheet items.</w:t>
      </w:r>
      <w:r w:rsidRPr="00E36010">
        <w:rPr>
          <w:lang w:val="en-US"/>
        </w:rPr>
        <w:t xml:space="preserve"> </w:t>
      </w:r>
      <w:r>
        <w:t>They enter through reduced-form channels:</w:t>
      </w:r>
    </w:p>
    <w:p w14:paraId="1E60213A" w14:textId="77777777" w:rsidR="00050AF7" w:rsidRDefault="00000000">
      <w:pPr>
        <w:pStyle w:val="BodyText"/>
      </w:pPr>
      <w:r>
        <w:rPr>
          <w:noProof/>
        </w:rPr>
        <w:drawing>
          <wp:inline distT="0" distB="0" distL="0" distR="0" wp14:anchorId="4452D5E1" wp14:editId="38E3E098">
            <wp:extent cx="5334000" cy="210889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C:\Users\schul\Documents\GitHub\DGE-METRIC\.tmp\technical_report_build\tables\table-04.png"/>
                    <pic:cNvPicPr>
                      <a:picLocks noChangeAspect="1" noChangeArrowheads="1"/>
                    </pic:cNvPicPr>
                  </pic:nvPicPr>
                  <pic:blipFill>
                    <a:blip r:embed="rId28"/>
                    <a:stretch>
                      <a:fillRect/>
                    </a:stretch>
                  </pic:blipFill>
                  <pic:spPr bwMode="auto">
                    <a:xfrm>
                      <a:off x="0" y="0"/>
                      <a:ext cx="5334000" cy="2108893"/>
                    </a:xfrm>
                    <a:prstGeom prst="rect">
                      <a:avLst/>
                    </a:prstGeom>
                    <a:noFill/>
                    <a:ln w="9525">
                      <a:noFill/>
                      <a:headEnd/>
                      <a:tailEnd/>
                    </a:ln>
                  </pic:spPr>
                </pic:pic>
              </a:graphicData>
            </a:graphic>
          </wp:inline>
        </w:drawing>
      </w:r>
    </w:p>
    <w:p w14:paraId="68E77CD1" w14:textId="77777777" w:rsidR="00050AF7" w:rsidRPr="00E36010" w:rsidRDefault="00000000">
      <w:pPr>
        <w:pStyle w:val="BodyText"/>
        <w:rPr>
          <w:lang w:val="en-US"/>
        </w:rPr>
      </w:pPr>
      <w:r w:rsidRPr="00E36010">
        <w:rPr>
          <w:lang w:val="en-US"/>
        </w:rPr>
        <w:t>Three financing architectures (</w:t>
      </w:r>
      <w:r w:rsidRPr="00E36010">
        <w:rPr>
          <w:rStyle w:val="VerbatimChar"/>
          <w:rFonts w:eastAsiaTheme="minorHAnsi"/>
          <w:lang w:val="en-US"/>
        </w:rPr>
        <w:t>GF_A</w:t>
      </w:r>
      <w:r w:rsidRPr="00E36010">
        <w:rPr>
          <w:lang w:val="en-US"/>
        </w:rPr>
        <w:t xml:space="preserve"> balanced, </w:t>
      </w:r>
      <w:r w:rsidRPr="00E36010">
        <w:rPr>
          <w:rStyle w:val="VerbatimChar"/>
          <w:rFonts w:eastAsiaTheme="minorHAnsi"/>
          <w:lang w:val="en-US"/>
        </w:rPr>
        <w:t>GF_B</w:t>
      </w:r>
      <w:r w:rsidRPr="00E36010">
        <w:rPr>
          <w:lang w:val="en-US"/>
        </w:rPr>
        <w:t xml:space="preserve"> market-led, </w:t>
      </w:r>
      <w:r w:rsidRPr="00E36010">
        <w:rPr>
          <w:rStyle w:val="VerbatimChar"/>
          <w:rFonts w:eastAsiaTheme="minorHAnsi"/>
          <w:lang w:val="en-US"/>
        </w:rPr>
        <w:t>GF_C</w:t>
      </w:r>
      <w:r w:rsidRPr="00E36010">
        <w:rPr>
          <w:lang w:val="en-US"/>
        </w:rPr>
        <w:t xml:space="preserve"> public-led) are distinguished by their Weighted Average Cost of Finance (WACF: 6.43%, 7.37%, 5.07% respectively), each run against both the PDP8 and Net-Zero baselines. </w:t>
      </w:r>
      <w:r w:rsidRPr="00E36010">
        <w:rPr>
          <w:b/>
          <w:bCs/>
          <w:lang w:val="en-US"/>
        </w:rPr>
        <w:t>Modeling implication:</w:t>
      </w:r>
      <w:r w:rsidRPr="00E36010">
        <w:rPr>
          <w:lang w:val="en-US"/>
        </w:rPr>
        <w:t xml:space="preserve"> results should be read as an upper bound on what a given financing architecture can achieve if fully deployed — the model cannot verify whether the assumed cost reductions are institutionally achievable at scale (see </w:t>
      </w:r>
      <w:hyperlink r:id="rId29">
        <w:r w:rsidRPr="00E36010">
          <w:rPr>
            <w:rStyle w:val="Hyperlink"/>
            <w:lang w:val="en-US"/>
          </w:rPr>
          <w:t>finance_instruments_comments_feasibility.md</w:t>
        </w:r>
      </w:hyperlink>
      <w:r w:rsidRPr="00E36010">
        <w:rPr>
          <w:lang w:val="en-US"/>
        </w:rPr>
        <w:t>).</w:t>
      </w:r>
    </w:p>
    <w:p w14:paraId="13AC5A76" w14:textId="1C82BF91" w:rsidR="00050AF7" w:rsidRPr="00247F97" w:rsidRDefault="00000000" w:rsidP="00247F97">
      <w:pPr>
        <w:pStyle w:val="Heading2"/>
        <w:rPr>
          <w:lang w:val="en-US"/>
        </w:rPr>
      </w:pPr>
      <w:bookmarkStart w:id="69" w:name="X73c42a78e25097ec8ad4528e35af46c41adef01"/>
      <w:bookmarkStart w:id="70" w:name="_Toc235867074"/>
      <w:bookmarkEnd w:id="67"/>
      <w:r w:rsidRPr="00247F97">
        <w:rPr>
          <w:lang w:val="en-US"/>
        </w:rPr>
        <w:t>Operational status vs. scenario capability</w:t>
      </w:r>
      <w:bookmarkEnd w:id="70"/>
    </w:p>
    <w:p w14:paraId="56170FFF" w14:textId="77777777" w:rsidR="00050AF7" w:rsidRPr="00E36010" w:rsidRDefault="00000000">
      <w:pPr>
        <w:pStyle w:val="FirstParagraph"/>
        <w:rPr>
          <w:lang w:val="en-US"/>
        </w:rPr>
      </w:pPr>
      <w:r w:rsidRPr="00E36010">
        <w:rPr>
          <w:b/>
          <w:bCs/>
          <w:lang w:val="en-US"/>
        </w:rPr>
        <w:t>A scenario being defined in the model does not mean it runs by default.</w:t>
      </w:r>
      <w:r w:rsidRPr="00E36010">
        <w:rPr>
          <w:lang w:val="en-US"/>
        </w:rPr>
        <w:t xml:space="preserve"> </w:t>
      </w:r>
      <w:r w:rsidRPr="00E36010">
        <w:rPr>
          <w:rStyle w:val="VerbatimChar"/>
          <w:rFonts w:eastAsiaTheme="minorHAnsi"/>
          <w:lang w:val="en-US"/>
        </w:rPr>
        <w:t>RunSimulat</w:t>
      </w:r>
      <w:r w:rsidRPr="00E36010">
        <w:rPr>
          <w:rStyle w:val="VerbatimChar"/>
          <w:rFonts w:eastAsiaTheme="minorHAnsi"/>
          <w:lang w:val="en-US"/>
        </w:rPr>
        <w:lastRenderedPageBreak/>
        <w:t>ions.m</w:t>
      </w:r>
      <w:r w:rsidRPr="00E36010">
        <w:rPr>
          <w:lang w:val="en-US"/>
        </w:rPr>
        <w:t xml:space="preserve"> only executes </w:t>
      </w:r>
      <w:r w:rsidRPr="00E36010">
        <w:rPr>
          <w:rStyle w:val="VerbatimChar"/>
          <w:rFonts w:eastAsiaTheme="minorHAnsi"/>
          <w:lang w:val="en-US"/>
        </w:rPr>
        <w:t>activeScenarioGroups = {'Reference'}</w:t>
      </w:r>
      <w:r w:rsidRPr="00E36010">
        <w:rPr>
          <w:lang w:val="en-US"/>
        </w:rPr>
        <w:t xml:space="preserve"> out of the box, and within that group only </w:t>
      </w:r>
      <w:r w:rsidRPr="00E36010">
        <w:rPr>
          <w:rStyle w:val="VerbatimChar"/>
          <w:rFonts w:eastAsiaTheme="minorHAnsi"/>
          <w:lang w:val="en-US"/>
        </w:rPr>
        <w:t>Baseline</w:t>
      </w:r>
      <w:r w:rsidRPr="00E36010">
        <w:rPr>
          <w:lang w:val="en-US"/>
        </w:rPr>
        <w:t xml:space="preserve"> is uncommented. The Green Finance groups (</w:t>
      </w:r>
      <w:r w:rsidRPr="00E36010">
        <w:rPr>
          <w:rStyle w:val="VerbatimChar"/>
          <w:rFonts w:eastAsiaTheme="minorHAnsi"/>
          <w:lang w:val="en-US"/>
        </w:rPr>
        <w:t>GF_PDP8</w:t>
      </w:r>
      <w:r w:rsidRPr="00E36010">
        <w:rPr>
          <w:lang w:val="en-US"/>
        </w:rPr>
        <w:t xml:space="preserve">, </w:t>
      </w:r>
      <w:r w:rsidRPr="00E36010">
        <w:rPr>
          <w:rStyle w:val="VerbatimChar"/>
          <w:rFonts w:eastAsiaTheme="minorHAnsi"/>
          <w:lang w:val="en-US"/>
        </w:rPr>
        <w:t>GF_NZ</w:t>
      </w:r>
      <w:r w:rsidRPr="00E36010">
        <w:rPr>
          <w:lang w:val="en-US"/>
        </w:rPr>
        <w:t xml:space="preserve">) are fully wired (scenario-switch logic uncommented) but excluded from the default active set; several </w:t>
      </w:r>
      <w:r w:rsidRPr="00E36010">
        <w:rPr>
          <w:rStyle w:val="VerbatimChar"/>
          <w:rFonts w:eastAsiaTheme="minorHAnsi"/>
          <w:lang w:val="en-US"/>
        </w:rPr>
        <w:t>EE</w:t>
      </w:r>
      <w:r w:rsidRPr="00E36010">
        <w:rPr>
          <w:lang w:val="en-US"/>
        </w:rPr>
        <w:t xml:space="preserve"> and </w:t>
      </w:r>
      <w:r w:rsidRPr="00E36010">
        <w:rPr>
          <w:rStyle w:val="VerbatimChar"/>
          <w:rFonts w:eastAsiaTheme="minorHAnsi"/>
          <w:lang w:val="en-US"/>
        </w:rPr>
        <w:t>NZ_Sensitivity</w:t>
      </w:r>
      <w:r w:rsidRPr="00E36010">
        <w:rPr>
          <w:lang w:val="en-US"/>
        </w:rPr>
        <w:t xml:space="preserve"> scenario names are individually commented out. Reproducing a specific published result requires knowing exactly which </w:t>
      </w:r>
      <w:r w:rsidRPr="00E36010">
        <w:rPr>
          <w:rStyle w:val="VerbatimChar"/>
          <w:rFonts w:eastAsiaTheme="minorHAnsi"/>
          <w:lang w:val="en-US"/>
        </w:rPr>
        <w:t>activeScenarioGroups</w:t>
      </w:r>
      <w:r w:rsidRPr="00E36010">
        <w:rPr>
          <w:lang w:val="en-US"/>
        </w:rPr>
        <w:t xml:space="preserve"> (or </w:t>
      </w:r>
      <w:r w:rsidRPr="00E36010">
        <w:rPr>
          <w:rStyle w:val="VerbatimChar"/>
          <w:rFonts w:eastAsiaTheme="minorHAnsi"/>
          <w:lang w:val="en-US"/>
        </w:rPr>
        <w:t>DGE_SCENARIO_GROUPS</w:t>
      </w:r>
      <w:r w:rsidRPr="00E36010">
        <w:rPr>
          <w:lang w:val="en-US"/>
        </w:rPr>
        <w:t xml:space="preserve"> environment variable) configuration produced it — see </w:t>
      </w:r>
      <w:hyperlink r:id="rId30" w:anchor="scenario-groups">
        <w:r w:rsidRPr="00E36010">
          <w:rPr>
            <w:rStyle w:val="Hyperlink"/>
            <w:lang w:val="en-US"/>
          </w:rPr>
          <w:t>running.md</w:t>
        </w:r>
      </w:hyperlink>
      <w:r w:rsidRPr="00E36010">
        <w:rPr>
          <w:lang w:val="en-US"/>
        </w:rPr>
        <w:t xml:space="preserve"> and </w:t>
      </w:r>
      <w:hyperlink r:id="rId31" w:anchor="reproducibility">
        <w:r w:rsidRPr="00E36010">
          <w:rPr>
            <w:rStyle w:val="Hyperlink"/>
            <w:lang w:val="en-US"/>
          </w:rPr>
          <w:t>scenario.md</w:t>
        </w:r>
      </w:hyperlink>
      <w:r w:rsidRPr="00E36010">
        <w:rPr>
          <w:lang w:val="en-US"/>
        </w:rPr>
        <w:t>.</w:t>
      </w:r>
    </w:p>
    <w:p w14:paraId="4DCD8D24" w14:textId="21B55E7F" w:rsidR="00050AF7" w:rsidRDefault="00000000" w:rsidP="00247F97">
      <w:pPr>
        <w:pStyle w:val="Heading2"/>
      </w:pPr>
      <w:bookmarkStart w:id="71" w:name="ee-scenario-reporting-figures"/>
      <w:bookmarkStart w:id="72" w:name="_Toc235867075"/>
      <w:bookmarkEnd w:id="69"/>
      <w:r>
        <w:t>EE scenario reporting figures</w:t>
      </w:r>
      <w:bookmarkEnd w:id="72"/>
    </w:p>
    <w:p w14:paraId="61AC804F" w14:textId="77777777" w:rsidR="00050AF7" w:rsidRDefault="00000000">
      <w:pPr>
        <w:pStyle w:val="FirstParagraph"/>
      </w:pPr>
      <w:r w:rsidRPr="00E36010">
        <w:rPr>
          <w:lang w:val="en-US"/>
        </w:rPr>
        <w:t xml:space="preserve">The script </w:t>
      </w:r>
      <w:r w:rsidRPr="00E36010">
        <w:rPr>
          <w:rStyle w:val="VerbatimChar"/>
          <w:rFonts w:eastAsiaTheme="minorHAnsi"/>
          <w:lang w:val="en-US"/>
        </w:rPr>
        <w:t>scripts/reporting/GenerateEESimulationResultsFigures.m</w:t>
      </w:r>
      <w:r w:rsidRPr="00E36010">
        <w:rPr>
          <w:lang w:val="en-US"/>
        </w:rPr>
        <w:t xml:space="preserve"> exports scenario-comparison figures to </w:t>
      </w:r>
      <w:r w:rsidRPr="00E36010">
        <w:rPr>
          <w:rStyle w:val="VerbatimChar"/>
          <w:rFonts w:eastAsiaTheme="minorHAnsi"/>
          <w:lang w:val="en-US"/>
        </w:rPr>
        <w:t>docs/figures/EE_Simulation_Results/</w:t>
      </w:r>
      <w:r w:rsidRPr="00E36010">
        <w:rPr>
          <w:lang w:val="en-US"/>
        </w:rPr>
        <w:t xml:space="preserve">. </w:t>
      </w:r>
      <w:r>
        <w:t>This subsection reports only deviation-versus-Baseline diagnostics.</w:t>
      </w:r>
    </w:p>
    <w:p w14:paraId="31C3358F" w14:textId="77777777" w:rsidR="00050AF7" w:rsidRDefault="00000000">
      <w:pPr>
        <w:pStyle w:val="CaptionedFigure"/>
      </w:pPr>
      <w:r>
        <w:rPr>
          <w:noProof/>
        </w:rPr>
        <w:drawing>
          <wp:inline distT="0" distB="0" distL="0" distR="0" wp14:anchorId="192C087A" wp14:editId="494E0151">
            <wp:extent cx="5334000" cy="3054408"/>
            <wp:effectExtent l="0" t="0" r="0" b="0"/>
            <wp:docPr id="99" name="Picture" descr="Energy intensity deviation vs baseline"/>
            <wp:cNvGraphicFramePr/>
            <a:graphic xmlns:a="http://schemas.openxmlformats.org/drawingml/2006/main">
              <a:graphicData uri="http://schemas.openxmlformats.org/drawingml/2006/picture">
                <pic:pic xmlns:pic="http://schemas.openxmlformats.org/drawingml/2006/picture">
                  <pic:nvPicPr>
                    <pic:cNvPr id="100" name="Picture" descr="../figures/EE_Simulation_Results/Energy_Intensity_Deviation_vs_Baseline.png"/>
                    <pic:cNvPicPr>
                      <a:picLocks noChangeAspect="1" noChangeArrowheads="1"/>
                    </pic:cNvPicPr>
                  </pic:nvPicPr>
                  <pic:blipFill>
                    <a:blip r:embed="rId32"/>
                    <a:stretch>
                      <a:fillRect/>
                    </a:stretch>
                  </pic:blipFill>
                  <pic:spPr bwMode="auto">
                    <a:xfrm>
                      <a:off x="0" y="0"/>
                      <a:ext cx="5334000" cy="3054408"/>
                    </a:xfrm>
                    <a:prstGeom prst="rect">
                      <a:avLst/>
                    </a:prstGeom>
                    <a:noFill/>
                    <a:ln w="9525">
                      <a:noFill/>
                      <a:headEnd/>
                      <a:tailEnd/>
                    </a:ln>
                  </pic:spPr>
                </pic:pic>
              </a:graphicData>
            </a:graphic>
          </wp:inline>
        </w:drawing>
      </w:r>
    </w:p>
    <w:p w14:paraId="28EA8724" w14:textId="77777777" w:rsidR="00050AF7" w:rsidRDefault="00000000">
      <w:pPr>
        <w:pStyle w:val="ImageCaption"/>
      </w:pPr>
      <w:r>
        <w:t>Energy intensity deviation vs baseline</w:t>
      </w:r>
    </w:p>
    <w:p w14:paraId="484F41E6" w14:textId="77777777" w:rsidR="00050AF7" w:rsidRPr="00E36010" w:rsidRDefault="00000000">
      <w:pPr>
        <w:pStyle w:val="BodyText"/>
        <w:rPr>
          <w:lang w:val="en-US"/>
        </w:rPr>
      </w:pPr>
      <w:r w:rsidRPr="00E36010">
        <w:rPr>
          <w:lang w:val="en-US"/>
        </w:rPr>
        <w:t>Figure 6.1. Energy-intensity deviation of EE scenarios from the Baseline.</w:t>
      </w:r>
    </w:p>
    <w:p w14:paraId="239FFBE2" w14:textId="77777777" w:rsidR="00050AF7" w:rsidRPr="00E36010" w:rsidRDefault="00000000">
      <w:pPr>
        <w:pStyle w:val="BodyText"/>
        <w:rPr>
          <w:lang w:val="en-US"/>
        </w:rPr>
      </w:pPr>
      <w:r w:rsidRPr="00E36010">
        <w:rPr>
          <w:lang w:val="en-US"/>
        </w:rPr>
        <w:t>Note: Values are index-point deviations from the Baseline energy-intensity index (base year 2026). Negative values indicate improved energy efficiency relative to Baseline.</w:t>
      </w:r>
    </w:p>
    <w:p w14:paraId="4B8ED316"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scripts/reporting/GenerateEESimulationResultsFigures.m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4144BF7F" w14:textId="77777777" w:rsidR="00050AF7" w:rsidRDefault="00000000">
      <w:pPr>
        <w:pStyle w:val="CaptionedFigure"/>
      </w:pPr>
      <w:r>
        <w:rPr>
          <w:noProof/>
        </w:rPr>
        <w:drawing>
          <wp:inline distT="0" distB="0" distL="0" distR="0" wp14:anchorId="509567D3" wp14:editId="0EBCFCF8">
            <wp:extent cx="5334000" cy="3021572"/>
            <wp:effectExtent l="0" t="0" r="0" b="0"/>
            <wp:docPr id="102" name="Picture" descr="Government consumption share deviation vs baseline (5-year average)"/>
            <wp:cNvGraphicFramePr/>
            <a:graphic xmlns:a="http://schemas.openxmlformats.org/drawingml/2006/main">
              <a:graphicData uri="http://schemas.openxmlformats.org/drawingml/2006/picture">
                <pic:pic xmlns:pic="http://schemas.openxmlformats.org/drawingml/2006/picture">
                  <pic:nvPicPr>
                    <pic:cNvPr id="103" name="Picture" descr="../figures/EE_Simulation_Results/Government_Consumption_Share_Deviation_vs_Baseline_5Y_Average.png"/>
                    <pic:cNvPicPr>
                      <a:picLocks noChangeAspect="1" noChangeArrowheads="1"/>
                    </pic:cNvPicPr>
                  </pic:nvPicPr>
                  <pic:blipFill>
                    <a:blip r:embed="rId33"/>
                    <a:stretch>
                      <a:fillRect/>
                    </a:stretch>
                  </pic:blipFill>
                  <pic:spPr bwMode="auto">
                    <a:xfrm>
                      <a:off x="0" y="0"/>
                      <a:ext cx="5334000" cy="3021572"/>
                    </a:xfrm>
                    <a:prstGeom prst="rect">
                      <a:avLst/>
                    </a:prstGeom>
                    <a:noFill/>
                    <a:ln w="9525">
                      <a:noFill/>
                      <a:headEnd/>
                      <a:tailEnd/>
                    </a:ln>
                  </pic:spPr>
                </pic:pic>
              </a:graphicData>
            </a:graphic>
          </wp:inline>
        </w:drawing>
      </w:r>
    </w:p>
    <w:p w14:paraId="05733013" w14:textId="77777777" w:rsidR="00050AF7" w:rsidRDefault="00000000">
      <w:pPr>
        <w:pStyle w:val="ImageCaption"/>
      </w:pPr>
      <w:r>
        <w:t>Government consumption share deviation vs baseline (5-year average)</w:t>
      </w:r>
    </w:p>
    <w:p w14:paraId="2F080093" w14:textId="77777777" w:rsidR="00050AF7" w:rsidRPr="00E36010" w:rsidRDefault="00000000">
      <w:pPr>
        <w:pStyle w:val="BodyText"/>
        <w:rPr>
          <w:lang w:val="en-US"/>
        </w:rPr>
      </w:pPr>
      <w:r w:rsidRPr="00E36010">
        <w:rPr>
          <w:lang w:val="en-US"/>
        </w:rPr>
        <w:t>Figure 6.2. Government consumption share deviation versus Baseline (5-year average bar chart).</w:t>
      </w:r>
    </w:p>
    <w:p w14:paraId="610ADFAB" w14:textId="77777777" w:rsidR="00050AF7" w:rsidRPr="00E36010" w:rsidRDefault="00000000">
      <w:pPr>
        <w:pStyle w:val="BodyText"/>
        <w:rPr>
          <w:lang w:val="en-US"/>
        </w:rPr>
      </w:pPr>
      <w:r w:rsidRPr="00E36010">
        <w:rPr>
          <w:lang w:val="en-US"/>
        </w:rPr>
        <w:t>Note: Bars report average deviation in government consumption share of GDP (</w:t>
      </w:r>
      <w:r w:rsidRPr="00E36010">
        <w:rPr>
          <w:rStyle w:val="VerbatimChar"/>
          <w:rFonts w:eastAsiaTheme="minorHAnsi"/>
          <w:lang w:val="en-US"/>
        </w:rPr>
        <w:t>pp of GDP</w:t>
      </w:r>
      <w:r w:rsidRPr="00E36010">
        <w:rPr>
          <w:lang w:val="en-US"/>
        </w:rPr>
        <w:t>) by 5-year block, showing persistent fiscal-d</w:t>
      </w:r>
      <w:r w:rsidRPr="00E36010">
        <w:rPr>
          <w:lang w:val="en-US"/>
        </w:rPr>
        <w:lastRenderedPageBreak/>
        <w:t>emand composition differences relative to Baseline.</w:t>
      </w:r>
    </w:p>
    <w:p w14:paraId="79337BE8"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scripts/reporting/GenerateEESimulationResultsFigures.m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47257CD9" w14:textId="77777777" w:rsidR="00050AF7" w:rsidRDefault="00000000">
      <w:pPr>
        <w:pStyle w:val="CaptionedFigure"/>
      </w:pPr>
      <w:r>
        <w:rPr>
          <w:noProof/>
        </w:rPr>
        <w:drawing>
          <wp:inline distT="0" distB="0" distL="0" distR="0" wp14:anchorId="03417E7A" wp14:editId="029DD3A2">
            <wp:extent cx="5334000" cy="3021572"/>
            <wp:effectExtent l="0" t="0" r="0" b="0"/>
            <wp:docPr id="105" name="Picture" descr="Housing investment share deviation vs baseline (5-year average)"/>
            <wp:cNvGraphicFramePr/>
            <a:graphic xmlns:a="http://schemas.openxmlformats.org/drawingml/2006/main">
              <a:graphicData uri="http://schemas.openxmlformats.org/drawingml/2006/picture">
                <pic:pic xmlns:pic="http://schemas.openxmlformats.org/drawingml/2006/picture">
                  <pic:nvPicPr>
                    <pic:cNvPr id="106" name="Picture" descr="../figures/EE_Simulation_Results/Housing_Investment_Share_Deviation_vs_Baseline_5Y_Average.png"/>
                    <pic:cNvPicPr>
                      <a:picLocks noChangeAspect="1" noChangeArrowheads="1"/>
                    </pic:cNvPicPr>
                  </pic:nvPicPr>
                  <pic:blipFill>
                    <a:blip r:embed="rId34"/>
                    <a:stretch>
                      <a:fillRect/>
                    </a:stretch>
                  </pic:blipFill>
                  <pic:spPr bwMode="auto">
                    <a:xfrm>
                      <a:off x="0" y="0"/>
                      <a:ext cx="5334000" cy="3021572"/>
                    </a:xfrm>
                    <a:prstGeom prst="rect">
                      <a:avLst/>
                    </a:prstGeom>
                    <a:noFill/>
                    <a:ln w="9525">
                      <a:noFill/>
                      <a:headEnd/>
                      <a:tailEnd/>
                    </a:ln>
                  </pic:spPr>
                </pic:pic>
              </a:graphicData>
            </a:graphic>
          </wp:inline>
        </w:drawing>
      </w:r>
    </w:p>
    <w:p w14:paraId="04337D8F" w14:textId="77777777" w:rsidR="00050AF7" w:rsidRDefault="00000000">
      <w:pPr>
        <w:pStyle w:val="ImageCaption"/>
      </w:pPr>
      <w:r>
        <w:t>Housing investment share deviation vs baseline (5-year average)</w:t>
      </w:r>
    </w:p>
    <w:p w14:paraId="46647991" w14:textId="77777777" w:rsidR="00050AF7" w:rsidRPr="00E36010" w:rsidRDefault="00000000">
      <w:pPr>
        <w:pStyle w:val="BodyText"/>
        <w:rPr>
          <w:lang w:val="en-US"/>
        </w:rPr>
      </w:pPr>
      <w:r w:rsidRPr="00E36010">
        <w:rPr>
          <w:lang w:val="en-US"/>
        </w:rPr>
        <w:t>Figure 6.3. Housing investment share deviation versus Baseline (5-year average bar chart).</w:t>
      </w:r>
    </w:p>
    <w:p w14:paraId="1798865F" w14:textId="77777777" w:rsidR="00050AF7" w:rsidRPr="00E36010" w:rsidRDefault="00000000">
      <w:pPr>
        <w:pStyle w:val="BodyText"/>
        <w:rPr>
          <w:lang w:val="en-US"/>
        </w:rPr>
      </w:pPr>
      <w:r w:rsidRPr="00E36010">
        <w:rPr>
          <w:lang w:val="en-US"/>
        </w:rPr>
        <w:t>Note: Bars report average deviation in housing investment share of GDP (</w:t>
      </w:r>
      <w:r w:rsidRPr="00E36010">
        <w:rPr>
          <w:rStyle w:val="VerbatimChar"/>
          <w:rFonts w:eastAsiaTheme="minorHAnsi"/>
          <w:lang w:val="en-US"/>
        </w:rPr>
        <w:t>pp of GDP</w:t>
      </w:r>
      <w:r w:rsidRPr="00E36010">
        <w:rPr>
          <w:lang w:val="en-US"/>
        </w:rPr>
        <w:t>) by 5-year block, highlighting medium-term allocation differences v</w:t>
      </w:r>
      <w:r w:rsidRPr="00E36010">
        <w:rPr>
          <w:lang w:val="en-US"/>
        </w:rPr>
        <w:lastRenderedPageBreak/>
        <w:t>ersus Baseline.</w:t>
      </w:r>
    </w:p>
    <w:p w14:paraId="5167A40E"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scripts/reporting/GenerateEESimulationResultsFigures.m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100D9A1C" w14:textId="77777777" w:rsidR="00050AF7" w:rsidRDefault="00000000">
      <w:pPr>
        <w:pStyle w:val="CaptionedFigure"/>
      </w:pPr>
      <w:r>
        <w:rPr>
          <w:noProof/>
        </w:rPr>
        <w:drawing>
          <wp:inline distT="0" distB="0" distL="0" distR="0" wp14:anchorId="7BCCA200" wp14:editId="746FDB05">
            <wp:extent cx="5334000" cy="3065277"/>
            <wp:effectExtent l="0" t="0" r="0" b="0"/>
            <wp:docPr id="108" name="Picture" descr="Net exports share deviation vs baseline (5-year average)"/>
            <wp:cNvGraphicFramePr/>
            <a:graphic xmlns:a="http://schemas.openxmlformats.org/drawingml/2006/main">
              <a:graphicData uri="http://schemas.openxmlformats.org/drawingml/2006/picture">
                <pic:pic xmlns:pic="http://schemas.openxmlformats.org/drawingml/2006/picture">
                  <pic:nvPicPr>
                    <pic:cNvPr id="109" name="Picture" descr="../figures/EE_Simulation_Results/Net_Exports_Share_Deviation_vs_Baseline_5Y_Average.png"/>
                    <pic:cNvPicPr>
                      <a:picLocks noChangeAspect="1" noChangeArrowheads="1"/>
                    </pic:cNvPicPr>
                  </pic:nvPicPr>
                  <pic:blipFill>
                    <a:blip r:embed="rId35"/>
                    <a:stretch>
                      <a:fillRect/>
                    </a:stretch>
                  </pic:blipFill>
                  <pic:spPr bwMode="auto">
                    <a:xfrm>
                      <a:off x="0" y="0"/>
                      <a:ext cx="5334000" cy="3065277"/>
                    </a:xfrm>
                    <a:prstGeom prst="rect">
                      <a:avLst/>
                    </a:prstGeom>
                    <a:noFill/>
                    <a:ln w="9525">
                      <a:noFill/>
                      <a:headEnd/>
                      <a:tailEnd/>
                    </a:ln>
                  </pic:spPr>
                </pic:pic>
              </a:graphicData>
            </a:graphic>
          </wp:inline>
        </w:drawing>
      </w:r>
    </w:p>
    <w:p w14:paraId="74DDE2A9" w14:textId="77777777" w:rsidR="00050AF7" w:rsidRDefault="00000000">
      <w:pPr>
        <w:pStyle w:val="ImageCaption"/>
      </w:pPr>
      <w:r>
        <w:t>Net exports share deviation vs baseline (5-year average)</w:t>
      </w:r>
    </w:p>
    <w:p w14:paraId="7F4D59F6" w14:textId="77777777" w:rsidR="00050AF7" w:rsidRPr="00E36010" w:rsidRDefault="00000000">
      <w:pPr>
        <w:pStyle w:val="BodyText"/>
        <w:rPr>
          <w:lang w:val="en-US"/>
        </w:rPr>
      </w:pPr>
      <w:r w:rsidRPr="00E36010">
        <w:rPr>
          <w:lang w:val="en-US"/>
        </w:rPr>
        <w:t>Figure 6.4. Net exports share deviation versus Baseline (5-year average bar chart).</w:t>
      </w:r>
    </w:p>
    <w:p w14:paraId="55813A36" w14:textId="77777777" w:rsidR="00050AF7" w:rsidRPr="00E36010" w:rsidRDefault="00000000">
      <w:pPr>
        <w:pStyle w:val="BodyText"/>
        <w:rPr>
          <w:lang w:val="en-US"/>
        </w:rPr>
      </w:pPr>
      <w:r w:rsidRPr="00E36010">
        <w:rPr>
          <w:lang w:val="en-US"/>
        </w:rPr>
        <w:t>Note: Bars report average net-exports-share deviation (</w:t>
      </w:r>
      <w:r w:rsidRPr="00E36010">
        <w:rPr>
          <w:rStyle w:val="VerbatimChar"/>
          <w:rFonts w:eastAsiaTheme="minorHAnsi"/>
          <w:lang w:val="en-US"/>
        </w:rPr>
        <w:t>pp of GDP</w:t>
      </w:r>
      <w:r w:rsidRPr="00E36010">
        <w:rPr>
          <w:lang w:val="en-US"/>
        </w:rPr>
        <w:t>) by 5-year block, summarizing sustained external-balance differences under each EE scenario.</w:t>
      </w:r>
    </w:p>
    <w:p w14:paraId="59A30F98"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scripts/reporting/GenerateEESimulationResultsFigures.m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5F9A1C39" w14:textId="77777777" w:rsidR="00050AF7" w:rsidRDefault="00000000">
      <w:pPr>
        <w:pStyle w:val="CaptionedFigure"/>
      </w:pPr>
      <w:r>
        <w:rPr>
          <w:noProof/>
        </w:rPr>
        <w:drawing>
          <wp:inline distT="0" distB="0" distL="0" distR="0" wp14:anchorId="02323F4A" wp14:editId="5CB29FB8">
            <wp:extent cx="5334000" cy="3065277"/>
            <wp:effectExtent l="0" t="0" r="0" b="0"/>
            <wp:docPr id="111" name="Picture" descr="GDP level deviation vs baseline (5-year average)"/>
            <wp:cNvGraphicFramePr/>
            <a:graphic xmlns:a="http://schemas.openxmlformats.org/drawingml/2006/main">
              <a:graphicData uri="http://schemas.openxmlformats.org/drawingml/2006/picture">
                <pic:pic xmlns:pic="http://schemas.openxmlformats.org/drawingml/2006/picture">
                  <pic:nvPicPr>
                    <pic:cNvPr id="112" name="Picture" descr="../figures/EE_Simulation_Results/GDP_Level_Deviation_vs_Baseline_5Y_Average.png"/>
                    <pic:cNvPicPr>
                      <a:picLocks noChangeAspect="1" noChangeArrowheads="1"/>
                    </pic:cNvPicPr>
                  </pic:nvPicPr>
                  <pic:blipFill>
                    <a:blip r:embed="rId36"/>
                    <a:stretch>
                      <a:fillRect/>
                    </a:stretch>
                  </pic:blipFill>
                  <pic:spPr bwMode="auto">
                    <a:xfrm>
                      <a:off x="0" y="0"/>
                      <a:ext cx="5334000" cy="3065277"/>
                    </a:xfrm>
                    <a:prstGeom prst="rect">
                      <a:avLst/>
                    </a:prstGeom>
                    <a:noFill/>
                    <a:ln w="9525">
                      <a:noFill/>
                      <a:headEnd/>
                      <a:tailEnd/>
                    </a:ln>
                  </pic:spPr>
                </pic:pic>
              </a:graphicData>
            </a:graphic>
          </wp:inline>
        </w:drawing>
      </w:r>
    </w:p>
    <w:p w14:paraId="3639A707" w14:textId="77777777" w:rsidR="00050AF7" w:rsidRDefault="00000000">
      <w:pPr>
        <w:pStyle w:val="ImageCaption"/>
      </w:pPr>
      <w:r>
        <w:t>GDP level deviation vs baseline (5-year average)</w:t>
      </w:r>
    </w:p>
    <w:p w14:paraId="5CC975BB" w14:textId="77777777" w:rsidR="00050AF7" w:rsidRPr="00E36010" w:rsidRDefault="00000000">
      <w:pPr>
        <w:pStyle w:val="BodyText"/>
        <w:rPr>
          <w:lang w:val="en-US"/>
        </w:rPr>
      </w:pPr>
      <w:r w:rsidRPr="00E36010">
        <w:rPr>
          <w:lang w:val="en-US"/>
        </w:rPr>
        <w:t>Figure 6.5. GDP level deviation versus Baseline across EE scenarios (5-year average bar chart).</w:t>
      </w:r>
    </w:p>
    <w:p w14:paraId="37B67DFF" w14:textId="77777777" w:rsidR="00050AF7" w:rsidRPr="00E36010" w:rsidRDefault="00000000">
      <w:pPr>
        <w:pStyle w:val="BodyText"/>
        <w:rPr>
          <w:lang w:val="en-US"/>
        </w:rPr>
      </w:pPr>
      <w:r w:rsidRPr="00E36010">
        <w:rPr>
          <w:lang w:val="en-US"/>
        </w:rPr>
        <w:t>Note: Bars show average GDP-level deviation (percent) from Baseline by 5-year block, highlighting medium-run macro effects of each EE pa</w:t>
      </w:r>
      <w:r w:rsidRPr="00E36010">
        <w:rPr>
          <w:lang w:val="en-US"/>
        </w:rPr>
        <w:lastRenderedPageBreak/>
        <w:t>thway.</w:t>
      </w:r>
    </w:p>
    <w:p w14:paraId="6F0C6B29"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scripts/reporting/GenerateEESimulationResultsFigures.m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4A7807B1" w14:textId="77777777" w:rsidR="00050AF7" w:rsidRDefault="00000000">
      <w:pPr>
        <w:pStyle w:val="CaptionedFigure"/>
      </w:pPr>
      <w:r>
        <w:rPr>
          <w:noProof/>
        </w:rPr>
        <w:drawing>
          <wp:inline distT="0" distB="0" distL="0" distR="0" wp14:anchorId="4BA64BA2" wp14:editId="45B06503">
            <wp:extent cx="5334000" cy="3021572"/>
            <wp:effectExtent l="0" t="0" r="0" b="0"/>
            <wp:docPr id="114" name="Picture" descr="Consumption share deviation vs baseline (5-year average)"/>
            <wp:cNvGraphicFramePr/>
            <a:graphic xmlns:a="http://schemas.openxmlformats.org/drawingml/2006/main">
              <a:graphicData uri="http://schemas.openxmlformats.org/drawingml/2006/picture">
                <pic:pic xmlns:pic="http://schemas.openxmlformats.org/drawingml/2006/picture">
                  <pic:nvPicPr>
                    <pic:cNvPr id="115" name="Picture" descr="../figures/EE_Simulation_Results/Consumption_Share_Deviation_vs_Baseline_5Y_Average.png"/>
                    <pic:cNvPicPr>
                      <a:picLocks noChangeAspect="1" noChangeArrowheads="1"/>
                    </pic:cNvPicPr>
                  </pic:nvPicPr>
                  <pic:blipFill>
                    <a:blip r:embed="rId37"/>
                    <a:stretch>
                      <a:fillRect/>
                    </a:stretch>
                  </pic:blipFill>
                  <pic:spPr bwMode="auto">
                    <a:xfrm>
                      <a:off x="0" y="0"/>
                      <a:ext cx="5334000" cy="3021572"/>
                    </a:xfrm>
                    <a:prstGeom prst="rect">
                      <a:avLst/>
                    </a:prstGeom>
                    <a:noFill/>
                    <a:ln w="9525">
                      <a:noFill/>
                      <a:headEnd/>
                      <a:tailEnd/>
                    </a:ln>
                  </pic:spPr>
                </pic:pic>
              </a:graphicData>
            </a:graphic>
          </wp:inline>
        </w:drawing>
      </w:r>
    </w:p>
    <w:p w14:paraId="79CBFE9E" w14:textId="77777777" w:rsidR="00050AF7" w:rsidRDefault="00000000">
      <w:pPr>
        <w:pStyle w:val="ImageCaption"/>
      </w:pPr>
      <w:r>
        <w:t>Consumption share deviation vs baseline (5-year average)</w:t>
      </w:r>
    </w:p>
    <w:p w14:paraId="21F3F421" w14:textId="77777777" w:rsidR="00050AF7" w:rsidRPr="00E36010" w:rsidRDefault="00000000">
      <w:pPr>
        <w:pStyle w:val="BodyText"/>
        <w:rPr>
          <w:lang w:val="en-US"/>
        </w:rPr>
      </w:pPr>
      <w:r w:rsidRPr="00E36010">
        <w:rPr>
          <w:lang w:val="en-US"/>
        </w:rPr>
        <w:t>Figure 6.6. Consumption share deviation versus Baseline across EE scenarios (5-year average bar chart).</w:t>
      </w:r>
    </w:p>
    <w:p w14:paraId="26E94BDD" w14:textId="77777777" w:rsidR="00050AF7" w:rsidRPr="00E36010" w:rsidRDefault="00000000">
      <w:pPr>
        <w:pStyle w:val="BodyText"/>
        <w:rPr>
          <w:lang w:val="en-US"/>
        </w:rPr>
      </w:pPr>
      <w:r w:rsidRPr="00E36010">
        <w:rPr>
          <w:lang w:val="en-US"/>
        </w:rPr>
        <w:t>Note: Bars report average deviation in consumption share of GDP (</w:t>
      </w:r>
      <w:r w:rsidRPr="00E36010">
        <w:rPr>
          <w:rStyle w:val="VerbatimChar"/>
          <w:rFonts w:eastAsiaTheme="minorHAnsi"/>
          <w:lang w:val="en-US"/>
        </w:rPr>
        <w:t>pp of GDP</w:t>
      </w:r>
      <w:r w:rsidRPr="00E36010">
        <w:rPr>
          <w:lang w:val="en-US"/>
        </w:rPr>
        <w:t>) for each 5-year block, allowing direct comparison of household-demand reallocation under alternative EE sc</w:t>
      </w:r>
      <w:r w:rsidRPr="00E36010">
        <w:rPr>
          <w:lang w:val="en-US"/>
        </w:rPr>
        <w:lastRenderedPageBreak/>
        <w:t>enarios.</w:t>
      </w:r>
    </w:p>
    <w:p w14:paraId="5F1027C3"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scripts/reporting/GenerateEESimulationResultsFigures.m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09D252D0" w14:textId="77777777" w:rsidR="00050AF7" w:rsidRDefault="00000000">
      <w:pPr>
        <w:pStyle w:val="CaptionedFigure"/>
      </w:pPr>
      <w:r>
        <w:rPr>
          <w:noProof/>
        </w:rPr>
        <w:drawing>
          <wp:inline distT="0" distB="0" distL="0" distR="0" wp14:anchorId="1B1FF1CB" wp14:editId="338BBA16">
            <wp:extent cx="5334000" cy="3048592"/>
            <wp:effectExtent l="0" t="0" r="0" b="0"/>
            <wp:docPr id="117" name="Picture" descr="Investment share deviation vs baseline (5-year average)"/>
            <wp:cNvGraphicFramePr/>
            <a:graphic xmlns:a="http://schemas.openxmlformats.org/drawingml/2006/main">
              <a:graphicData uri="http://schemas.openxmlformats.org/drawingml/2006/picture">
                <pic:pic xmlns:pic="http://schemas.openxmlformats.org/drawingml/2006/picture">
                  <pic:nvPicPr>
                    <pic:cNvPr id="118" name="Picture" descr="../figures/EE_Simulation_Results/Investment_Share_Deviation_vs_Baseline_5Y_Average.png"/>
                    <pic:cNvPicPr>
                      <a:picLocks noChangeAspect="1" noChangeArrowheads="1"/>
                    </pic:cNvPicPr>
                  </pic:nvPicPr>
                  <pic:blipFill>
                    <a:blip r:embed="rId38"/>
                    <a:stretch>
                      <a:fillRect/>
                    </a:stretch>
                  </pic:blipFill>
                  <pic:spPr bwMode="auto">
                    <a:xfrm>
                      <a:off x="0" y="0"/>
                      <a:ext cx="5334000" cy="3048592"/>
                    </a:xfrm>
                    <a:prstGeom prst="rect">
                      <a:avLst/>
                    </a:prstGeom>
                    <a:noFill/>
                    <a:ln w="9525">
                      <a:noFill/>
                      <a:headEnd/>
                      <a:tailEnd/>
                    </a:ln>
                  </pic:spPr>
                </pic:pic>
              </a:graphicData>
            </a:graphic>
          </wp:inline>
        </w:drawing>
      </w:r>
    </w:p>
    <w:p w14:paraId="64BFA969" w14:textId="77777777" w:rsidR="00050AF7" w:rsidRDefault="00000000">
      <w:pPr>
        <w:pStyle w:val="ImageCaption"/>
      </w:pPr>
      <w:r>
        <w:t>Investment share deviation vs baseline (5-year average)</w:t>
      </w:r>
    </w:p>
    <w:p w14:paraId="27D315A9" w14:textId="77777777" w:rsidR="00050AF7" w:rsidRPr="00E36010" w:rsidRDefault="00000000">
      <w:pPr>
        <w:pStyle w:val="BodyText"/>
        <w:rPr>
          <w:lang w:val="en-US"/>
        </w:rPr>
      </w:pPr>
      <w:r w:rsidRPr="00E36010">
        <w:rPr>
          <w:lang w:val="en-US"/>
        </w:rPr>
        <w:t>Figure 6.7. Investment share deviation versus Baseline across EE scenarios (5-year average bar chart).</w:t>
      </w:r>
    </w:p>
    <w:p w14:paraId="67F2B92D" w14:textId="77777777" w:rsidR="00050AF7" w:rsidRPr="00E36010" w:rsidRDefault="00000000">
      <w:pPr>
        <w:pStyle w:val="BodyText"/>
        <w:rPr>
          <w:lang w:val="en-US"/>
        </w:rPr>
      </w:pPr>
      <w:r w:rsidRPr="00E36010">
        <w:rPr>
          <w:lang w:val="en-US"/>
        </w:rPr>
        <w:t>Note: Bars report average deviation in investment share of GDP (</w:t>
      </w:r>
      <w:r w:rsidRPr="00E36010">
        <w:rPr>
          <w:rStyle w:val="VerbatimChar"/>
          <w:rFonts w:eastAsiaTheme="minorHAnsi"/>
          <w:lang w:val="en-US"/>
        </w:rPr>
        <w:t>pp of GDP</w:t>
      </w:r>
      <w:r w:rsidRPr="00E36010">
        <w:rPr>
          <w:lang w:val="en-US"/>
        </w:rPr>
        <w:t>) by 5-year block and summarize the medium-term capital-allocation response in each EE pathway.</w:t>
      </w:r>
    </w:p>
    <w:p w14:paraId="65B6E9CF"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scripts/reporting/GenerateEESimulationResultsFigures.m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35348AB5" w14:textId="0DDA2DA1" w:rsidR="00050AF7" w:rsidRPr="00E36010" w:rsidRDefault="00000000" w:rsidP="00E36010">
      <w:pPr>
        <w:pStyle w:val="Heading2"/>
        <w:rPr>
          <w:lang w:val="en-US"/>
        </w:rPr>
      </w:pPr>
      <w:bookmarkStart w:id="73" w:name="green-finance-scenario-reporting-figures"/>
      <w:bookmarkStart w:id="74" w:name="_Toc235867076"/>
      <w:bookmarkEnd w:id="71"/>
      <w:r w:rsidRPr="00E36010">
        <w:rPr>
          <w:lang w:val="en-US"/>
        </w:rPr>
        <w:t>Green finance scenario reporting figures</w:t>
      </w:r>
      <w:bookmarkEnd w:id="74"/>
    </w:p>
    <w:p w14:paraId="3BBA19CC" w14:textId="77777777" w:rsidR="00050AF7" w:rsidRPr="00E36010" w:rsidRDefault="00000000">
      <w:pPr>
        <w:pStyle w:val="FirstParagraph"/>
        <w:rPr>
          <w:lang w:val="en-US"/>
        </w:rPr>
      </w:pPr>
      <w:r w:rsidRPr="00E36010">
        <w:rPr>
          <w:lang w:val="en-US"/>
        </w:rPr>
        <w:t xml:space="preserve">The script </w:t>
      </w:r>
      <w:r w:rsidRPr="00E36010">
        <w:rPr>
          <w:rStyle w:val="VerbatimChar"/>
          <w:rFonts w:eastAsiaTheme="minorHAnsi"/>
          <w:lang w:val="en-US"/>
        </w:rPr>
        <w:t>scripts/reporting/GenerateFinanceSimulationResultsFigures.m</w:t>
      </w:r>
      <w:r w:rsidRPr="00E36010">
        <w:rPr>
          <w:lang w:val="en-US"/>
        </w:rPr>
        <w:t xml:space="preserve"> exports scenario-comparison figures to </w:t>
      </w:r>
      <w:r w:rsidRPr="00E36010">
        <w:rPr>
          <w:rStyle w:val="VerbatimChar"/>
          <w:rFonts w:eastAsiaTheme="minorHAnsi"/>
          <w:lang w:val="en-US"/>
        </w:rPr>
        <w:t>docs/figures/Finance_Simulation_Results/</w:t>
      </w:r>
      <w:r w:rsidRPr="00E36010">
        <w:rPr>
          <w:lang w:val="en-US"/>
        </w:rPr>
        <w:t>. This subsection reports only deviation-versus-Baseline diagno</w:t>
      </w:r>
      <w:r w:rsidRPr="00E36010">
        <w:rPr>
          <w:lang w:val="en-US"/>
        </w:rPr>
        <w:lastRenderedPageBreak/>
        <w:t>stics, using 5-year average bar charts.</w:t>
      </w:r>
    </w:p>
    <w:p w14:paraId="6D7C6AFE" w14:textId="77777777" w:rsidR="00050AF7" w:rsidRDefault="00000000">
      <w:pPr>
        <w:pStyle w:val="CaptionedFigure"/>
      </w:pPr>
      <w:r>
        <w:rPr>
          <w:noProof/>
        </w:rPr>
        <w:drawing>
          <wp:inline distT="0" distB="0" distL="0" distR="0" wp14:anchorId="126EA075" wp14:editId="390E6067">
            <wp:extent cx="5334000" cy="2928112"/>
            <wp:effectExtent l="0" t="0" r="0" b="0"/>
            <wp:docPr id="121" name="Picture" descr="GDP growth deviation vs baseline (5-year average)"/>
            <wp:cNvGraphicFramePr/>
            <a:graphic xmlns:a="http://schemas.openxmlformats.org/drawingml/2006/main">
              <a:graphicData uri="http://schemas.openxmlformats.org/drawingml/2006/picture">
                <pic:pic xmlns:pic="http://schemas.openxmlformats.org/drawingml/2006/picture">
                  <pic:nvPicPr>
                    <pic:cNvPr id="122" name="Picture" descr="../figures/Finance_Simulation_Results/GDP_Growth_Deviation_vs_Baseline_5Y_Average.png"/>
                    <pic:cNvPicPr>
                      <a:picLocks noChangeAspect="1" noChangeArrowheads="1"/>
                    </pic:cNvPicPr>
                  </pic:nvPicPr>
                  <pic:blipFill>
                    <a:blip r:embed="rId39"/>
                    <a:stretch>
                      <a:fillRect/>
                    </a:stretch>
                  </pic:blipFill>
                  <pic:spPr bwMode="auto">
                    <a:xfrm>
                      <a:off x="0" y="0"/>
                      <a:ext cx="5334000" cy="2928112"/>
                    </a:xfrm>
                    <a:prstGeom prst="rect">
                      <a:avLst/>
                    </a:prstGeom>
                    <a:noFill/>
                    <a:ln w="9525">
                      <a:noFill/>
                      <a:headEnd/>
                      <a:tailEnd/>
                    </a:ln>
                  </pic:spPr>
                </pic:pic>
              </a:graphicData>
            </a:graphic>
          </wp:inline>
        </w:drawing>
      </w:r>
    </w:p>
    <w:p w14:paraId="592181D7" w14:textId="77777777" w:rsidR="00050AF7" w:rsidRDefault="00000000">
      <w:pPr>
        <w:pStyle w:val="ImageCaption"/>
      </w:pPr>
      <w:r>
        <w:t>GDP growth deviation vs baseline (5-year average)</w:t>
      </w:r>
    </w:p>
    <w:p w14:paraId="757F00C6" w14:textId="77777777" w:rsidR="00050AF7" w:rsidRPr="00E36010" w:rsidRDefault="00000000">
      <w:pPr>
        <w:pStyle w:val="BodyText"/>
        <w:rPr>
          <w:lang w:val="en-US"/>
        </w:rPr>
      </w:pPr>
      <w:r w:rsidRPr="00E36010">
        <w:rPr>
          <w:lang w:val="en-US"/>
        </w:rPr>
        <w:t>Figure 6.8. GDP growth deviation versus Baseline across green-finance scenarios (5-year average bar chart).</w:t>
      </w:r>
    </w:p>
    <w:p w14:paraId="244DACCF" w14:textId="77777777" w:rsidR="00050AF7" w:rsidRPr="00E36010" w:rsidRDefault="00000000">
      <w:pPr>
        <w:pStyle w:val="BodyText"/>
        <w:rPr>
          <w:lang w:val="en-US"/>
        </w:rPr>
      </w:pPr>
      <w:r w:rsidRPr="00E36010">
        <w:rPr>
          <w:lang w:val="en-US"/>
        </w:rPr>
        <w:t>Note: Bars show the average deviation in annual GDP growth (percentage points) from Baseline by 5-year block, comparing how financing architectures alter the medium-run growth profile.</w:t>
      </w:r>
    </w:p>
    <w:p w14:paraId="52EB44DC"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scripts/reporting/GenerateFinanceSimulationResultsFigures.m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26BD8696" w14:textId="77777777" w:rsidR="00050AF7" w:rsidRDefault="00000000">
      <w:pPr>
        <w:pStyle w:val="CaptionedFigure"/>
      </w:pPr>
      <w:r>
        <w:rPr>
          <w:noProof/>
        </w:rPr>
        <w:drawing>
          <wp:inline distT="0" distB="0" distL="0" distR="0" wp14:anchorId="77951639" wp14:editId="2D827B80">
            <wp:extent cx="5334000" cy="2958542"/>
            <wp:effectExtent l="0" t="0" r="0" b="0"/>
            <wp:docPr id="124" name="Picture" descr="GDP level deviation vs baseline (5-year average)"/>
            <wp:cNvGraphicFramePr/>
            <a:graphic xmlns:a="http://schemas.openxmlformats.org/drawingml/2006/main">
              <a:graphicData uri="http://schemas.openxmlformats.org/drawingml/2006/picture">
                <pic:pic xmlns:pic="http://schemas.openxmlformats.org/drawingml/2006/picture">
                  <pic:nvPicPr>
                    <pic:cNvPr id="125" name="Picture" descr="../figures/Finance_Simulation_Results/GDP_Level_Deviation_vs_Baseline_5Y_Average.png"/>
                    <pic:cNvPicPr>
                      <a:picLocks noChangeAspect="1" noChangeArrowheads="1"/>
                    </pic:cNvPicPr>
                  </pic:nvPicPr>
                  <pic:blipFill>
                    <a:blip r:embed="rId40"/>
                    <a:stretch>
                      <a:fillRect/>
                    </a:stretch>
                  </pic:blipFill>
                  <pic:spPr bwMode="auto">
                    <a:xfrm>
                      <a:off x="0" y="0"/>
                      <a:ext cx="5334000" cy="2958542"/>
                    </a:xfrm>
                    <a:prstGeom prst="rect">
                      <a:avLst/>
                    </a:prstGeom>
                    <a:noFill/>
                    <a:ln w="9525">
                      <a:noFill/>
                      <a:headEnd/>
                      <a:tailEnd/>
                    </a:ln>
                  </pic:spPr>
                </pic:pic>
              </a:graphicData>
            </a:graphic>
          </wp:inline>
        </w:drawing>
      </w:r>
    </w:p>
    <w:p w14:paraId="4FE0FA17" w14:textId="77777777" w:rsidR="00050AF7" w:rsidRDefault="00000000">
      <w:pPr>
        <w:pStyle w:val="ImageCaption"/>
      </w:pPr>
      <w:r>
        <w:t>GDP level deviation vs baseline (5-year average)</w:t>
      </w:r>
    </w:p>
    <w:p w14:paraId="04E716C8" w14:textId="77777777" w:rsidR="00050AF7" w:rsidRPr="00E36010" w:rsidRDefault="00000000">
      <w:pPr>
        <w:pStyle w:val="BodyText"/>
        <w:rPr>
          <w:lang w:val="en-US"/>
        </w:rPr>
      </w:pPr>
      <w:r w:rsidRPr="00E36010">
        <w:rPr>
          <w:lang w:val="en-US"/>
        </w:rPr>
        <w:t>Figure 6.9. GDP level deviation versus Baseline across green-finance scenarios (5-year average bar chart).</w:t>
      </w:r>
    </w:p>
    <w:p w14:paraId="3061A2A4" w14:textId="77777777" w:rsidR="00050AF7" w:rsidRPr="00E36010" w:rsidRDefault="00000000">
      <w:pPr>
        <w:pStyle w:val="BodyText"/>
        <w:rPr>
          <w:lang w:val="en-US"/>
        </w:rPr>
      </w:pPr>
      <w:r w:rsidRPr="00E36010">
        <w:rPr>
          <w:lang w:val="en-US"/>
        </w:rPr>
        <w:t>Note: Bars show average percent deviations of GDP level from Baseline by 5-y</w:t>
      </w:r>
      <w:r w:rsidRPr="00E36010">
        <w:rPr>
          <w:lang w:val="en-US"/>
        </w:rPr>
        <w:lastRenderedPageBreak/>
        <w:t>ear block and capture cumulative macro effects of financing conditions.</w:t>
      </w:r>
    </w:p>
    <w:p w14:paraId="2CA938F5"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scripts/reporting/GenerateFinanceSimulationResultsFigures.m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72FADE80" w14:textId="77777777" w:rsidR="00050AF7" w:rsidRDefault="00000000">
      <w:pPr>
        <w:pStyle w:val="CaptionedFigure"/>
      </w:pPr>
      <w:r>
        <w:rPr>
          <w:noProof/>
        </w:rPr>
        <w:drawing>
          <wp:inline distT="0" distB="0" distL="0" distR="0" wp14:anchorId="01C89B78" wp14:editId="08010664">
            <wp:extent cx="5334000" cy="2926996"/>
            <wp:effectExtent l="0" t="0" r="0" b="0"/>
            <wp:docPr id="127" name="Picture" descr="Consumption share deviation vs baseline (5-year average)"/>
            <wp:cNvGraphicFramePr/>
            <a:graphic xmlns:a="http://schemas.openxmlformats.org/drawingml/2006/main">
              <a:graphicData uri="http://schemas.openxmlformats.org/drawingml/2006/picture">
                <pic:pic xmlns:pic="http://schemas.openxmlformats.org/drawingml/2006/picture">
                  <pic:nvPicPr>
                    <pic:cNvPr id="128" name="Picture" descr="../figures/Finance_Simulation_Results/Consumption_Share_Deviation_vs_Baseline_5Y_Average.png"/>
                    <pic:cNvPicPr>
                      <a:picLocks noChangeAspect="1" noChangeArrowheads="1"/>
                    </pic:cNvPicPr>
                  </pic:nvPicPr>
                  <pic:blipFill>
                    <a:blip r:embed="rId41"/>
                    <a:stretch>
                      <a:fillRect/>
                    </a:stretch>
                  </pic:blipFill>
                  <pic:spPr bwMode="auto">
                    <a:xfrm>
                      <a:off x="0" y="0"/>
                      <a:ext cx="5334000" cy="2926996"/>
                    </a:xfrm>
                    <a:prstGeom prst="rect">
                      <a:avLst/>
                    </a:prstGeom>
                    <a:noFill/>
                    <a:ln w="9525">
                      <a:noFill/>
                      <a:headEnd/>
                      <a:tailEnd/>
                    </a:ln>
                  </pic:spPr>
                </pic:pic>
              </a:graphicData>
            </a:graphic>
          </wp:inline>
        </w:drawing>
      </w:r>
    </w:p>
    <w:p w14:paraId="1D36C9FD" w14:textId="77777777" w:rsidR="00050AF7" w:rsidRDefault="00000000">
      <w:pPr>
        <w:pStyle w:val="ImageCaption"/>
      </w:pPr>
      <w:r>
        <w:t>Consumption share deviation vs baseline (5-year average)</w:t>
      </w:r>
    </w:p>
    <w:p w14:paraId="59EFC18E" w14:textId="77777777" w:rsidR="00050AF7" w:rsidRPr="00E36010" w:rsidRDefault="00000000">
      <w:pPr>
        <w:pStyle w:val="BodyText"/>
        <w:rPr>
          <w:lang w:val="en-US"/>
        </w:rPr>
      </w:pPr>
      <w:r w:rsidRPr="00E36010">
        <w:rPr>
          <w:lang w:val="en-US"/>
        </w:rPr>
        <w:t>Figure 6.10. Consumption share deviation versus Baseline across green-finance scenarios (5-year average bar chart).</w:t>
      </w:r>
    </w:p>
    <w:p w14:paraId="5DE14BD6" w14:textId="77777777" w:rsidR="00050AF7" w:rsidRPr="00E36010" w:rsidRDefault="00000000">
      <w:pPr>
        <w:pStyle w:val="BodyText"/>
        <w:rPr>
          <w:lang w:val="en-US"/>
        </w:rPr>
      </w:pPr>
      <w:r w:rsidRPr="00E36010">
        <w:rPr>
          <w:lang w:val="en-US"/>
        </w:rPr>
        <w:t>Note: Bars report average deviation in private-consumption share of GDP (</w:t>
      </w:r>
      <w:r w:rsidRPr="00E36010">
        <w:rPr>
          <w:rStyle w:val="VerbatimChar"/>
          <w:rFonts w:eastAsiaTheme="minorHAnsi"/>
          <w:lang w:val="en-US"/>
        </w:rPr>
        <w:t>pp of GDP</w:t>
      </w:r>
      <w:r w:rsidRPr="00E36010">
        <w:rPr>
          <w:lang w:val="en-US"/>
        </w:rPr>
        <w:t>) by 5-year block.</w:t>
      </w:r>
    </w:p>
    <w:p w14:paraId="2727361F"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scripts/reporting/GenerateF</w:t>
      </w:r>
      <w:r w:rsidRPr="00E36010">
        <w:rPr>
          <w:rStyle w:val="VerbatimChar"/>
          <w:rFonts w:eastAsiaTheme="minorHAnsi"/>
          <w:lang w:val="en-US"/>
        </w:rPr>
        <w:lastRenderedPageBreak/>
        <w:t>inanceSimulationResultsFigures.m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265413E3" w14:textId="77777777" w:rsidR="00050AF7" w:rsidRDefault="00000000">
      <w:pPr>
        <w:pStyle w:val="CaptionedFigure"/>
      </w:pPr>
      <w:r>
        <w:rPr>
          <w:noProof/>
        </w:rPr>
        <w:drawing>
          <wp:inline distT="0" distB="0" distL="0" distR="0" wp14:anchorId="2A5EDBDC" wp14:editId="142553DE">
            <wp:extent cx="5334000" cy="2957404"/>
            <wp:effectExtent l="0" t="0" r="0" b="0"/>
            <wp:docPr id="130" name="Picture" descr="Investment share deviation vs baseline (5-year average)"/>
            <wp:cNvGraphicFramePr/>
            <a:graphic xmlns:a="http://schemas.openxmlformats.org/drawingml/2006/main">
              <a:graphicData uri="http://schemas.openxmlformats.org/drawingml/2006/picture">
                <pic:pic xmlns:pic="http://schemas.openxmlformats.org/drawingml/2006/picture">
                  <pic:nvPicPr>
                    <pic:cNvPr id="131" name="Picture" descr="../figures/Finance_Simulation_Results/Investment_Share_Deviation_vs_Baseline_5Y_Average.png"/>
                    <pic:cNvPicPr>
                      <a:picLocks noChangeAspect="1" noChangeArrowheads="1"/>
                    </pic:cNvPicPr>
                  </pic:nvPicPr>
                  <pic:blipFill>
                    <a:blip r:embed="rId42"/>
                    <a:stretch>
                      <a:fillRect/>
                    </a:stretch>
                  </pic:blipFill>
                  <pic:spPr bwMode="auto">
                    <a:xfrm>
                      <a:off x="0" y="0"/>
                      <a:ext cx="5334000" cy="2957404"/>
                    </a:xfrm>
                    <a:prstGeom prst="rect">
                      <a:avLst/>
                    </a:prstGeom>
                    <a:noFill/>
                    <a:ln w="9525">
                      <a:noFill/>
                      <a:headEnd/>
                      <a:tailEnd/>
                    </a:ln>
                  </pic:spPr>
                </pic:pic>
              </a:graphicData>
            </a:graphic>
          </wp:inline>
        </w:drawing>
      </w:r>
    </w:p>
    <w:p w14:paraId="028BB007" w14:textId="77777777" w:rsidR="00050AF7" w:rsidRDefault="00000000">
      <w:pPr>
        <w:pStyle w:val="ImageCaption"/>
      </w:pPr>
      <w:r>
        <w:t>Investment share deviation vs baseline (5-year average)</w:t>
      </w:r>
    </w:p>
    <w:p w14:paraId="43ECB7BD" w14:textId="77777777" w:rsidR="00050AF7" w:rsidRPr="00E36010" w:rsidRDefault="00000000">
      <w:pPr>
        <w:pStyle w:val="BodyText"/>
        <w:rPr>
          <w:lang w:val="en-US"/>
        </w:rPr>
      </w:pPr>
      <w:r w:rsidRPr="00E36010">
        <w:rPr>
          <w:lang w:val="en-US"/>
        </w:rPr>
        <w:t>Figure 6.11. Investment share deviation versus Baseline across green-finance scenarios (5-year average bar chart).</w:t>
      </w:r>
    </w:p>
    <w:p w14:paraId="6B51942B" w14:textId="77777777" w:rsidR="00050AF7" w:rsidRPr="00E36010" w:rsidRDefault="00000000">
      <w:pPr>
        <w:pStyle w:val="BodyText"/>
        <w:rPr>
          <w:lang w:val="en-US"/>
        </w:rPr>
      </w:pPr>
      <w:r w:rsidRPr="00E36010">
        <w:rPr>
          <w:lang w:val="en-US"/>
        </w:rPr>
        <w:t>Note: Bars report average deviation in investment share of GDP (</w:t>
      </w:r>
      <w:r w:rsidRPr="00E36010">
        <w:rPr>
          <w:rStyle w:val="VerbatimChar"/>
          <w:rFonts w:eastAsiaTheme="minorHAnsi"/>
          <w:lang w:val="en-US"/>
        </w:rPr>
        <w:t>pp of GDP</w:t>
      </w:r>
      <w:r w:rsidRPr="00E36010">
        <w:rPr>
          <w:lang w:val="en-US"/>
        </w:rPr>
        <w:t>) by 5-year block, indicating medium-run capital-allocation shifts.</w:t>
      </w:r>
    </w:p>
    <w:p w14:paraId="33AE238B"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scripts/reporting/GenerateFinanceSimulationResultsFigures.m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3A9650F5" w14:textId="77777777" w:rsidR="00050AF7" w:rsidRDefault="00000000">
      <w:pPr>
        <w:pStyle w:val="CaptionedFigure"/>
      </w:pPr>
      <w:r>
        <w:rPr>
          <w:noProof/>
        </w:rPr>
        <w:drawing>
          <wp:inline distT="0" distB="0" distL="0" distR="0" wp14:anchorId="770F24C7" wp14:editId="1B02E689">
            <wp:extent cx="5334000" cy="2957404"/>
            <wp:effectExtent l="0" t="0" r="0" b="0"/>
            <wp:docPr id="133" name="Picture" descr="Government consumption share deviation vs baseline (5-year average)"/>
            <wp:cNvGraphicFramePr/>
            <a:graphic xmlns:a="http://schemas.openxmlformats.org/drawingml/2006/main">
              <a:graphicData uri="http://schemas.openxmlformats.org/drawingml/2006/picture">
                <pic:pic xmlns:pic="http://schemas.openxmlformats.org/drawingml/2006/picture">
                  <pic:nvPicPr>
                    <pic:cNvPr id="134" name="Picture" descr="../figures/Finance_Simulation_Results/Government_Consumption_Share_Deviation_vs_Baseline_5Y_Average.png"/>
                    <pic:cNvPicPr>
                      <a:picLocks noChangeAspect="1" noChangeArrowheads="1"/>
                    </pic:cNvPicPr>
                  </pic:nvPicPr>
                  <pic:blipFill>
                    <a:blip r:embed="rId43"/>
                    <a:stretch>
                      <a:fillRect/>
                    </a:stretch>
                  </pic:blipFill>
                  <pic:spPr bwMode="auto">
                    <a:xfrm>
                      <a:off x="0" y="0"/>
                      <a:ext cx="5334000" cy="2957404"/>
                    </a:xfrm>
                    <a:prstGeom prst="rect">
                      <a:avLst/>
                    </a:prstGeom>
                    <a:noFill/>
                    <a:ln w="9525">
                      <a:noFill/>
                      <a:headEnd/>
                      <a:tailEnd/>
                    </a:ln>
                  </pic:spPr>
                </pic:pic>
              </a:graphicData>
            </a:graphic>
          </wp:inline>
        </w:drawing>
      </w:r>
    </w:p>
    <w:p w14:paraId="33AC8917" w14:textId="77777777" w:rsidR="00050AF7" w:rsidRDefault="00000000">
      <w:pPr>
        <w:pStyle w:val="ImageCaption"/>
      </w:pPr>
      <w:r>
        <w:t>Government consumption share deviation vs baseline (5-year average)</w:t>
      </w:r>
    </w:p>
    <w:p w14:paraId="7D141922" w14:textId="77777777" w:rsidR="00050AF7" w:rsidRPr="00E36010" w:rsidRDefault="00000000">
      <w:pPr>
        <w:pStyle w:val="BodyText"/>
        <w:rPr>
          <w:lang w:val="en-US"/>
        </w:rPr>
      </w:pPr>
      <w:r w:rsidRPr="00E36010">
        <w:rPr>
          <w:lang w:val="en-US"/>
        </w:rPr>
        <w:t>Figure 6.12. Government consumption share deviation versus Baseline across green-finance scenarios (5-year average bar chart).</w:t>
      </w:r>
    </w:p>
    <w:p w14:paraId="07152F22" w14:textId="77777777" w:rsidR="00050AF7" w:rsidRPr="00E36010" w:rsidRDefault="00000000">
      <w:pPr>
        <w:pStyle w:val="BodyText"/>
        <w:rPr>
          <w:lang w:val="en-US"/>
        </w:rPr>
      </w:pPr>
      <w:r w:rsidRPr="00E36010">
        <w:rPr>
          <w:lang w:val="en-US"/>
        </w:rPr>
        <w:t xml:space="preserve">Note: Bars report average deviation in government consumption share </w:t>
      </w:r>
      <w:r w:rsidRPr="00E36010">
        <w:rPr>
          <w:lang w:val="en-US"/>
        </w:rPr>
        <w:lastRenderedPageBreak/>
        <w:t>of GDP (</w:t>
      </w:r>
      <w:r w:rsidRPr="00E36010">
        <w:rPr>
          <w:rStyle w:val="VerbatimChar"/>
          <w:rFonts w:eastAsiaTheme="minorHAnsi"/>
          <w:lang w:val="en-US"/>
        </w:rPr>
        <w:t>pp of GDP</w:t>
      </w:r>
      <w:r w:rsidRPr="00E36010">
        <w:rPr>
          <w:lang w:val="en-US"/>
        </w:rPr>
        <w:t>) by 5-year block.</w:t>
      </w:r>
    </w:p>
    <w:p w14:paraId="52BDCF8B"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scripts/reporting/GenerateFinanceSimulationResultsFigures.m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56CFD712" w14:textId="77777777" w:rsidR="00050AF7" w:rsidRDefault="00000000">
      <w:pPr>
        <w:pStyle w:val="CaptionedFigure"/>
      </w:pPr>
      <w:r>
        <w:rPr>
          <w:noProof/>
        </w:rPr>
        <w:drawing>
          <wp:inline distT="0" distB="0" distL="0" distR="0" wp14:anchorId="5952D7C8" wp14:editId="5A2CEE78">
            <wp:extent cx="5334000" cy="2926996"/>
            <wp:effectExtent l="0" t="0" r="0" b="0"/>
            <wp:docPr id="136" name="Picture" descr="Housing investment share deviation vs baseline (5-year average)"/>
            <wp:cNvGraphicFramePr/>
            <a:graphic xmlns:a="http://schemas.openxmlformats.org/drawingml/2006/main">
              <a:graphicData uri="http://schemas.openxmlformats.org/drawingml/2006/picture">
                <pic:pic xmlns:pic="http://schemas.openxmlformats.org/drawingml/2006/picture">
                  <pic:nvPicPr>
                    <pic:cNvPr id="137" name="Picture" descr="../figures/Finance_Simulation_Results/Housing_Investment_Share_Deviation_vs_Baseline_5Y_Average.png"/>
                    <pic:cNvPicPr>
                      <a:picLocks noChangeAspect="1" noChangeArrowheads="1"/>
                    </pic:cNvPicPr>
                  </pic:nvPicPr>
                  <pic:blipFill>
                    <a:blip r:embed="rId44"/>
                    <a:stretch>
                      <a:fillRect/>
                    </a:stretch>
                  </pic:blipFill>
                  <pic:spPr bwMode="auto">
                    <a:xfrm>
                      <a:off x="0" y="0"/>
                      <a:ext cx="5334000" cy="2926996"/>
                    </a:xfrm>
                    <a:prstGeom prst="rect">
                      <a:avLst/>
                    </a:prstGeom>
                    <a:noFill/>
                    <a:ln w="9525">
                      <a:noFill/>
                      <a:headEnd/>
                      <a:tailEnd/>
                    </a:ln>
                  </pic:spPr>
                </pic:pic>
              </a:graphicData>
            </a:graphic>
          </wp:inline>
        </w:drawing>
      </w:r>
    </w:p>
    <w:p w14:paraId="7E7AA3A1" w14:textId="77777777" w:rsidR="00050AF7" w:rsidRDefault="00000000">
      <w:pPr>
        <w:pStyle w:val="ImageCaption"/>
      </w:pPr>
      <w:r>
        <w:t>Housing investment share deviation vs baseline (5-year average)</w:t>
      </w:r>
    </w:p>
    <w:p w14:paraId="41E44C60" w14:textId="77777777" w:rsidR="00050AF7" w:rsidRPr="00E36010" w:rsidRDefault="00000000">
      <w:pPr>
        <w:pStyle w:val="BodyText"/>
        <w:rPr>
          <w:lang w:val="en-US"/>
        </w:rPr>
      </w:pPr>
      <w:r w:rsidRPr="00E36010">
        <w:rPr>
          <w:lang w:val="en-US"/>
        </w:rPr>
        <w:t>Figure 6.13. Housing investment share deviation versus Baseline across green-finance scenarios (5-year average bar chart).</w:t>
      </w:r>
    </w:p>
    <w:p w14:paraId="6E52E680" w14:textId="77777777" w:rsidR="00050AF7" w:rsidRPr="00E36010" w:rsidRDefault="00000000">
      <w:pPr>
        <w:pStyle w:val="BodyText"/>
        <w:rPr>
          <w:lang w:val="en-US"/>
        </w:rPr>
      </w:pPr>
      <w:r w:rsidRPr="00E36010">
        <w:rPr>
          <w:lang w:val="en-US"/>
        </w:rPr>
        <w:t>Note: Bars report average deviation in housing investment share of GDP (</w:t>
      </w:r>
      <w:r w:rsidRPr="00E36010">
        <w:rPr>
          <w:rStyle w:val="VerbatimChar"/>
          <w:rFonts w:eastAsiaTheme="minorHAnsi"/>
          <w:lang w:val="en-US"/>
        </w:rPr>
        <w:t>pp of GDP</w:t>
      </w:r>
      <w:r w:rsidRPr="00E36010">
        <w:rPr>
          <w:lang w:val="en-US"/>
        </w:rPr>
        <w:t>) by 5-year block.</w:t>
      </w:r>
    </w:p>
    <w:p w14:paraId="7D619E5A"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scripts/reporting/GenerateFinanceSimul</w:t>
      </w:r>
      <w:r w:rsidRPr="00E36010">
        <w:rPr>
          <w:rStyle w:val="VerbatimChar"/>
          <w:rFonts w:eastAsiaTheme="minorHAnsi"/>
          <w:lang w:val="en-US"/>
        </w:rPr>
        <w:lastRenderedPageBreak/>
        <w:t>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2504EB97" w14:textId="77777777" w:rsidR="00050AF7" w:rsidRDefault="00000000">
      <w:pPr>
        <w:pStyle w:val="CaptionedFigure"/>
      </w:pPr>
      <w:r>
        <w:rPr>
          <w:noProof/>
        </w:rPr>
        <w:drawing>
          <wp:inline distT="0" distB="0" distL="0" distR="0" wp14:anchorId="08C55122" wp14:editId="14C6292C">
            <wp:extent cx="5334000" cy="2976876"/>
            <wp:effectExtent l="0" t="0" r="0" b="0"/>
            <wp:docPr id="139" name="Picture" descr="Net exports share deviation vs baseline (5-year average)"/>
            <wp:cNvGraphicFramePr/>
            <a:graphic xmlns:a="http://schemas.openxmlformats.org/drawingml/2006/main">
              <a:graphicData uri="http://schemas.openxmlformats.org/drawingml/2006/picture">
                <pic:pic xmlns:pic="http://schemas.openxmlformats.org/drawingml/2006/picture">
                  <pic:nvPicPr>
                    <pic:cNvPr id="140" name="Picture" descr="../figures/Finance_Simulation_Results/Net_Exports_Share_Deviation_vs_Baseline_5Y_Average.png"/>
                    <pic:cNvPicPr>
                      <a:picLocks noChangeAspect="1" noChangeArrowheads="1"/>
                    </pic:cNvPicPr>
                  </pic:nvPicPr>
                  <pic:blipFill>
                    <a:blip r:embed="rId45"/>
                    <a:stretch>
                      <a:fillRect/>
                    </a:stretch>
                  </pic:blipFill>
                  <pic:spPr bwMode="auto">
                    <a:xfrm>
                      <a:off x="0" y="0"/>
                      <a:ext cx="5334000" cy="2976876"/>
                    </a:xfrm>
                    <a:prstGeom prst="rect">
                      <a:avLst/>
                    </a:prstGeom>
                    <a:noFill/>
                    <a:ln w="9525">
                      <a:noFill/>
                      <a:headEnd/>
                      <a:tailEnd/>
                    </a:ln>
                  </pic:spPr>
                </pic:pic>
              </a:graphicData>
            </a:graphic>
          </wp:inline>
        </w:drawing>
      </w:r>
    </w:p>
    <w:p w14:paraId="48CED44D" w14:textId="77777777" w:rsidR="00050AF7" w:rsidRDefault="00000000">
      <w:pPr>
        <w:pStyle w:val="ImageCaption"/>
      </w:pPr>
      <w:r>
        <w:t>Net exports share deviation vs baseline (5-year average)</w:t>
      </w:r>
    </w:p>
    <w:p w14:paraId="41B35CA6" w14:textId="77777777" w:rsidR="00050AF7" w:rsidRPr="00E36010" w:rsidRDefault="00000000">
      <w:pPr>
        <w:pStyle w:val="BodyText"/>
        <w:rPr>
          <w:lang w:val="en-US"/>
        </w:rPr>
      </w:pPr>
      <w:r w:rsidRPr="00E36010">
        <w:rPr>
          <w:lang w:val="en-US"/>
        </w:rPr>
        <w:t>Figure 6.14. Net exports share deviation versus Baseline across green-finance scenarios (5-year average bar chart).</w:t>
      </w:r>
    </w:p>
    <w:p w14:paraId="18F61B82" w14:textId="77777777" w:rsidR="00050AF7" w:rsidRPr="00E36010" w:rsidRDefault="00000000">
      <w:pPr>
        <w:pStyle w:val="BodyText"/>
        <w:rPr>
          <w:lang w:val="en-US"/>
        </w:rPr>
      </w:pPr>
      <w:r w:rsidRPr="00E36010">
        <w:rPr>
          <w:lang w:val="en-US"/>
        </w:rPr>
        <w:t>Note: Bars report average deviation in net exports share of GDP (</w:t>
      </w:r>
      <w:r w:rsidRPr="00E36010">
        <w:rPr>
          <w:rStyle w:val="VerbatimChar"/>
          <w:rFonts w:eastAsiaTheme="minorHAnsi"/>
          <w:lang w:val="en-US"/>
        </w:rPr>
        <w:t>pp of GDP</w:t>
      </w:r>
      <w:r w:rsidRPr="00E36010">
        <w:rPr>
          <w:lang w:val="en-US"/>
        </w:rPr>
        <w:t>) by 5-year block, summarizing external-balance effects.</w:t>
      </w:r>
    </w:p>
    <w:p w14:paraId="3489FD7B"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scripts/reporting/GenerateFinanceSimulationResultsFigures.m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2CCE1474" w14:textId="77777777" w:rsidR="00050AF7" w:rsidRDefault="00000000">
      <w:pPr>
        <w:pStyle w:val="CaptionedFigure"/>
      </w:pPr>
      <w:r>
        <w:rPr>
          <w:noProof/>
        </w:rPr>
        <w:drawing>
          <wp:inline distT="0" distB="0" distL="0" distR="0" wp14:anchorId="112629B8" wp14:editId="001B3C2F">
            <wp:extent cx="5334000" cy="2958542"/>
            <wp:effectExtent l="0" t="0" r="0" b="0"/>
            <wp:docPr id="142" name="Picture" descr="WACC renewables deviation vs baseline (5-year average)"/>
            <wp:cNvGraphicFramePr/>
            <a:graphic xmlns:a="http://schemas.openxmlformats.org/drawingml/2006/main">
              <a:graphicData uri="http://schemas.openxmlformats.org/drawingml/2006/picture">
                <pic:pic xmlns:pic="http://schemas.openxmlformats.org/drawingml/2006/picture">
                  <pic:nvPicPr>
                    <pic:cNvPr id="143" name="Picture" descr="../figures/Finance_Simulation_Results/WACC_Renewables_Deviation_vs_Baseline_5Y_Average.png"/>
                    <pic:cNvPicPr>
                      <a:picLocks noChangeAspect="1" noChangeArrowheads="1"/>
                    </pic:cNvPicPr>
                  </pic:nvPicPr>
                  <pic:blipFill>
                    <a:blip r:embed="rId46"/>
                    <a:stretch>
                      <a:fillRect/>
                    </a:stretch>
                  </pic:blipFill>
                  <pic:spPr bwMode="auto">
                    <a:xfrm>
                      <a:off x="0" y="0"/>
                      <a:ext cx="5334000" cy="2958542"/>
                    </a:xfrm>
                    <a:prstGeom prst="rect">
                      <a:avLst/>
                    </a:prstGeom>
                    <a:noFill/>
                    <a:ln w="9525">
                      <a:noFill/>
                      <a:headEnd/>
                      <a:tailEnd/>
                    </a:ln>
                  </pic:spPr>
                </pic:pic>
              </a:graphicData>
            </a:graphic>
          </wp:inline>
        </w:drawing>
      </w:r>
    </w:p>
    <w:p w14:paraId="78F36587" w14:textId="77777777" w:rsidR="00050AF7" w:rsidRDefault="00000000">
      <w:pPr>
        <w:pStyle w:val="ImageCaption"/>
      </w:pPr>
      <w:r>
        <w:t>WACC renewables deviation vs baseline (5-year average)</w:t>
      </w:r>
    </w:p>
    <w:p w14:paraId="2C8ADF82" w14:textId="77777777" w:rsidR="00050AF7" w:rsidRPr="00E36010" w:rsidRDefault="00000000">
      <w:pPr>
        <w:pStyle w:val="BodyText"/>
        <w:rPr>
          <w:lang w:val="en-US"/>
        </w:rPr>
      </w:pPr>
      <w:r w:rsidRPr="00E36010">
        <w:rPr>
          <w:lang w:val="en-US"/>
        </w:rPr>
        <w:t>Figure 6.15. Renewable-energy WACC deviation versus Baseline across green-finance scenarios (5-year average bar chart).</w:t>
      </w:r>
    </w:p>
    <w:p w14:paraId="66AD549E" w14:textId="77777777" w:rsidR="00050AF7" w:rsidRPr="00E36010" w:rsidRDefault="00000000">
      <w:pPr>
        <w:pStyle w:val="BodyText"/>
        <w:rPr>
          <w:lang w:val="en-US"/>
        </w:rPr>
      </w:pPr>
      <w:r w:rsidRPr="00E36010">
        <w:rPr>
          <w:lang w:val="en-US"/>
        </w:rPr>
        <w:t>Note: Bars report average deviations in renewable weighted average cost of capital (percentage p</w:t>
      </w:r>
      <w:r w:rsidRPr="00E36010">
        <w:rPr>
          <w:lang w:val="en-US"/>
        </w:rPr>
        <w:lastRenderedPageBreak/>
        <w:t>oints) from Baseline by 5-year block, summarizing the financial-channel intensity of each policy package.</w:t>
      </w:r>
    </w:p>
    <w:p w14:paraId="22941BCC" w14:textId="77777777" w:rsidR="00050AF7" w:rsidRPr="00E36010" w:rsidRDefault="00000000">
      <w:pPr>
        <w:pStyle w:val="BodyText"/>
        <w:rPr>
          <w:lang w:val="en-US"/>
        </w:rPr>
      </w:pPr>
      <w:r w:rsidRPr="00E36010">
        <w:rPr>
          <w:lang w:val="en-US"/>
        </w:rPr>
        <w:t xml:space="preserve">Source: Generated by </w:t>
      </w:r>
      <w:r w:rsidRPr="00E36010">
        <w:rPr>
          <w:rStyle w:val="VerbatimChar"/>
          <w:rFonts w:eastAsiaTheme="minorHAnsi"/>
          <w:lang w:val="en-US"/>
        </w:rPr>
        <w:t>scripts/reporting/GenerateFinanceSimulationResultsFigures.m</w:t>
      </w:r>
      <w:r w:rsidRPr="00E36010">
        <w:rPr>
          <w:lang w:val="en-US"/>
        </w:rPr>
        <w:t xml:space="preserve"> from scenario output CSV files in </w:t>
      </w:r>
      <w:r w:rsidRPr="00E36010">
        <w:rPr>
          <w:rStyle w:val="VerbatimChar"/>
          <w:rFonts w:eastAsiaTheme="minorHAnsi"/>
          <w:lang w:val="en-US"/>
        </w:rPr>
        <w:t>ExcelFiles/Output/</w:t>
      </w:r>
      <w:r w:rsidRPr="00E36010">
        <w:rPr>
          <w:lang w:val="en-US"/>
        </w:rPr>
        <w:t>.</w:t>
      </w:r>
    </w:p>
    <w:p w14:paraId="26FB3841" w14:textId="77777777" w:rsidR="00050AF7" w:rsidRDefault="00000000">
      <w:r>
        <w:pict w14:anchorId="2FE07D5D">
          <v:rect id="_x0000_i1471" style="width:0;height:1.5pt" o:hralign="center" o:hrstd="t" o:hr="t"/>
        </w:pict>
      </w:r>
    </w:p>
    <w:p w14:paraId="0EA9D29C" w14:textId="704AFF41" w:rsidR="00050AF7" w:rsidRPr="00E36010" w:rsidRDefault="00000000" w:rsidP="00247F97">
      <w:pPr>
        <w:pStyle w:val="Heading1"/>
        <w:rPr>
          <w:lang w:val="en-US"/>
        </w:rPr>
      </w:pPr>
      <w:bookmarkStart w:id="75" w:name="X917a9e9d69098b06ad33813d9c5b77af0bb3ff0"/>
      <w:bookmarkStart w:id="76" w:name="_Toc235867077"/>
      <w:bookmarkEnd w:id="61"/>
      <w:bookmarkEnd w:id="73"/>
      <w:r w:rsidRPr="00E36010">
        <w:rPr>
          <w:lang w:val="en-US"/>
        </w:rPr>
        <w:t>Limitations, Implementation Risks, and Interpretation Guidance</w:t>
      </w:r>
      <w:bookmarkEnd w:id="76"/>
    </w:p>
    <w:p w14:paraId="2401589B" w14:textId="77777777" w:rsidR="00050AF7" w:rsidRPr="00E36010" w:rsidRDefault="00000000">
      <w:pPr>
        <w:pStyle w:val="FirstParagraph"/>
        <w:rPr>
          <w:lang w:val="en-US"/>
        </w:rPr>
      </w:pPr>
      <w:r w:rsidRPr="00E36010">
        <w:rPr>
          <w:lang w:val="en-US"/>
        </w:rPr>
        <w:t>This section summarizes recurrent implementation risks and interpretation constraints that have caused incorrect results or wasted debugging time in practice. It should be treated as a pre-pub</w:t>
      </w:r>
      <w:r w:rsidRPr="00E36010">
        <w:rPr>
          <w:lang w:val="en-US"/>
        </w:rPr>
        <w:lastRenderedPageBreak/>
        <w:t>lication quality-control checklist.</w:t>
      </w:r>
    </w:p>
    <w:p w14:paraId="62B0F30B" w14:textId="77777777" w:rsidR="00050AF7" w:rsidRDefault="00000000">
      <w:pPr>
        <w:pStyle w:val="Compact"/>
        <w:numPr>
          <w:ilvl w:val="0"/>
          <w:numId w:val="6"/>
        </w:numPr>
      </w:pPr>
      <w:r w:rsidRPr="00E36010">
        <w:rPr>
          <w:rStyle w:val="VerbatimChar"/>
          <w:rFonts w:eastAsiaTheme="minorHAnsi"/>
          <w:b/>
          <w:bCs/>
          <w:lang w:val="en-US"/>
        </w:rPr>
        <w:t>fval_vec_11</w:t>
      </w:r>
      <w:r w:rsidRPr="00E36010">
        <w:rPr>
          <w:b/>
          <w:bCs/>
          <w:lang w:val="en-US"/>
        </w:rPr>
        <w:t xml:space="preserve"> is load-bearing.</w:t>
      </w:r>
      <w:r w:rsidRPr="00E36010">
        <w:rPr>
          <w:lang w:val="en-US"/>
        </w:rPr>
        <w:t xml:space="preserve"> Never remove it from </w:t>
      </w:r>
      <w:r w:rsidRPr="00E36010">
        <w:rPr>
          <w:rStyle w:val="VerbatimChar"/>
          <w:rFonts w:eastAsiaTheme="minorHAnsi"/>
          <w:lang w:val="en-US"/>
        </w:rPr>
        <w:t>evaluate_capital_steady_state_residuals.m</w:t>
      </w:r>
      <w:r w:rsidRPr="00E36010">
        <w:rPr>
          <w:lang w:val="en-US"/>
        </w:rPr>
        <w:t xml:space="preserve"> (§5.2). </w:t>
      </w:r>
      <w:r>
        <w:t>Deleting it makes the hybrid steady state underdetermined.</w:t>
      </w:r>
    </w:p>
    <w:p w14:paraId="3968EACD" w14:textId="77777777" w:rsidR="00050AF7" w:rsidRPr="00E36010" w:rsidRDefault="00000000">
      <w:pPr>
        <w:pStyle w:val="Compact"/>
        <w:numPr>
          <w:ilvl w:val="0"/>
          <w:numId w:val="6"/>
        </w:numPr>
        <w:rPr>
          <w:lang w:val="en-US"/>
        </w:rPr>
      </w:pPr>
      <w:r w:rsidRPr="00E36010">
        <w:rPr>
          <w:b/>
          <w:bCs/>
          <w:lang w:val="en-US"/>
        </w:rPr>
        <w:t>Energy-efficiency variable shape.</w:t>
      </w:r>
      <w:r w:rsidRPr="00E36010">
        <w:rPr>
          <w:lang w:val="en-US"/>
        </w:rPr>
        <w:t xml:space="preserve"> Two shapes exist in this codebase’s history — legacy regional </w:t>
      </w:r>
      <w:r w:rsidRPr="00E36010">
        <w:rPr>
          <w:rStyle w:val="VerbatimChar"/>
          <w:rFonts w:eastAsiaTheme="minorHAnsi"/>
          <w:lang w:val="en-US"/>
        </w:rPr>
        <w:t>EE_1</w:t>
      </w:r>
      <w:r w:rsidRPr="00E36010">
        <w:rPr>
          <w:lang w:val="en-US"/>
        </w:rPr>
        <w:t>/</w:t>
      </w:r>
      <w:r w:rsidRPr="00E36010">
        <w:rPr>
          <w:rStyle w:val="VerbatimChar"/>
          <w:rFonts w:eastAsiaTheme="minorHAnsi"/>
          <w:lang w:val="en-US"/>
        </w:rPr>
        <w:t>exo_EE_1</w:t>
      </w:r>
      <w:r w:rsidRPr="00E36010">
        <w:rPr>
          <w:lang w:val="en-US"/>
        </w:rPr>
        <w:t xml:space="preserve"> and a sector-specific refactor </w:t>
      </w:r>
      <w:r w:rsidRPr="00E36010">
        <w:rPr>
          <w:rStyle w:val="VerbatimChar"/>
          <w:rFonts w:eastAsiaTheme="minorHAnsi"/>
          <w:lang w:val="en-US"/>
        </w:rPr>
        <w:t>EE_sec_reg</w:t>
      </w:r>
      <w:r w:rsidRPr="00E36010">
        <w:rPr>
          <w:lang w:val="en-US"/>
        </w:rPr>
        <w:t>/</w:t>
      </w:r>
      <w:r w:rsidRPr="00E36010">
        <w:rPr>
          <w:rStyle w:val="VerbatimChar"/>
          <w:rFonts w:eastAsiaTheme="minorHAnsi"/>
          <w:lang w:val="en-US"/>
        </w:rPr>
        <w:t>exo_EE_sec_reg</w:t>
      </w:r>
      <w:r w:rsidRPr="00E36010">
        <w:rPr>
          <w:lang w:val="en-US"/>
        </w:rPr>
        <w:t xml:space="preserve">. As of this writing, </w:t>
      </w:r>
      <w:r w:rsidRPr="00E36010">
        <w:rPr>
          <w:b/>
          <w:bCs/>
          <w:lang w:val="en-US"/>
        </w:rPr>
        <w:t xml:space="preserve">only the legacy regional shape is declared in </w:t>
      </w:r>
      <w:r w:rsidRPr="00E36010">
        <w:rPr>
          <w:rStyle w:val="VerbatimChar"/>
          <w:rFonts w:eastAsiaTheme="minorHAnsi"/>
          <w:b/>
          <w:bCs/>
          <w:lang w:val="en-US"/>
        </w:rPr>
        <w:t>ModFiles/</w:t>
      </w:r>
      <w:r w:rsidRPr="00E36010">
        <w:rPr>
          <w:b/>
          <w:bCs/>
          <w:lang w:val="en-US"/>
        </w:rPr>
        <w:t>.</w:t>
      </w:r>
      <w:r w:rsidRPr="00E36010">
        <w:rPr>
          <w:lang w:val="en-US"/>
        </w:rPr>
        <w:t xml:space="preserve"> Confirm with </w:t>
      </w:r>
      <w:r w:rsidRPr="00E36010">
        <w:rPr>
          <w:rStyle w:val="VerbatimChar"/>
          <w:rFonts w:eastAsiaTheme="minorHAnsi"/>
          <w:lang w:val="en-US"/>
        </w:rPr>
        <w:t>git grep -n "EE_.*_1"</w:t>
      </w:r>
      <w:r w:rsidRPr="00E36010">
        <w:rPr>
          <w:lang w:val="en-US"/>
        </w:rPr>
        <w:t xml:space="preserve"> in </w:t>
      </w:r>
      <w:r w:rsidRPr="00E36010">
        <w:rPr>
          <w:rStyle w:val="VerbatimChar"/>
          <w:rFonts w:eastAsiaTheme="minorHAnsi"/>
          <w:lang w:val="en-US"/>
        </w:rPr>
        <w:t>ModFiles/</w:t>
      </w:r>
      <w:r w:rsidRPr="00E36010">
        <w:rPr>
          <w:lang w:val="en-US"/>
        </w:rPr>
        <w:t xml:space="preserve"> before writing code that assumes either shape.</w:t>
      </w:r>
    </w:p>
    <w:p w14:paraId="09049357" w14:textId="77777777" w:rsidR="00050AF7" w:rsidRDefault="00000000">
      <w:pPr>
        <w:pStyle w:val="Compact"/>
        <w:numPr>
          <w:ilvl w:val="0"/>
          <w:numId w:val="6"/>
        </w:numPr>
      </w:pPr>
      <w:r w:rsidRPr="00E36010">
        <w:rPr>
          <w:b/>
          <w:bCs/>
          <w:lang w:val="en-US"/>
        </w:rPr>
        <w:t>Perfect-foresight singularity under direct capital targeting.</w:t>
      </w:r>
      <w:r w:rsidRPr="00E36010">
        <w:rPr>
          <w:lang w:val="en-US"/>
        </w:rPr>
        <w:t xml:space="preserve"> Pinning total sector capital </w:t>
      </w:r>
      <w:r w:rsidRPr="00E36010">
        <w:rPr>
          <w:rStyle w:val="VerbatimChar"/>
          <w:rFonts w:eastAsiaTheme="minorHAnsi"/>
          <w:lang w:val="en-US"/>
        </w:rPr>
        <w:t>K_t</w:t>
      </w:r>
      <w:r w:rsidRPr="00E36010">
        <w:rPr>
          <w:lang w:val="en-US"/>
        </w:rPr>
        <w:t xml:space="preserve"> directly via a Dynare equation while the household Euler equation for </w:t>
      </w:r>
      <w:r w:rsidRPr="00E36010">
        <w:rPr>
          <w:rStyle w:val="VerbatimChar"/>
          <w:rFonts w:eastAsiaTheme="minorHAnsi"/>
          <w:lang w:val="en-US"/>
        </w:rPr>
        <w:t>I_(H,t)</w:t>
      </w:r>
      <w:r w:rsidRPr="00E36010">
        <w:rPr>
          <w:lang w:val="en-US"/>
        </w:rPr>
        <w:t xml:space="preserve"> remains active produces a rank-deficient Jacobian (the Euler equation loses its degree of freedom once </w:t>
      </w:r>
      <w:r w:rsidRPr="00E36010">
        <w:rPr>
          <w:rStyle w:val="VerbatimChar"/>
          <w:rFonts w:eastAsiaTheme="minorHAnsi"/>
          <w:lang w:val="en-US"/>
        </w:rPr>
        <w:t>K_t = K_(H,t)+K_(G,t)+K_(FDI,t)</w:t>
      </w:r>
      <w:r w:rsidRPr="00E36010">
        <w:rPr>
          <w:lang w:val="en-US"/>
        </w:rPr>
        <w:t xml:space="preserve"> is fixed and </w:t>
      </w:r>
      <w:r w:rsidRPr="00E36010">
        <w:rPr>
          <w:rStyle w:val="VerbatimChar"/>
          <w:rFonts w:eastAsiaTheme="minorHAnsi"/>
          <w:lang w:val="en-US"/>
        </w:rPr>
        <w:t>K_(G,t)</w:t>
      </w:r>
      <w:r w:rsidRPr="00E36010">
        <w:rPr>
          <w:lang w:val="en-US"/>
        </w:rPr>
        <w:t xml:space="preserve"> is predetermined). The working pattern is to pin the </w:t>
      </w:r>
      <w:r w:rsidRPr="00E36010">
        <w:rPr>
          <w:i/>
          <w:iCs/>
          <w:lang w:val="en-US"/>
        </w:rPr>
        <w:t>flow</w:t>
      </w:r>
      <w:r w:rsidRPr="00E36010">
        <w:rPr>
          <w:lang w:val="en-US"/>
        </w:rPr>
        <w:t xml:space="preserve"> (insert a wedge into the Euler equation via </w:t>
      </w:r>
      <w:r w:rsidRPr="00E36010">
        <w:rPr>
          <w:rStyle w:val="VerbatimChar"/>
          <w:rFonts w:eastAsiaTheme="minorHAnsi"/>
          <w:lang w:val="en-US"/>
        </w:rPr>
        <w:t>exo_lTargetInv</w:t>
      </w:r>
      <w:r w:rsidRPr="00E36010">
        <w:rPr>
          <w:lang w:val="en-US"/>
        </w:rPr>
        <w:t>/</w:t>
      </w:r>
      <w:r w:rsidRPr="00E36010">
        <w:rPr>
          <w:rStyle w:val="VerbatimChar"/>
          <w:rFonts w:eastAsiaTheme="minorHAnsi"/>
          <w:lang w:val="en-US"/>
        </w:rPr>
        <w:t>wedgeKE</w:t>
      </w:r>
      <w:r w:rsidRPr="00E36010">
        <w:rPr>
          <w:lang w:val="en-US"/>
        </w:rPr>
        <w:t xml:space="preserve">) and let the stock follow from the law of motion, not to pin the stock directly. </w:t>
      </w:r>
      <w:r>
        <w:t xml:space="preserve">See </w:t>
      </w:r>
      <w:hyperlink r:id="rId47">
        <w:r>
          <w:rPr>
            <w:rStyle w:val="Hyperlink"/>
          </w:rPr>
          <w:t>implementation_plans/capital_targeting_trial_and_error.md</w:t>
        </w:r>
      </w:hyperlink>
      <w:r>
        <w:t>.</w:t>
      </w:r>
    </w:p>
    <w:p w14:paraId="0F95346B" w14:textId="77777777" w:rsidR="00050AF7" w:rsidRPr="00E36010" w:rsidRDefault="00000000">
      <w:pPr>
        <w:pStyle w:val="Compact"/>
        <w:numPr>
          <w:ilvl w:val="0"/>
          <w:numId w:val="6"/>
        </w:numPr>
        <w:rPr>
          <w:lang w:val="en-US"/>
        </w:rPr>
      </w:pPr>
      <w:r w:rsidRPr="00E36010">
        <w:rPr>
          <w:b/>
          <w:bCs/>
          <w:lang w:val="en-US"/>
        </w:rPr>
        <w:t>Code defaults vs. active calibration can diverge by orders of magnitude</w:t>
      </w:r>
      <w:r w:rsidRPr="00E36010">
        <w:rPr>
          <w:lang w:val="en-US"/>
        </w:rPr>
        <w:t xml:space="preserve"> (§4.4) — always confirm the workbook actually loaded for a given run before citing a structural parameter value.</w:t>
      </w:r>
    </w:p>
    <w:p w14:paraId="6A08AF1B" w14:textId="77777777" w:rsidR="00050AF7" w:rsidRPr="00E36010" w:rsidRDefault="00000000">
      <w:pPr>
        <w:pStyle w:val="Compact"/>
        <w:numPr>
          <w:ilvl w:val="0"/>
          <w:numId w:val="6"/>
        </w:numPr>
        <w:rPr>
          <w:lang w:val="en-US"/>
        </w:rPr>
      </w:pPr>
      <w:r w:rsidRPr="00E36010">
        <w:rPr>
          <w:b/>
          <w:bCs/>
          <w:lang w:val="en-US"/>
        </w:rPr>
        <w:t>Generated code is not source.</w:t>
      </w:r>
      <w:r w:rsidRPr="00E36010">
        <w:rPr>
          <w:lang w:val="en-US"/>
        </w:rPr>
        <w:t xml:space="preserve"> </w:t>
      </w:r>
      <w:r w:rsidRPr="00E36010">
        <w:rPr>
          <w:rStyle w:val="VerbatimChar"/>
          <w:rFonts w:eastAsiaTheme="minorHAnsi"/>
          <w:lang w:val="en-US"/>
        </w:rPr>
        <w:t>+DGE_Model/</w:t>
      </w:r>
      <w:r w:rsidRPr="00E36010">
        <w:rPr>
          <w:lang w:val="en-US"/>
        </w:rPr>
        <w:t xml:space="preserve">, </w:t>
      </w:r>
      <w:r w:rsidRPr="00E36010">
        <w:rPr>
          <w:rStyle w:val="VerbatimChar"/>
          <w:rFonts w:eastAsiaTheme="minorHAnsi"/>
          <w:lang w:val="en-US"/>
        </w:rPr>
        <w:t>DGE_Model/</w:t>
      </w:r>
      <w:r w:rsidRPr="00E36010">
        <w:rPr>
          <w:lang w:val="en-US"/>
        </w:rPr>
        <w:t xml:space="preserve">, </w:t>
      </w:r>
      <w:r w:rsidRPr="00E36010">
        <w:rPr>
          <w:rStyle w:val="VerbatimChar"/>
          <w:rFonts w:eastAsiaTheme="minorHAnsi"/>
          <w:lang w:val="en-US"/>
        </w:rPr>
        <w:t>*_dynamic.m</w:t>
      </w:r>
      <w:r w:rsidRPr="00E36010">
        <w:rPr>
          <w:lang w:val="en-US"/>
        </w:rPr>
        <w:t xml:space="preserve">, </w:t>
      </w:r>
      <w:r w:rsidRPr="00E36010">
        <w:rPr>
          <w:rStyle w:val="VerbatimChar"/>
          <w:rFonts w:eastAsiaTheme="minorHAnsi"/>
          <w:lang w:val="en-US"/>
        </w:rPr>
        <w:t>*_static.m</w:t>
      </w:r>
      <w:r w:rsidRPr="00E36010">
        <w:rPr>
          <w:lang w:val="en-US"/>
        </w:rPr>
        <w:t xml:space="preserve"> are rebuilt by Dynare on every invocation. Never hand-edit them; the fix belongs in the </w:t>
      </w:r>
      <w:r w:rsidRPr="00E36010">
        <w:rPr>
          <w:rStyle w:val="VerbatimChar"/>
          <w:rFonts w:eastAsiaTheme="minorHAnsi"/>
          <w:lang w:val="en-US"/>
        </w:rPr>
        <w:t>.mod</w:t>
      </w:r>
      <w:r w:rsidRPr="00E36010">
        <w:rPr>
          <w:lang w:val="en-US"/>
        </w:rPr>
        <w:t xml:space="preserve"> source.</w:t>
      </w:r>
    </w:p>
    <w:p w14:paraId="3092A437" w14:textId="77777777" w:rsidR="00050AF7" w:rsidRPr="00E36010" w:rsidRDefault="00000000">
      <w:pPr>
        <w:pStyle w:val="Compact"/>
        <w:numPr>
          <w:ilvl w:val="0"/>
          <w:numId w:val="6"/>
        </w:numPr>
        <w:rPr>
          <w:lang w:val="en-US"/>
        </w:rPr>
      </w:pPr>
      <w:r w:rsidRPr="00E36010">
        <w:rPr>
          <w:b/>
          <w:bCs/>
          <w:lang w:val="en-US"/>
        </w:rPr>
        <w:t>What the model does not do</w:t>
      </w:r>
      <w:r w:rsidRPr="00E36010">
        <w:rPr>
          <w:lang w:val="en-US"/>
        </w:rPr>
        <w:t xml:space="preserve"> (§2.2): no plant-level dispatch, no endogenous technology learning curves, no sub-national regions, no explicit financial-instrument balance sheets.</w:t>
      </w:r>
    </w:p>
    <w:p w14:paraId="04B29D4A" w14:textId="77777777" w:rsidR="00050AF7" w:rsidRPr="00E36010" w:rsidRDefault="00000000">
      <w:pPr>
        <w:pStyle w:val="Compact"/>
        <w:numPr>
          <w:ilvl w:val="0"/>
          <w:numId w:val="6"/>
        </w:numPr>
        <w:rPr>
          <w:lang w:val="en-US"/>
        </w:rPr>
      </w:pPr>
      <w:r w:rsidRPr="00E36010">
        <w:rPr>
          <w:b/>
          <w:bCs/>
          <w:lang w:val="en-US"/>
        </w:rPr>
        <w:t xml:space="preserve">The exchange-rate variable </w:t>
      </w:r>
      <w:r w:rsidRPr="00E36010">
        <w:rPr>
          <w:rStyle w:val="VerbatimChar"/>
          <w:rFonts w:eastAsiaTheme="minorHAnsi"/>
          <w:b/>
          <w:bCs/>
          <w:lang w:val="en-US"/>
        </w:rPr>
        <w:t>s_reg</w:t>
      </w:r>
      <w:r w:rsidRPr="00E36010">
        <w:rPr>
          <w:b/>
          <w:bCs/>
          <w:lang w:val="en-US"/>
        </w:rPr>
        <w:t xml:space="preserve"> is a closure device, not a full UIP nominal exchange rate</w:t>
      </w:r>
      <w:r w:rsidRPr="00E36010">
        <w:rPr>
          <w:lang w:val="en-US"/>
        </w:rPr>
        <w:t xml:space="preserve"> (§3.7) — do not interpret its dynamics as a conventional exchange-rate block.</w:t>
      </w:r>
    </w:p>
    <w:p w14:paraId="5348C20D" w14:textId="77777777" w:rsidR="00050AF7" w:rsidRDefault="00000000">
      <w:r>
        <w:pict w14:anchorId="52362BA8">
          <v:rect id="_x0000_i1472" style="width:0;height:1.5pt" o:hralign="center" o:hrstd="t" o:hr="t"/>
        </w:pict>
      </w:r>
    </w:p>
    <w:p w14:paraId="29493FF8" w14:textId="1A9F1E8F" w:rsidR="00050AF7" w:rsidRDefault="00000000" w:rsidP="00247F97">
      <w:pPr>
        <w:pStyle w:val="Heading1"/>
      </w:pPr>
      <w:bookmarkStart w:id="77" w:name="conclusion"/>
      <w:bookmarkStart w:id="78" w:name="_Toc235867078"/>
      <w:bookmarkEnd w:id="75"/>
      <w:r>
        <w:t>Conclusion</w:t>
      </w:r>
      <w:bookmarkEnd w:id="78"/>
    </w:p>
    <w:p w14:paraId="7A27DF5D" w14:textId="1A1DC7C6" w:rsidR="00050AF7" w:rsidRDefault="00050AF7" w:rsidP="00247F97">
      <w:pPr>
        <w:pStyle w:val="Heading2"/>
        <w:numPr>
          <w:ilvl w:val="0"/>
          <w:numId w:val="0"/>
        </w:numPr>
        <w:ind w:left="576" w:hanging="576"/>
      </w:pPr>
      <w:bookmarkStart w:id="79" w:name="the"/>
      <w:bookmarkEnd w:id="77"/>
    </w:p>
    <w:p w14:paraId="66B0DD8E" w14:textId="77777777" w:rsidR="00050AF7" w:rsidRDefault="00000000">
      <w:pPr>
        <w:pStyle w:val="Heading2"/>
      </w:pPr>
      <w:bookmarkStart w:id="80" w:name="references"/>
      <w:bookmarkStart w:id="81" w:name="_Toc235867079"/>
      <w:bookmarkEnd w:id="79"/>
      <w:r>
        <w:t>References</w:t>
      </w:r>
      <w:bookmarkEnd w:id="81"/>
    </w:p>
    <w:p w14:paraId="2A308AA5" w14:textId="77777777" w:rsidR="00050AF7" w:rsidRPr="00E36010" w:rsidRDefault="00000000">
      <w:pPr>
        <w:pStyle w:val="Compact"/>
        <w:numPr>
          <w:ilvl w:val="0"/>
          <w:numId w:val="7"/>
        </w:numPr>
        <w:rPr>
          <w:lang w:val="en-US"/>
        </w:rPr>
      </w:pPr>
      <w:r w:rsidRPr="00E36010">
        <w:rPr>
          <w:lang w:val="en-US"/>
        </w:rPr>
        <w:t xml:space="preserve">CITATION.cff (this repository) — canonical citation for the model: Schult, C. (2026). </w:t>
      </w:r>
      <w:r w:rsidRPr="00E36010">
        <w:rPr>
          <w:i/>
          <w:iCs/>
          <w:lang w:val="en-US"/>
        </w:rPr>
        <w:t>DGE-METRIC: Dynamic General Equilibrium for Macroeconomic Energy Transition Incorporating Carbon Markets</w:t>
      </w:r>
      <w:r w:rsidRPr="00E36010">
        <w:rPr>
          <w:lang w:val="en-US"/>
        </w:rPr>
        <w:t>. Halle Institute for Economic Research (IWH). https://github.com/schultkr/DGE-METRIC</w:t>
      </w:r>
    </w:p>
    <w:p w14:paraId="2343B1A9" w14:textId="77777777" w:rsidR="00050AF7" w:rsidRPr="00E36010" w:rsidRDefault="00000000">
      <w:pPr>
        <w:pStyle w:val="Compact"/>
        <w:numPr>
          <w:ilvl w:val="0"/>
          <w:numId w:val="7"/>
        </w:numPr>
        <w:rPr>
          <w:lang w:val="en-US"/>
        </w:rPr>
      </w:pPr>
      <w:r w:rsidRPr="00E36010">
        <w:rPr>
          <w:lang w:val="en-US"/>
        </w:rPr>
        <w:t xml:space="preserve">Schult, C. et al. (2025). </w:t>
      </w:r>
      <w:r w:rsidRPr="00E36010">
        <w:rPr>
          <w:i/>
          <w:iCs/>
          <w:lang w:val="en-US"/>
        </w:rPr>
        <w:t>Investment Needs Assessment for Vietnam’s Energy Transition</w:t>
      </w:r>
      <w:r w:rsidRPr="00E36010">
        <w:rPr>
          <w:lang w:val="en-US"/>
        </w:rPr>
        <w:t>. IWH Policy Note. GIZ project “Support for Carbon Pricing and Green Finance in Vietnam.”</w:t>
      </w:r>
    </w:p>
    <w:p w14:paraId="77037270" w14:textId="77777777" w:rsidR="00050AF7" w:rsidRPr="00E36010" w:rsidRDefault="00000000">
      <w:pPr>
        <w:pStyle w:val="Compact"/>
        <w:numPr>
          <w:ilvl w:val="0"/>
          <w:numId w:val="7"/>
        </w:numPr>
        <w:rPr>
          <w:lang w:val="en-US"/>
        </w:rPr>
      </w:pPr>
      <w:r w:rsidRPr="00E36010">
        <w:rPr>
          <w:lang w:val="en-US"/>
        </w:rPr>
        <w:t xml:space="preserve">Schult, C. et al. (2025). </w:t>
      </w:r>
      <w:r w:rsidRPr="00E36010">
        <w:rPr>
          <w:i/>
          <w:iCs/>
          <w:lang w:val="en-US"/>
        </w:rPr>
        <w:t>Financial Assessment Report: Green Finance Instruments for Vietnam’s PDP8</w:t>
      </w:r>
      <w:r w:rsidRPr="00E36010">
        <w:rPr>
          <w:lang w:val="en-US"/>
        </w:rPr>
        <w:t>. IWH Policy Note. GIZ project “Support for Carbon Pricing and Green Finance in Vietnam.”</w:t>
      </w:r>
    </w:p>
    <w:p w14:paraId="5A4A2EEB" w14:textId="77777777" w:rsidR="00050AF7" w:rsidRDefault="00000000">
      <w:pPr>
        <w:pStyle w:val="Compact"/>
        <w:numPr>
          <w:ilvl w:val="0"/>
          <w:numId w:val="7"/>
        </w:numPr>
      </w:pPr>
      <w:r w:rsidRPr="00E36010">
        <w:rPr>
          <w:lang w:val="en-US"/>
        </w:rPr>
        <w:t xml:space="preserve">Vietnam Government, Decision 500/QD-TTg (2023). </w:t>
      </w:r>
      <w:r>
        <w:rPr>
          <w:i/>
          <w:iCs/>
        </w:rPr>
        <w:t>Pow</w:t>
      </w:r>
      <w:r>
        <w:rPr>
          <w:i/>
          <w:iCs/>
        </w:rPr>
        <w:lastRenderedPageBreak/>
        <w:t>er Development Plan 8 (PDP8)</w:t>
      </w:r>
      <w:r>
        <w:t>.</w:t>
      </w:r>
    </w:p>
    <w:p w14:paraId="6AF6CD80" w14:textId="77777777" w:rsidR="00050AF7" w:rsidRDefault="00000000">
      <w:pPr>
        <w:pStyle w:val="Compact"/>
        <w:numPr>
          <w:ilvl w:val="0"/>
          <w:numId w:val="7"/>
        </w:numPr>
      </w:pPr>
      <w:r w:rsidRPr="00E36010">
        <w:rPr>
          <w:lang w:val="en-US"/>
        </w:rPr>
        <w:t xml:space="preserve">General Statistics Office of Vietnam (NSO). </w:t>
      </w:r>
      <w:r>
        <w:rPr>
          <w:i/>
          <w:iCs/>
        </w:rPr>
        <w:t>Input-Output Table 2019</w:t>
      </w:r>
      <w:r>
        <w:t>.</w:t>
      </w:r>
    </w:p>
    <w:p w14:paraId="1936A96E" w14:textId="77777777" w:rsidR="00050AF7" w:rsidRDefault="00000000">
      <w:pPr>
        <w:pStyle w:val="Compact"/>
        <w:numPr>
          <w:ilvl w:val="0"/>
          <w:numId w:val="7"/>
        </w:numPr>
      </w:pPr>
      <w:r>
        <w:t xml:space="preserve">IEA. </w:t>
      </w:r>
      <w:r>
        <w:rPr>
          <w:i/>
          <w:iCs/>
        </w:rPr>
        <w:t>World Energy Outlook 2025</w:t>
      </w:r>
      <w:r>
        <w:t>.</w:t>
      </w:r>
    </w:p>
    <w:p w14:paraId="610E933C" w14:textId="77777777" w:rsidR="00050AF7" w:rsidRPr="00E36010" w:rsidRDefault="00000000">
      <w:pPr>
        <w:pStyle w:val="Compact"/>
        <w:numPr>
          <w:ilvl w:val="0"/>
          <w:numId w:val="7"/>
        </w:numPr>
        <w:rPr>
          <w:lang w:val="en-US"/>
        </w:rPr>
      </w:pPr>
      <w:r w:rsidRPr="00E36010">
        <w:rPr>
          <w:lang w:val="en-US"/>
        </w:rPr>
        <w:t xml:space="preserve">EDGAR (EU Joint Research Centre). </w:t>
      </w:r>
      <w:r w:rsidRPr="00E36010">
        <w:rPr>
          <w:i/>
          <w:iCs/>
          <w:lang w:val="en-US"/>
        </w:rPr>
        <w:t>Global GHG Emissions Database</w:t>
      </w:r>
      <w:r w:rsidRPr="00E36010">
        <w:rPr>
          <w:lang w:val="en-US"/>
        </w:rPr>
        <w:t>, 2024 release.</w:t>
      </w:r>
    </w:p>
    <w:p w14:paraId="0733606F" w14:textId="77777777" w:rsidR="00050AF7" w:rsidRPr="00E36010" w:rsidRDefault="00000000">
      <w:pPr>
        <w:pStyle w:val="Compact"/>
        <w:numPr>
          <w:ilvl w:val="0"/>
          <w:numId w:val="7"/>
        </w:numPr>
        <w:rPr>
          <w:lang w:val="en-US"/>
        </w:rPr>
      </w:pPr>
      <w:r w:rsidRPr="00E36010">
        <w:rPr>
          <w:lang w:val="en-US"/>
        </w:rPr>
        <w:t xml:space="preserve">EXIOBASE 3. </w:t>
      </w:r>
      <w:r w:rsidRPr="00E36010">
        <w:rPr>
          <w:i/>
          <w:iCs/>
          <w:lang w:val="en-US"/>
        </w:rPr>
        <w:t>Environmentally extended multi-region input-output database</w:t>
      </w:r>
      <w:r w:rsidRPr="00E36010">
        <w:rPr>
          <w:lang w:val="en-US"/>
        </w:rPr>
        <w:t>.</w:t>
      </w:r>
    </w:p>
    <w:p w14:paraId="59072A8F" w14:textId="77777777" w:rsidR="00050AF7" w:rsidRPr="00E36010" w:rsidRDefault="00000000">
      <w:pPr>
        <w:pStyle w:val="Compact"/>
        <w:numPr>
          <w:ilvl w:val="0"/>
          <w:numId w:val="7"/>
        </w:numPr>
        <w:rPr>
          <w:lang w:val="en-US"/>
        </w:rPr>
      </w:pPr>
      <w:r w:rsidRPr="00E36010">
        <w:rPr>
          <w:lang w:val="en-US"/>
        </w:rPr>
        <w:t xml:space="preserve">Schultz, T.W. (1961). “Investment in Human Capital.” </w:t>
      </w:r>
      <w:r w:rsidRPr="00E36010">
        <w:rPr>
          <w:i/>
          <w:iCs/>
          <w:lang w:val="en-US"/>
        </w:rPr>
        <w:t>American Economic Review</w:t>
      </w:r>
      <w:r w:rsidRPr="00E36010">
        <w:rPr>
          <w:lang w:val="en-US"/>
        </w:rPr>
        <w:t>; related labor-productivity treatment cross-referenced via NBER working paper 21381.</w:t>
      </w:r>
    </w:p>
    <w:p w14:paraId="02F89E8C" w14:textId="77777777" w:rsidR="00050AF7" w:rsidRPr="00E36010" w:rsidRDefault="00000000">
      <w:pPr>
        <w:pStyle w:val="Compact"/>
        <w:numPr>
          <w:ilvl w:val="0"/>
          <w:numId w:val="7"/>
        </w:numPr>
        <w:rPr>
          <w:lang w:val="en-US"/>
        </w:rPr>
      </w:pPr>
      <w:r w:rsidRPr="00E36010">
        <w:rPr>
          <w:lang w:val="en-US"/>
        </w:rPr>
        <w:t>Christiano, Motto, and Rostagno (2014); Leeper (2010); Kliem (2014); Drygalla et al. (2020) — reduced-form fiscal-policy modeling conventions followed in the government block (§3.5).</w:t>
      </w:r>
    </w:p>
    <w:p w14:paraId="16E7183C" w14:textId="77777777" w:rsidR="00050AF7" w:rsidRDefault="00000000">
      <w:r>
        <w:pict w14:anchorId="0335B037">
          <v:rect id="_x0000_i1473" style="width:0;height:1.5pt" o:hralign="center" o:hrstd="t" o:hr="t"/>
        </w:pict>
      </w:r>
    </w:p>
    <w:p w14:paraId="3A997231" w14:textId="7B34DA52" w:rsidR="00050AF7" w:rsidRPr="00470FB6" w:rsidRDefault="00470FB6" w:rsidP="00470FB6">
      <w:pPr>
        <w:pStyle w:val="Heading1"/>
        <w:numPr>
          <w:ilvl w:val="0"/>
          <w:numId w:val="0"/>
        </w:numPr>
        <w:ind w:left="432" w:hanging="432"/>
        <w:rPr>
          <w:lang w:val="en-US"/>
        </w:rPr>
      </w:pPr>
      <w:bookmarkStart w:id="82" w:name="a.-technical-appendix"/>
      <w:bookmarkStart w:id="83" w:name="_Toc235867080"/>
      <w:bookmarkEnd w:id="80"/>
      <w:r w:rsidRPr="00470FB6">
        <w:rPr>
          <w:lang w:val="en-US"/>
        </w:rPr>
        <w:t xml:space="preserve">A </w:t>
      </w:r>
      <w:r w:rsidR="00000000" w:rsidRPr="00470FB6">
        <w:rPr>
          <w:lang w:val="en-US"/>
        </w:rPr>
        <w:t>Technical Appendix</w:t>
      </w:r>
      <w:bookmarkEnd w:id="83"/>
    </w:p>
    <w:p w14:paraId="2BBE9BB7" w14:textId="77777777" w:rsidR="00050AF7" w:rsidRPr="00470FB6" w:rsidRDefault="00000000" w:rsidP="00470FB6">
      <w:pPr>
        <w:pStyle w:val="Heading2"/>
        <w:numPr>
          <w:ilvl w:val="0"/>
          <w:numId w:val="0"/>
        </w:numPr>
        <w:ind w:left="576" w:hanging="576"/>
        <w:rPr>
          <w:lang w:val="en-US"/>
        </w:rPr>
      </w:pPr>
      <w:bookmarkStart w:id="84" w:name="a.1-equation-reference"/>
      <w:bookmarkStart w:id="85" w:name="_Toc235867081"/>
      <w:r w:rsidRPr="00470FB6">
        <w:rPr>
          <w:lang w:val="en-US"/>
        </w:rPr>
        <w:t>A.1 Equation reference</w:t>
      </w:r>
      <w:bookmarkEnd w:id="85"/>
    </w:p>
    <w:p w14:paraId="4A68941F" w14:textId="77777777" w:rsidR="00050AF7" w:rsidRPr="00E36010" w:rsidRDefault="00000000">
      <w:pPr>
        <w:pStyle w:val="FirstParagraph"/>
        <w:rPr>
          <w:lang w:val="en-US"/>
        </w:rPr>
      </w:pPr>
      <w:r w:rsidRPr="00E36010">
        <w:rPr>
          <w:lang w:val="en-US"/>
        </w:rPr>
        <w:t xml:space="preserve">Full equation listings, by block, are maintained in </w:t>
      </w:r>
      <w:r w:rsidRPr="00E36010">
        <w:rPr>
          <w:rStyle w:val="VerbatimChar"/>
          <w:rFonts w:eastAsiaTheme="minorHAnsi"/>
          <w:lang w:val="en-US"/>
        </w:rPr>
        <w:t>ModFiles/Equations/*.mod</w:t>
      </w:r>
      <w:r w:rsidRPr="00E36010">
        <w:rPr>
          <w:lang w:val="en-US"/>
        </w:rPr>
        <w:t xml:space="preserve"> with a parallel human-readable mirror in </w:t>
      </w:r>
      <w:r w:rsidRPr="00E36010">
        <w:rPr>
          <w:rStyle w:val="VerbatimChar"/>
          <w:rFonts w:eastAsiaTheme="minorHAnsi"/>
          <w:lang w:val="en-US"/>
        </w:rPr>
        <w:t>ModFiles/Equations/Equations_display/</w:t>
      </w:r>
      <w:r w:rsidRPr="00E36010">
        <w:rPr>
          <w:lang w:val="en-US"/>
        </w:rPr>
        <w:t xml:space="preserve">. The primary equation-set narrative is in </w:t>
      </w:r>
      <w:hyperlink r:id="rId48">
        <w:r w:rsidRPr="00E36010">
          <w:rPr>
            <w:rStyle w:val="Hyperlink"/>
            <w:lang w:val="en-US"/>
          </w:rPr>
          <w:t>model.md</w:t>
        </w:r>
      </w:hyperlink>
      <w:r w:rsidRPr="00E36010">
        <w:rPr>
          <w:lang w:val="en-US"/>
        </w:rPr>
        <w:t>; this report’s §3 summarizes the theoretical structure without reproducing every first-order condition.</w:t>
      </w:r>
    </w:p>
    <w:p w14:paraId="29073E88" w14:textId="77777777" w:rsidR="00050AF7" w:rsidRDefault="00000000" w:rsidP="00470FB6">
      <w:pPr>
        <w:pStyle w:val="Heading2"/>
        <w:numPr>
          <w:ilvl w:val="0"/>
          <w:numId w:val="0"/>
        </w:numPr>
        <w:ind w:left="576" w:hanging="576"/>
      </w:pPr>
      <w:bookmarkStart w:id="86" w:name="a.2-parameter-reference"/>
      <w:bookmarkStart w:id="87" w:name="_Toc235867082"/>
      <w:bookmarkEnd w:id="84"/>
      <w:r>
        <w:t>A.2 Parameter reference</w:t>
      </w:r>
      <w:bookmarkEnd w:id="87"/>
    </w:p>
    <w:p w14:paraId="15F6B602" w14:textId="77777777" w:rsidR="00050AF7" w:rsidRPr="00E36010" w:rsidRDefault="00000000">
      <w:pPr>
        <w:pStyle w:val="FirstParagraph"/>
        <w:rPr>
          <w:lang w:val="en-US"/>
        </w:rPr>
      </w:pPr>
      <w:r w:rsidRPr="00E36010">
        <w:rPr>
          <w:lang w:val="en-US"/>
        </w:rPr>
        <w:t xml:space="preserve">The full parameter-by-parameter calibration source audit — including flags for stale or uncertain values — is maintained in </w:t>
      </w:r>
      <w:hyperlink r:id="rId49">
        <w:r w:rsidRPr="00E36010">
          <w:rPr>
            <w:rStyle w:val="Hyperlink"/>
            <w:lang w:val="en-US"/>
          </w:rPr>
          <w:t>structural_parameters_source_audit.md</w:t>
        </w:r>
      </w:hyperlink>
      <w:r w:rsidRPr="00E36010">
        <w:rPr>
          <w:lang w:val="en-US"/>
        </w:rPr>
        <w:t xml:space="preserve">. The code-default-vs-active-workbook override table is in </w:t>
      </w:r>
      <w:hyperlink r:id="rId50">
        <w:r w:rsidRPr="00E36010">
          <w:rPr>
            <w:rStyle w:val="Hyperlink"/>
            <w:lang w:val="en-US"/>
          </w:rPr>
          <w:t>calibration_model_detailed.md §12</w:t>
        </w:r>
      </w:hyperlink>
      <w:r w:rsidRPr="00E36010">
        <w:rPr>
          <w:lang w:val="en-US"/>
        </w:rPr>
        <w:t>.</w:t>
      </w:r>
    </w:p>
    <w:p w14:paraId="34B132F5" w14:textId="77777777" w:rsidR="00050AF7" w:rsidRDefault="00000000" w:rsidP="00470FB6">
      <w:pPr>
        <w:pStyle w:val="Heading2"/>
        <w:numPr>
          <w:ilvl w:val="0"/>
          <w:numId w:val="0"/>
        </w:numPr>
        <w:ind w:left="576" w:hanging="576"/>
      </w:pPr>
      <w:bookmarkStart w:id="88" w:name="a.3-repository-map"/>
      <w:bookmarkStart w:id="89" w:name="_Toc235867083"/>
      <w:bookmarkEnd w:id="86"/>
      <w:r>
        <w:t>A.3 Repository map</w:t>
      </w:r>
      <w:bookmarkEnd w:id="89"/>
    </w:p>
    <w:p w14:paraId="0CFCBEBE" w14:textId="77777777" w:rsidR="00050AF7" w:rsidRDefault="00000000">
      <w:pPr>
        <w:pStyle w:val="FirstParagraph"/>
      </w:pPr>
      <w:r>
        <w:rPr>
          <w:noProof/>
        </w:rPr>
        <w:drawing>
          <wp:inline distT="0" distB="0" distL="0" distR="0" wp14:anchorId="3DB5DBD6" wp14:editId="04BF80E2">
            <wp:extent cx="5334000" cy="2991275"/>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C:\Users\schul\Documents\GitHub\DGE-METRIC\.tmp\technical_report_build\tables\table-05.png"/>
                    <pic:cNvPicPr>
                      <a:picLocks noChangeAspect="1" noChangeArrowheads="1"/>
                    </pic:cNvPicPr>
                  </pic:nvPicPr>
                  <pic:blipFill>
                    <a:blip r:embed="rId51"/>
                    <a:stretch>
                      <a:fillRect/>
                    </a:stretch>
                  </pic:blipFill>
                  <pic:spPr bwMode="auto">
                    <a:xfrm>
                      <a:off x="0" y="0"/>
                      <a:ext cx="5334000" cy="2991275"/>
                    </a:xfrm>
                    <a:prstGeom prst="rect">
                      <a:avLst/>
                    </a:prstGeom>
                    <a:noFill/>
                    <a:ln w="9525">
                      <a:noFill/>
                      <a:headEnd/>
                      <a:tailEnd/>
                    </a:ln>
                  </pic:spPr>
                </pic:pic>
              </a:graphicData>
            </a:graphic>
          </wp:inline>
        </w:drawing>
      </w:r>
      <w:bookmarkEnd w:id="0"/>
      <w:bookmarkEnd w:id="82"/>
      <w:bookmarkEnd w:id="88"/>
    </w:p>
    <w:sectPr w:rsidR="00050A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randon Grotesque Bold">
    <w:altName w:val="Calibri"/>
    <w:panose1 w:val="00000000000000000000"/>
    <w:charset w:val="00"/>
    <w:family w:val="swiss"/>
    <w:notTrueType/>
    <w:pitch w:val="variable"/>
    <w:sig w:usb0="A00000AF" w:usb1="5000205B" w:usb2="00000000" w:usb3="00000000" w:csb0="0000009B" w:csb1="00000000"/>
  </w:font>
  <w:font w:name="Aptos Display">
    <w:charset w:val="00"/>
    <w:family w:val="swiss"/>
    <w:pitch w:val="variable"/>
    <w:sig w:usb0="20000287" w:usb1="00000003" w:usb2="00000000" w:usb3="00000000" w:csb0="0000019F" w:csb1="00000000"/>
  </w:font>
  <w:font w:name="Futura Bk BT">
    <w:altName w:val="Calibri"/>
    <w:charset w:val="00"/>
    <w:family w:val="swiss"/>
    <w:pitch w:val="variable"/>
    <w:sig w:usb0="00000087" w:usb1="00000000" w:usb2="00000000" w:usb3="00000000" w:csb0="0000001B" w:csb1="00000000"/>
  </w:font>
  <w:font w:name="Brandon Grotesque Medium">
    <w:altName w:val="Calibri"/>
    <w:panose1 w:val="00000000000000000000"/>
    <w:charset w:val="00"/>
    <w:family w:val="swiss"/>
    <w:notTrueType/>
    <w:pitch w:val="variable"/>
    <w:sig w:usb0="A00000AF" w:usb1="5000205B" w:usb2="00000000" w:usb3="00000000" w:csb0="0000009B"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Brandon Grotesque Regular">
    <w:altName w:val="Calibri"/>
    <w:panose1 w:val="00000000000000000000"/>
    <w:charset w:val="00"/>
    <w:family w:val="swiss"/>
    <w:notTrueType/>
    <w:pitch w:val="variable"/>
    <w:sig w:usb0="A00000AF" w:usb1="5000205B" w:usb2="00000000" w:usb3="00000000" w:csb0="0000009B"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Futura Hv BT">
    <w:altName w:val="Calibri"/>
    <w:charset w:val="00"/>
    <w:family w:val="swiss"/>
    <w:pitch w:val="variable"/>
    <w:sig w:usb0="00000087" w:usb1="00000000" w:usb2="00000000" w:usb3="00000000" w:csb0="0000001B" w:csb1="00000000"/>
  </w:font>
  <w:font w:name="Futura Lt BT">
    <w:altName w:val="Calibri"/>
    <w:charset w:val="00"/>
    <w:family w:val="swiss"/>
    <w:pitch w:val="variable"/>
    <w:sig w:usb0="00000087" w:usb1="00000000" w:usb2="00000000" w:usb3="00000000" w:csb0="0000001B" w:csb1="00000000"/>
  </w:font>
  <w:font w:name="Segoe UI Black">
    <w:panose1 w:val="020B0A02040204020203"/>
    <w:charset w:val="00"/>
    <w:family w:val="swiss"/>
    <w:pitch w:val="variable"/>
    <w:sig w:usb0="E00002FF" w:usb1="4000E47F" w:usb2="00000021" w:usb3="00000000" w:csb0="0000019F" w:csb1="00000000"/>
  </w:font>
  <w:font w:name="Futura St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30pt;visibility:visible" o:bullet="t">
        <v:imagedata r:id="rId1" o:title=""/>
      </v:shape>
    </w:pict>
  </w:numPicBullet>
  <w:abstractNum w:abstractNumId="0" w15:restartNumberingAfterBreak="0">
    <w:nsid w:val="0000A991"/>
    <w:multiLevelType w:val="multilevel"/>
    <w:tmpl w:val="2772A4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6E0BC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8FF53E8"/>
    <w:multiLevelType w:val="hybridMultilevel"/>
    <w:tmpl w:val="A860FA06"/>
    <w:lvl w:ilvl="0" w:tplc="3DE0148C">
      <w:start w:val="1"/>
      <w:numFmt w:val="bullet"/>
      <w:pStyle w:val="Title"/>
      <w:lvlText w:val=""/>
      <w:lvlPicBulletId w:val="0"/>
      <w:lvlJc w:val="left"/>
      <w:pPr>
        <w:ind w:left="717" w:hanging="360"/>
      </w:pPr>
      <w:rPr>
        <w:rFonts w:ascii="Symbol" w:hAnsi="Symbol" w:hint="default"/>
        <w:color w:val="auto"/>
        <w:sz w:val="44"/>
        <w:u w:color="156082"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646105E"/>
    <w:multiLevelType w:val="multilevel"/>
    <w:tmpl w:val="78AA6C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47341588">
    <w:abstractNumId w:val="0"/>
  </w:num>
  <w:num w:numId="2" w16cid:durableId="1956718633">
    <w:abstractNumId w:val="0"/>
  </w:num>
  <w:num w:numId="3" w16cid:durableId="1713459903">
    <w:abstractNumId w:val="0"/>
  </w:num>
  <w:num w:numId="4" w16cid:durableId="1400513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68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2823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1415794">
    <w:abstractNumId w:val="0"/>
  </w:num>
  <w:num w:numId="8" w16cid:durableId="165099477">
    <w:abstractNumId w:val="2"/>
  </w:num>
  <w:num w:numId="9" w16cid:durableId="1894462786">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50AF7"/>
    <w:rsid w:val="00050AF7"/>
    <w:rsid w:val="00247F97"/>
    <w:rsid w:val="00470FB6"/>
    <w:rsid w:val="004E3A86"/>
    <w:rsid w:val="007F1682"/>
    <w:rsid w:val="00B708C2"/>
    <w:rsid w:val="00E36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2EAA"/>
  <w15:docId w15:val="{9601BE1B-3F5A-4076-933A-1FF59628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index 5" w:uiPriority="99"/>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35" w:qFormat="1"/>
    <w:lsdException w:name="table of figures" w:uiPriority="99"/>
    <w:lsdException w:name="footnote reference" w:uiPriority="99"/>
    <w:lsdException w:name="annotation reference" w:uiPriority="99"/>
    <w:lsdException w:name="page number" w:uiPriority="99"/>
    <w:lsdException w:name="endnote reference" w:uiPriority="99"/>
    <w:lsdException w:name="endnote text" w:uiPriority="99"/>
    <w:lsdException w:name="Body Text" w:uiPriority="99"/>
    <w:lsdException w:name="Hyperlink" w:uiPriority="99"/>
    <w:lsdException w:name="FollowedHyperlink" w:uiPriority="99"/>
    <w:lsdException w:name="Strong" w:uiPriority="22"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63"/>
    <w:lsdException w:name="Medium Shading 2 Accent 1"/>
    <w:lsdException w:name="Medium List 1 Accent 1"/>
    <w:lsdException w:name="Revision"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uiPriority="63"/>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uiPriority="37"/>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6010"/>
    <w:pPr>
      <w:spacing w:line="276" w:lineRule="auto"/>
    </w:pPr>
    <w:rPr>
      <w:rFonts w:eastAsiaTheme="minorHAnsi"/>
      <w:sz w:val="22"/>
      <w:szCs w:val="22"/>
      <w:lang w:val="de-DE" w:eastAsia="en-US"/>
    </w:rPr>
  </w:style>
  <w:style w:type="paragraph" w:styleId="Heading1">
    <w:name w:val="heading 1"/>
    <w:basedOn w:val="Normal"/>
    <w:next w:val="Normal"/>
    <w:link w:val="Heading1Char"/>
    <w:autoRedefine/>
    <w:uiPriority w:val="9"/>
    <w:rsid w:val="00E36010"/>
    <w:pPr>
      <w:keepNext/>
      <w:keepLines/>
      <w:numPr>
        <w:numId w:val="9"/>
      </w:numPr>
      <w:spacing w:before="120" w:after="320" w:line="320" w:lineRule="atLeast"/>
      <w:jc w:val="both"/>
      <w:outlineLvl w:val="0"/>
    </w:pPr>
    <w:rPr>
      <w:rFonts w:ascii="Brandon Grotesque Bold" w:eastAsiaTheme="majorEastAsia" w:hAnsi="Brandon Grotesque Bold" w:cstheme="majorBidi"/>
      <w:bCs/>
      <w:color w:val="242B84"/>
      <w:sz w:val="26"/>
      <w:szCs w:val="28"/>
    </w:rPr>
  </w:style>
  <w:style w:type="paragraph" w:styleId="Heading2">
    <w:name w:val="heading 2"/>
    <w:basedOn w:val="Normal"/>
    <w:next w:val="Normal"/>
    <w:link w:val="Heading2Char"/>
    <w:uiPriority w:val="9"/>
    <w:unhideWhenUsed/>
    <w:qFormat/>
    <w:rsid w:val="00E36010"/>
    <w:pPr>
      <w:keepNext/>
      <w:keepLines/>
      <w:numPr>
        <w:ilvl w:val="1"/>
        <w:numId w:val="9"/>
      </w:numPr>
      <w:spacing w:before="320" w:after="0" w:line="320" w:lineRule="atLeast"/>
      <w:jc w:val="both"/>
      <w:outlineLvl w:val="1"/>
    </w:pPr>
    <w:rPr>
      <w:rFonts w:ascii="Brandon Grotesque Bold" w:eastAsiaTheme="majorEastAsia" w:hAnsi="Brandon Grotesque Bold" w:cstheme="majorBidi"/>
      <w:bCs/>
      <w:color w:val="5286D2"/>
      <w:sz w:val="24"/>
      <w:szCs w:val="26"/>
    </w:rPr>
  </w:style>
  <w:style w:type="paragraph" w:styleId="Heading3">
    <w:name w:val="heading 3"/>
    <w:basedOn w:val="Normal"/>
    <w:next w:val="Normal"/>
    <w:link w:val="Heading3Char"/>
    <w:uiPriority w:val="9"/>
    <w:unhideWhenUsed/>
    <w:qFormat/>
    <w:rsid w:val="00E36010"/>
    <w:pPr>
      <w:keepNext/>
      <w:keepLines/>
      <w:numPr>
        <w:ilvl w:val="2"/>
        <w:numId w:val="9"/>
      </w:numPr>
      <w:spacing w:before="240" w:after="0"/>
      <w:ind w:left="2160" w:hanging="180"/>
      <w:outlineLvl w:val="2"/>
    </w:pPr>
    <w:rPr>
      <w:rFonts w:asciiTheme="majorHAnsi" w:eastAsiaTheme="majorEastAsia" w:hAnsiTheme="majorHAnsi" w:cstheme="majorBidi"/>
      <w:b/>
      <w:bCs/>
      <w:color w:val="242B84"/>
    </w:rPr>
  </w:style>
  <w:style w:type="paragraph" w:styleId="Heading4">
    <w:name w:val="heading 4"/>
    <w:basedOn w:val="Normal"/>
    <w:next w:val="Normal"/>
    <w:link w:val="Heading4Char"/>
    <w:uiPriority w:val="9"/>
    <w:unhideWhenUsed/>
    <w:qFormat/>
    <w:rsid w:val="00E36010"/>
    <w:pPr>
      <w:keepNext/>
      <w:keepLines/>
      <w:numPr>
        <w:ilvl w:val="3"/>
        <w:numId w:val="9"/>
      </w:numPr>
      <w:spacing w:before="320" w:after="0" w:line="320" w:lineRule="exact"/>
      <w:ind w:left="2880" w:hanging="360"/>
      <w:outlineLvl w:val="3"/>
    </w:pPr>
    <w:rPr>
      <w:rFonts w:asciiTheme="majorHAnsi" w:eastAsiaTheme="majorEastAsia" w:hAnsiTheme="majorHAnsi" w:cstheme="majorBidi"/>
      <w:b/>
      <w:bCs/>
      <w:i/>
      <w:iCs/>
      <w:color w:val="242B84"/>
    </w:rPr>
  </w:style>
  <w:style w:type="paragraph" w:styleId="Heading5">
    <w:name w:val="heading 5"/>
    <w:basedOn w:val="Normal"/>
    <w:next w:val="Normal"/>
    <w:link w:val="Heading5Char"/>
    <w:uiPriority w:val="9"/>
    <w:unhideWhenUsed/>
    <w:qFormat/>
    <w:rsid w:val="00E36010"/>
    <w:pPr>
      <w:keepNext/>
      <w:keepLines/>
      <w:numPr>
        <w:ilvl w:val="4"/>
        <w:numId w:val="9"/>
      </w:numPr>
      <w:spacing w:before="200" w:after="0"/>
      <w:ind w:left="3600" w:hanging="360"/>
      <w:outlineLvl w:val="4"/>
    </w:pPr>
    <w:rPr>
      <w:rFonts w:asciiTheme="majorHAnsi" w:eastAsiaTheme="majorEastAsia" w:hAnsiTheme="majorHAnsi" w:cstheme="majorBidi"/>
      <w:i/>
      <w:color w:val="5286D2"/>
    </w:rPr>
  </w:style>
  <w:style w:type="paragraph" w:styleId="Heading6">
    <w:name w:val="heading 6"/>
    <w:basedOn w:val="Normal"/>
    <w:next w:val="Normal"/>
    <w:link w:val="Heading6Char"/>
    <w:uiPriority w:val="9"/>
    <w:semiHidden/>
    <w:unhideWhenUsed/>
    <w:qFormat/>
    <w:rsid w:val="00E36010"/>
    <w:pPr>
      <w:keepNext/>
      <w:keepLines/>
      <w:numPr>
        <w:ilvl w:val="5"/>
        <w:numId w:val="9"/>
      </w:numPr>
      <w:spacing w:before="200" w:after="0"/>
      <w:ind w:left="4320" w:hanging="18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E36010"/>
    <w:pPr>
      <w:keepNext/>
      <w:keepLines/>
      <w:numPr>
        <w:ilvl w:val="6"/>
        <w:numId w:val="9"/>
      </w:numPr>
      <w:spacing w:before="200" w:after="0"/>
      <w:ind w:left="5040" w:hanging="36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36010"/>
    <w:pPr>
      <w:keepNext/>
      <w:keepLines/>
      <w:numPr>
        <w:ilvl w:val="7"/>
        <w:numId w:val="9"/>
      </w:numPr>
      <w:spacing w:before="200" w:after="0"/>
      <w:ind w:left="5760" w:hanging="36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36010"/>
    <w:pPr>
      <w:keepNext/>
      <w:keepLines/>
      <w:numPr>
        <w:ilvl w:val="8"/>
        <w:numId w:val="9"/>
      </w:numPr>
      <w:spacing w:before="200" w:after="0"/>
      <w:ind w:left="6480" w:hanging="18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E360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6010"/>
  </w:style>
  <w:style w:type="paragraph" w:styleId="BodyText">
    <w:name w:val="Body Text"/>
    <w:basedOn w:val="Normal"/>
    <w:link w:val="BodyTextChar"/>
    <w:uiPriority w:val="99"/>
    <w:unhideWhenUsed/>
    <w:rsid w:val="00E36010"/>
    <w:pPr>
      <w:spacing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E36010"/>
    <w:pPr>
      <w:numPr>
        <w:numId w:val="8"/>
      </w:numPr>
      <w:spacing w:after="300" w:line="240" w:lineRule="auto"/>
      <w:ind w:left="0" w:hanging="709"/>
      <w:contextualSpacing/>
    </w:pPr>
    <w:rPr>
      <w:rFonts w:ascii="Futura Bk BT" w:eastAsiaTheme="majorEastAsia" w:hAnsi="Futura Bk BT" w:cstheme="majorBidi"/>
      <w:color w:val="242B84"/>
      <w:spacing w:val="5"/>
      <w:kern w:val="28"/>
      <w:sz w:val="44"/>
      <w:szCs w:val="52"/>
    </w:rPr>
  </w:style>
  <w:style w:type="character" w:customStyle="1" w:styleId="TitleChar">
    <w:name w:val="Title Char"/>
    <w:basedOn w:val="DefaultParagraphFont"/>
    <w:link w:val="Title"/>
    <w:uiPriority w:val="10"/>
    <w:rsid w:val="00E36010"/>
    <w:rPr>
      <w:rFonts w:ascii="Futura Bk BT" w:eastAsiaTheme="majorEastAsia" w:hAnsi="Futura Bk BT" w:cstheme="majorBidi"/>
      <w:color w:val="242B84"/>
      <w:spacing w:val="5"/>
      <w:kern w:val="28"/>
      <w:sz w:val="44"/>
      <w:szCs w:val="52"/>
      <w:lang w:val="de-DE" w:eastAsia="en-US"/>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Futura Bk BT" w:eastAsiaTheme="majorEastAsia" w:hAnsi="Futura Bk BT" w:cstheme="majorBidi"/>
      <w:color w:val="242B84"/>
      <w:spacing w:val="15"/>
      <w:kern w:val="28"/>
      <w:sz w:val="28"/>
      <w:szCs w:val="28"/>
      <w:lang w:val="de-DE" w:eastAsia="en-US"/>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Normal"/>
    <w:uiPriority w:val="37"/>
    <w:unhideWhenUsed/>
    <w:rsid w:val="00E36010"/>
  </w:style>
  <w:style w:type="character" w:customStyle="1" w:styleId="Heading1Char">
    <w:name w:val="Heading 1 Char"/>
    <w:basedOn w:val="DefaultParagraphFont"/>
    <w:link w:val="Heading1"/>
    <w:uiPriority w:val="9"/>
    <w:rsid w:val="00E36010"/>
    <w:rPr>
      <w:rFonts w:ascii="Brandon Grotesque Bold" w:eastAsiaTheme="majorEastAsia" w:hAnsi="Brandon Grotesque Bold" w:cstheme="majorBidi"/>
      <w:bCs/>
      <w:color w:val="242B84"/>
      <w:sz w:val="26"/>
      <w:szCs w:val="28"/>
      <w:lang w:val="de-DE" w:eastAsia="en-US"/>
    </w:rPr>
  </w:style>
  <w:style w:type="character" w:customStyle="1" w:styleId="Heading2Char">
    <w:name w:val="Heading 2 Char"/>
    <w:basedOn w:val="DefaultParagraphFont"/>
    <w:link w:val="Heading2"/>
    <w:uiPriority w:val="9"/>
    <w:rsid w:val="00E36010"/>
    <w:rPr>
      <w:rFonts w:ascii="Brandon Grotesque Bold" w:eastAsiaTheme="majorEastAsia" w:hAnsi="Brandon Grotesque Bold" w:cstheme="majorBidi"/>
      <w:bCs/>
      <w:color w:val="5286D2"/>
      <w:szCs w:val="26"/>
      <w:lang w:val="de-DE" w:eastAsia="en-US"/>
    </w:rPr>
  </w:style>
  <w:style w:type="character" w:customStyle="1" w:styleId="Heading3Char">
    <w:name w:val="Heading 3 Char"/>
    <w:basedOn w:val="DefaultParagraphFont"/>
    <w:link w:val="Heading3"/>
    <w:uiPriority w:val="9"/>
    <w:rsid w:val="00E36010"/>
    <w:rPr>
      <w:rFonts w:asciiTheme="majorHAnsi" w:eastAsiaTheme="majorEastAsia" w:hAnsiTheme="majorHAnsi" w:cstheme="majorBidi"/>
      <w:b/>
      <w:bCs/>
      <w:color w:val="242B84"/>
      <w:sz w:val="22"/>
      <w:szCs w:val="22"/>
      <w:lang w:val="de-DE" w:eastAsia="en-US"/>
    </w:rPr>
  </w:style>
  <w:style w:type="character" w:customStyle="1" w:styleId="Heading4Char">
    <w:name w:val="Heading 4 Char"/>
    <w:basedOn w:val="DefaultParagraphFont"/>
    <w:link w:val="Heading4"/>
    <w:uiPriority w:val="9"/>
    <w:rsid w:val="00E36010"/>
    <w:rPr>
      <w:rFonts w:asciiTheme="majorHAnsi" w:eastAsiaTheme="majorEastAsia" w:hAnsiTheme="majorHAnsi" w:cstheme="majorBidi"/>
      <w:b/>
      <w:bCs/>
      <w:i/>
      <w:iCs/>
      <w:color w:val="242B84"/>
      <w:sz w:val="22"/>
      <w:szCs w:val="22"/>
      <w:lang w:val="de-DE" w:eastAsia="en-US"/>
    </w:rPr>
  </w:style>
  <w:style w:type="character" w:customStyle="1" w:styleId="Heading5Char">
    <w:name w:val="Heading 5 Char"/>
    <w:basedOn w:val="DefaultParagraphFont"/>
    <w:link w:val="Heading5"/>
    <w:uiPriority w:val="9"/>
    <w:rsid w:val="00E36010"/>
    <w:rPr>
      <w:rFonts w:asciiTheme="majorHAnsi" w:eastAsiaTheme="majorEastAsia" w:hAnsiTheme="majorHAnsi" w:cstheme="majorBidi"/>
      <w:i/>
      <w:color w:val="5286D2"/>
      <w:sz w:val="22"/>
      <w:szCs w:val="22"/>
      <w:lang w:val="de-DE" w:eastAsia="en-US"/>
    </w:rPr>
  </w:style>
  <w:style w:type="character" w:customStyle="1" w:styleId="Heading6Char">
    <w:name w:val="Heading 6 Char"/>
    <w:basedOn w:val="DefaultParagraphFont"/>
    <w:link w:val="Heading6"/>
    <w:uiPriority w:val="9"/>
    <w:semiHidden/>
    <w:rsid w:val="00E36010"/>
    <w:rPr>
      <w:rFonts w:asciiTheme="majorHAnsi" w:eastAsiaTheme="majorEastAsia" w:hAnsiTheme="majorHAnsi" w:cstheme="majorBidi"/>
      <w:i/>
      <w:iCs/>
      <w:color w:val="0A2F40" w:themeColor="accent1" w:themeShade="7F"/>
      <w:sz w:val="22"/>
      <w:szCs w:val="22"/>
      <w:lang w:val="de-DE" w:eastAsia="en-US"/>
    </w:rPr>
  </w:style>
  <w:style w:type="character" w:customStyle="1" w:styleId="Heading7Char">
    <w:name w:val="Heading 7 Char"/>
    <w:basedOn w:val="DefaultParagraphFont"/>
    <w:link w:val="Heading7"/>
    <w:uiPriority w:val="9"/>
    <w:semiHidden/>
    <w:rsid w:val="00E36010"/>
    <w:rPr>
      <w:rFonts w:asciiTheme="majorHAnsi" w:eastAsiaTheme="majorEastAsia" w:hAnsiTheme="majorHAnsi" w:cstheme="majorBidi"/>
      <w:i/>
      <w:iCs/>
      <w:color w:val="404040" w:themeColor="text1" w:themeTint="BF"/>
      <w:sz w:val="22"/>
      <w:szCs w:val="22"/>
      <w:lang w:val="de-DE" w:eastAsia="en-US"/>
    </w:rPr>
  </w:style>
  <w:style w:type="character" w:customStyle="1" w:styleId="Heading8Char">
    <w:name w:val="Heading 8 Char"/>
    <w:basedOn w:val="DefaultParagraphFont"/>
    <w:link w:val="Heading8"/>
    <w:uiPriority w:val="9"/>
    <w:semiHidden/>
    <w:rsid w:val="00E36010"/>
    <w:rPr>
      <w:rFonts w:asciiTheme="majorHAnsi" w:eastAsiaTheme="majorEastAsia" w:hAnsiTheme="majorHAnsi" w:cstheme="majorBidi"/>
      <w:color w:val="404040" w:themeColor="text1" w:themeTint="BF"/>
      <w:sz w:val="20"/>
      <w:szCs w:val="20"/>
      <w:lang w:val="de-DE" w:eastAsia="en-US"/>
    </w:rPr>
  </w:style>
  <w:style w:type="character" w:customStyle="1" w:styleId="Heading9Char">
    <w:name w:val="Heading 9 Char"/>
    <w:basedOn w:val="DefaultParagraphFont"/>
    <w:link w:val="Heading9"/>
    <w:uiPriority w:val="9"/>
    <w:semiHidden/>
    <w:rsid w:val="00E36010"/>
    <w:rPr>
      <w:rFonts w:asciiTheme="majorHAnsi" w:eastAsiaTheme="majorEastAsia" w:hAnsiTheme="majorHAnsi" w:cstheme="majorBidi"/>
      <w:i/>
      <w:iCs/>
      <w:color w:val="404040" w:themeColor="text1" w:themeTint="BF"/>
      <w:sz w:val="20"/>
      <w:szCs w:val="20"/>
      <w:lang w:val="de-DE" w:eastAsia="en-US"/>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aliases w:val="IVSGV 6,-E Fußnotentext,Fußnotentext Ursprung,Fußnotentext Char1,Fußnotentext Char Char,Fußnotentext Char1 Char Char,Fußnotentext Char Char Char Char,Fußnotentext Char1 Char Char Char Char,Fußnotentext Char Char Char Char Char Char,fn"/>
    <w:basedOn w:val="Normal"/>
    <w:link w:val="FootnoteTextChar"/>
    <w:uiPriority w:val="99"/>
    <w:qFormat/>
    <w:rsid w:val="00E36010"/>
    <w:pPr>
      <w:tabs>
        <w:tab w:val="left" w:pos="454"/>
      </w:tabs>
      <w:spacing w:after="0" w:line="240" w:lineRule="auto"/>
      <w:ind w:left="454" w:hanging="454"/>
    </w:pPr>
    <w:rPr>
      <w:sz w:val="20"/>
      <w:szCs w:val="20"/>
    </w:rPr>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aliases w:val="Beschriftung_tab,tab_überschrift Char,tab_überschrift,Tab_Überschrift,Table legend"/>
    <w:basedOn w:val="AbbTab-Nummerierung"/>
    <w:next w:val="Normal"/>
    <w:link w:val="CaptionChar"/>
    <w:autoRedefine/>
    <w:uiPriority w:val="35"/>
    <w:unhideWhenUsed/>
    <w:qFormat/>
    <w:rsid w:val="00E36010"/>
    <w:pPr>
      <w:spacing w:after="120"/>
      <w:jc w:val="both"/>
    </w:pPr>
    <w:rPr>
      <w:lang w:val="en-US"/>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aliases w:val="Beschriftung_tab Char,tab_überschrift Char Char,tab_überschrift Char1,Tab_Überschrift Char,Table legend Char"/>
    <w:link w:val="Caption"/>
    <w:uiPriority w:val="35"/>
    <w:rsid w:val="00E36010"/>
    <w:rPr>
      <w:rFonts w:ascii="Brandon Grotesque Medium" w:eastAsia="Times New Roman" w:hAnsi="Brandon Grotesque Medium" w:cs="Times New Roman"/>
      <w:color w:val="242B84"/>
      <w:sz w:val="20"/>
      <w:szCs w:val="18"/>
      <w:lang w:eastAsia="de-DE"/>
    </w:rPr>
  </w:style>
  <w:style w:type="character" w:customStyle="1" w:styleId="VerbatimChar">
    <w:name w:val="Verbatim Char"/>
    <w:basedOn w:val="CaptionChar"/>
    <w:link w:val="SourceCode"/>
    <w:rPr>
      <w:rFonts w:ascii="Consolas" w:eastAsia="Times New Roman" w:hAnsi="Consolas" w:cs="Times New Roman"/>
      <w:color w:val="242B84"/>
      <w:sz w:val="22"/>
      <w:szCs w:val="18"/>
      <w:lang w:eastAsia="de-DE"/>
    </w:rPr>
  </w:style>
  <w:style w:type="character" w:customStyle="1" w:styleId="SectionNumber">
    <w:name w:val="Section Number"/>
    <w:basedOn w:val="CaptionChar"/>
    <w:rPr>
      <w:rFonts w:ascii="Brandon Grotesque Medium" w:eastAsia="Times New Roman" w:hAnsi="Brandon Grotesque Medium" w:cs="Times New Roman"/>
      <w:color w:val="242B84"/>
      <w:sz w:val="20"/>
      <w:szCs w:val="18"/>
      <w:lang w:eastAsia="de-DE"/>
    </w:rPr>
  </w:style>
  <w:style w:type="character" w:styleId="FootnoteReference">
    <w:name w:val="footnote reference"/>
    <w:aliases w:val="-E Fußnotenzeichen,(Diplomarbeit FZ),(Diplomarbeit FZ)1,(Diplomarbeit FZ)2,(Diplomarbeit FZ)3,(Diplomarbeit FZ)4,(Diplomarbeit FZ)5,(Diplomarbeit FZ)6,(Diplomarbeit FZ)7,(Diplomarbeit FZ)8,(Diplomarbeit FZ)9,-E Fuﬂnotenzeichen,number"/>
    <w:basedOn w:val="DefaultParagraphFont"/>
    <w:uiPriority w:val="99"/>
    <w:rsid w:val="00E36010"/>
    <w:rPr>
      <w:vertAlign w:val="superscript"/>
    </w:rPr>
  </w:style>
  <w:style w:type="character" w:styleId="Hyperlink">
    <w:name w:val="Hyperlink"/>
    <w:basedOn w:val="DefaultParagraphFont"/>
    <w:uiPriority w:val="99"/>
    <w:rsid w:val="00E36010"/>
    <w:rPr>
      <w:color w:val="5286D2"/>
    </w:rPr>
  </w:style>
  <w:style w:type="paragraph" w:styleId="TOCHeading">
    <w:name w:val="TOC Heading"/>
    <w:basedOn w:val="Heading1"/>
    <w:next w:val="Normal"/>
    <w:uiPriority w:val="39"/>
    <w:unhideWhenUsed/>
    <w:qFormat/>
    <w:rsid w:val="00E36010"/>
    <w:pPr>
      <w:numPr>
        <w:numId w:val="0"/>
      </w:numPr>
      <w:spacing w:before="240" w:after="0" w:line="259" w:lineRule="auto"/>
      <w:jc w:val="left"/>
      <w:outlineLvl w:val="9"/>
    </w:pPr>
    <w:rPr>
      <w:rFonts w:asciiTheme="majorHAnsi" w:hAnsiTheme="majorHAnsi"/>
      <w:bCs w:val="0"/>
      <w:color w:val="0F4761" w:themeColor="accent1" w:themeShade="BF"/>
      <w:sz w:val="32"/>
      <w:szCs w:val="32"/>
      <w:lang w:val="en-GB" w:eastAsia="en-GB"/>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Times New Roman" w:hAnsi="Consolas" w:cs="Times New Roman"/>
      <w:b/>
      <w:color w:val="007020"/>
      <w:sz w:val="22"/>
      <w:szCs w:val="18"/>
      <w:lang w:eastAsia="de-DE"/>
    </w:rPr>
  </w:style>
  <w:style w:type="character" w:customStyle="1" w:styleId="DataTypeTok">
    <w:name w:val="DataTypeTok"/>
    <w:basedOn w:val="VerbatimChar"/>
    <w:rPr>
      <w:rFonts w:ascii="Consolas" w:eastAsia="Times New Roman" w:hAnsi="Consolas" w:cs="Times New Roman"/>
      <w:color w:val="902000"/>
      <w:sz w:val="22"/>
      <w:szCs w:val="18"/>
      <w:lang w:eastAsia="de-DE"/>
    </w:rPr>
  </w:style>
  <w:style w:type="character" w:customStyle="1" w:styleId="DecValTok">
    <w:name w:val="DecValTok"/>
    <w:basedOn w:val="VerbatimChar"/>
    <w:rPr>
      <w:rFonts w:ascii="Consolas" w:eastAsia="Times New Roman" w:hAnsi="Consolas" w:cs="Times New Roman"/>
      <w:color w:val="40A070"/>
      <w:sz w:val="22"/>
      <w:szCs w:val="18"/>
      <w:lang w:eastAsia="de-DE"/>
    </w:rPr>
  </w:style>
  <w:style w:type="character" w:customStyle="1" w:styleId="BaseNTok">
    <w:name w:val="BaseNTok"/>
    <w:basedOn w:val="VerbatimChar"/>
    <w:rPr>
      <w:rFonts w:ascii="Consolas" w:eastAsia="Times New Roman" w:hAnsi="Consolas" w:cs="Times New Roman"/>
      <w:color w:val="40A070"/>
      <w:sz w:val="22"/>
      <w:szCs w:val="18"/>
      <w:lang w:eastAsia="de-DE"/>
    </w:rPr>
  </w:style>
  <w:style w:type="character" w:customStyle="1" w:styleId="FloatTok">
    <w:name w:val="FloatTok"/>
    <w:basedOn w:val="VerbatimChar"/>
    <w:rPr>
      <w:rFonts w:ascii="Consolas" w:eastAsia="Times New Roman" w:hAnsi="Consolas" w:cs="Times New Roman"/>
      <w:color w:val="40A070"/>
      <w:sz w:val="22"/>
      <w:szCs w:val="18"/>
      <w:lang w:eastAsia="de-DE"/>
    </w:rPr>
  </w:style>
  <w:style w:type="character" w:customStyle="1" w:styleId="ConstantTok">
    <w:name w:val="ConstantTok"/>
    <w:basedOn w:val="VerbatimChar"/>
    <w:rPr>
      <w:rFonts w:ascii="Consolas" w:eastAsia="Times New Roman" w:hAnsi="Consolas" w:cs="Times New Roman"/>
      <w:color w:val="880000"/>
      <w:sz w:val="22"/>
      <w:szCs w:val="18"/>
      <w:lang w:eastAsia="de-DE"/>
    </w:rPr>
  </w:style>
  <w:style w:type="character" w:customStyle="1" w:styleId="CharTok">
    <w:name w:val="CharTok"/>
    <w:basedOn w:val="VerbatimChar"/>
    <w:rPr>
      <w:rFonts w:ascii="Consolas" w:eastAsia="Times New Roman" w:hAnsi="Consolas" w:cs="Times New Roman"/>
      <w:color w:val="4070A0"/>
      <w:sz w:val="22"/>
      <w:szCs w:val="18"/>
      <w:lang w:eastAsia="de-DE"/>
    </w:rPr>
  </w:style>
  <w:style w:type="character" w:customStyle="1" w:styleId="SpecialCharTok">
    <w:name w:val="SpecialCharTok"/>
    <w:basedOn w:val="VerbatimChar"/>
    <w:rPr>
      <w:rFonts w:ascii="Consolas" w:eastAsia="Times New Roman" w:hAnsi="Consolas" w:cs="Times New Roman"/>
      <w:color w:val="4070A0"/>
      <w:sz w:val="22"/>
      <w:szCs w:val="18"/>
      <w:lang w:eastAsia="de-DE"/>
    </w:rPr>
  </w:style>
  <w:style w:type="character" w:customStyle="1" w:styleId="StringTok">
    <w:name w:val="StringTok"/>
    <w:basedOn w:val="VerbatimChar"/>
    <w:rPr>
      <w:rFonts w:ascii="Consolas" w:eastAsia="Times New Roman" w:hAnsi="Consolas" w:cs="Times New Roman"/>
      <w:color w:val="4070A0"/>
      <w:sz w:val="22"/>
      <w:szCs w:val="18"/>
      <w:lang w:eastAsia="de-DE"/>
    </w:rPr>
  </w:style>
  <w:style w:type="character" w:customStyle="1" w:styleId="VerbatimStringTok">
    <w:name w:val="VerbatimStringTok"/>
    <w:basedOn w:val="VerbatimChar"/>
    <w:rPr>
      <w:rFonts w:ascii="Consolas" w:eastAsia="Times New Roman" w:hAnsi="Consolas" w:cs="Times New Roman"/>
      <w:color w:val="4070A0"/>
      <w:sz w:val="22"/>
      <w:szCs w:val="18"/>
      <w:lang w:eastAsia="de-DE"/>
    </w:rPr>
  </w:style>
  <w:style w:type="character" w:customStyle="1" w:styleId="SpecialStringTok">
    <w:name w:val="SpecialStringTok"/>
    <w:basedOn w:val="VerbatimChar"/>
    <w:rPr>
      <w:rFonts w:ascii="Consolas" w:eastAsia="Times New Roman" w:hAnsi="Consolas" w:cs="Times New Roman"/>
      <w:color w:val="BB6688"/>
      <w:sz w:val="22"/>
      <w:szCs w:val="18"/>
      <w:lang w:eastAsia="de-DE"/>
    </w:rPr>
  </w:style>
  <w:style w:type="character" w:customStyle="1" w:styleId="ImportTok">
    <w:name w:val="ImportTok"/>
    <w:basedOn w:val="VerbatimChar"/>
    <w:rPr>
      <w:rFonts w:ascii="Consolas" w:eastAsia="Times New Roman" w:hAnsi="Consolas" w:cs="Times New Roman"/>
      <w:b/>
      <w:color w:val="008000"/>
      <w:sz w:val="22"/>
      <w:szCs w:val="18"/>
      <w:lang w:eastAsia="de-DE"/>
    </w:rPr>
  </w:style>
  <w:style w:type="character" w:customStyle="1" w:styleId="CommentTok">
    <w:name w:val="CommentTok"/>
    <w:basedOn w:val="VerbatimChar"/>
    <w:rPr>
      <w:rFonts w:ascii="Consolas" w:eastAsia="Times New Roman" w:hAnsi="Consolas" w:cs="Times New Roman"/>
      <w:i/>
      <w:color w:val="60A0B0"/>
      <w:sz w:val="22"/>
      <w:szCs w:val="18"/>
      <w:lang w:eastAsia="de-DE"/>
    </w:rPr>
  </w:style>
  <w:style w:type="character" w:customStyle="1" w:styleId="DocumentationTok">
    <w:name w:val="DocumentationTok"/>
    <w:basedOn w:val="VerbatimChar"/>
    <w:rPr>
      <w:rFonts w:ascii="Consolas" w:eastAsia="Times New Roman" w:hAnsi="Consolas" w:cs="Times New Roman"/>
      <w:i/>
      <w:color w:val="BA2121"/>
      <w:sz w:val="22"/>
      <w:szCs w:val="18"/>
      <w:lang w:eastAsia="de-DE"/>
    </w:rPr>
  </w:style>
  <w:style w:type="character" w:customStyle="1" w:styleId="AnnotationTok">
    <w:name w:val="AnnotationTok"/>
    <w:basedOn w:val="VerbatimChar"/>
    <w:rPr>
      <w:rFonts w:ascii="Consolas" w:eastAsia="Times New Roman" w:hAnsi="Consolas" w:cs="Times New Roman"/>
      <w:b/>
      <w:i/>
      <w:color w:val="60A0B0"/>
      <w:sz w:val="22"/>
      <w:szCs w:val="18"/>
      <w:lang w:eastAsia="de-DE"/>
    </w:rPr>
  </w:style>
  <w:style w:type="character" w:customStyle="1" w:styleId="CommentVarTok">
    <w:name w:val="CommentVarTok"/>
    <w:basedOn w:val="VerbatimChar"/>
    <w:rPr>
      <w:rFonts w:ascii="Consolas" w:eastAsia="Times New Roman" w:hAnsi="Consolas" w:cs="Times New Roman"/>
      <w:b/>
      <w:i/>
      <w:color w:val="60A0B0"/>
      <w:sz w:val="22"/>
      <w:szCs w:val="18"/>
      <w:lang w:eastAsia="de-DE"/>
    </w:rPr>
  </w:style>
  <w:style w:type="character" w:customStyle="1" w:styleId="OtherTok">
    <w:name w:val="OtherTok"/>
    <w:basedOn w:val="VerbatimChar"/>
    <w:rPr>
      <w:rFonts w:ascii="Consolas" w:eastAsia="Times New Roman" w:hAnsi="Consolas" w:cs="Times New Roman"/>
      <w:color w:val="007020"/>
      <w:sz w:val="22"/>
      <w:szCs w:val="18"/>
      <w:lang w:eastAsia="de-DE"/>
    </w:rPr>
  </w:style>
  <w:style w:type="character" w:customStyle="1" w:styleId="FunctionTok">
    <w:name w:val="FunctionTok"/>
    <w:basedOn w:val="VerbatimChar"/>
    <w:rPr>
      <w:rFonts w:ascii="Consolas" w:eastAsia="Times New Roman" w:hAnsi="Consolas" w:cs="Times New Roman"/>
      <w:color w:val="06287E"/>
      <w:sz w:val="22"/>
      <w:szCs w:val="18"/>
      <w:lang w:eastAsia="de-DE"/>
    </w:rPr>
  </w:style>
  <w:style w:type="character" w:customStyle="1" w:styleId="VariableTok">
    <w:name w:val="VariableTok"/>
    <w:basedOn w:val="VerbatimChar"/>
    <w:rPr>
      <w:rFonts w:ascii="Consolas" w:eastAsia="Times New Roman" w:hAnsi="Consolas" w:cs="Times New Roman"/>
      <w:color w:val="19177C"/>
      <w:sz w:val="22"/>
      <w:szCs w:val="18"/>
      <w:lang w:eastAsia="de-DE"/>
    </w:rPr>
  </w:style>
  <w:style w:type="character" w:customStyle="1" w:styleId="ControlFlowTok">
    <w:name w:val="ControlFlowTok"/>
    <w:basedOn w:val="VerbatimChar"/>
    <w:rPr>
      <w:rFonts w:ascii="Consolas" w:eastAsia="Times New Roman" w:hAnsi="Consolas" w:cs="Times New Roman"/>
      <w:b/>
      <w:color w:val="007020"/>
      <w:sz w:val="22"/>
      <w:szCs w:val="18"/>
      <w:lang w:eastAsia="de-DE"/>
    </w:rPr>
  </w:style>
  <w:style w:type="character" w:customStyle="1" w:styleId="OperatorTok">
    <w:name w:val="OperatorTok"/>
    <w:basedOn w:val="VerbatimChar"/>
    <w:rPr>
      <w:rFonts w:ascii="Consolas" w:eastAsia="Times New Roman" w:hAnsi="Consolas" w:cs="Times New Roman"/>
      <w:color w:val="666666"/>
      <w:sz w:val="22"/>
      <w:szCs w:val="18"/>
      <w:lang w:eastAsia="de-DE"/>
    </w:rPr>
  </w:style>
  <w:style w:type="character" w:customStyle="1" w:styleId="BuiltInTok">
    <w:name w:val="BuiltInTok"/>
    <w:basedOn w:val="VerbatimChar"/>
    <w:rPr>
      <w:rFonts w:ascii="Consolas" w:eastAsia="Times New Roman" w:hAnsi="Consolas" w:cs="Times New Roman"/>
      <w:color w:val="008000"/>
      <w:sz w:val="22"/>
      <w:szCs w:val="18"/>
      <w:lang w:eastAsia="de-DE"/>
    </w:rPr>
  </w:style>
  <w:style w:type="character" w:customStyle="1" w:styleId="ExtensionTok">
    <w:name w:val="ExtensionTok"/>
    <w:basedOn w:val="VerbatimChar"/>
    <w:rPr>
      <w:rFonts w:ascii="Consolas" w:eastAsia="Times New Roman" w:hAnsi="Consolas" w:cs="Times New Roman"/>
      <w:color w:val="242B84"/>
      <w:sz w:val="22"/>
      <w:szCs w:val="18"/>
      <w:lang w:eastAsia="de-DE"/>
    </w:rPr>
  </w:style>
  <w:style w:type="character" w:customStyle="1" w:styleId="PreprocessorTok">
    <w:name w:val="PreprocessorTok"/>
    <w:basedOn w:val="VerbatimChar"/>
    <w:rPr>
      <w:rFonts w:ascii="Consolas" w:eastAsia="Times New Roman" w:hAnsi="Consolas" w:cs="Times New Roman"/>
      <w:color w:val="BC7A00"/>
      <w:sz w:val="22"/>
      <w:szCs w:val="18"/>
      <w:lang w:eastAsia="de-DE"/>
    </w:rPr>
  </w:style>
  <w:style w:type="character" w:customStyle="1" w:styleId="AttributeTok">
    <w:name w:val="AttributeTok"/>
    <w:basedOn w:val="VerbatimChar"/>
    <w:rPr>
      <w:rFonts w:ascii="Consolas" w:eastAsia="Times New Roman" w:hAnsi="Consolas" w:cs="Times New Roman"/>
      <w:color w:val="7D9029"/>
      <w:sz w:val="22"/>
      <w:szCs w:val="18"/>
      <w:lang w:eastAsia="de-DE"/>
    </w:rPr>
  </w:style>
  <w:style w:type="character" w:customStyle="1" w:styleId="RegionMarkerTok">
    <w:name w:val="RegionMarkerTok"/>
    <w:basedOn w:val="VerbatimChar"/>
    <w:rPr>
      <w:rFonts w:ascii="Consolas" w:eastAsia="Times New Roman" w:hAnsi="Consolas" w:cs="Times New Roman"/>
      <w:color w:val="242B84"/>
      <w:sz w:val="22"/>
      <w:szCs w:val="18"/>
      <w:lang w:eastAsia="de-DE"/>
    </w:rPr>
  </w:style>
  <w:style w:type="character" w:customStyle="1" w:styleId="InformationTok">
    <w:name w:val="InformationTok"/>
    <w:basedOn w:val="VerbatimChar"/>
    <w:rPr>
      <w:rFonts w:ascii="Consolas" w:eastAsia="Times New Roman" w:hAnsi="Consolas" w:cs="Times New Roman"/>
      <w:b/>
      <w:i/>
      <w:color w:val="60A0B0"/>
      <w:sz w:val="22"/>
      <w:szCs w:val="18"/>
      <w:lang w:eastAsia="de-DE"/>
    </w:rPr>
  </w:style>
  <w:style w:type="character" w:customStyle="1" w:styleId="WarningTok">
    <w:name w:val="WarningTok"/>
    <w:basedOn w:val="VerbatimChar"/>
    <w:rPr>
      <w:rFonts w:ascii="Consolas" w:eastAsia="Times New Roman" w:hAnsi="Consolas" w:cs="Times New Roman"/>
      <w:b/>
      <w:i/>
      <w:color w:val="60A0B0"/>
      <w:sz w:val="22"/>
      <w:szCs w:val="18"/>
      <w:lang w:eastAsia="de-DE"/>
    </w:rPr>
  </w:style>
  <w:style w:type="character" w:customStyle="1" w:styleId="AlertTok">
    <w:name w:val="AlertTok"/>
    <w:basedOn w:val="VerbatimChar"/>
    <w:rPr>
      <w:rFonts w:ascii="Consolas" w:eastAsia="Times New Roman" w:hAnsi="Consolas" w:cs="Times New Roman"/>
      <w:b/>
      <w:color w:val="FF0000"/>
      <w:sz w:val="22"/>
      <w:szCs w:val="18"/>
      <w:lang w:eastAsia="de-DE"/>
    </w:rPr>
  </w:style>
  <w:style w:type="character" w:customStyle="1" w:styleId="ErrorTok">
    <w:name w:val="ErrorTok"/>
    <w:basedOn w:val="VerbatimChar"/>
    <w:rPr>
      <w:rFonts w:ascii="Consolas" w:eastAsia="Times New Roman" w:hAnsi="Consolas" w:cs="Times New Roman"/>
      <w:b/>
      <w:color w:val="FF0000"/>
      <w:sz w:val="22"/>
      <w:szCs w:val="18"/>
      <w:lang w:eastAsia="de-DE"/>
    </w:rPr>
  </w:style>
  <w:style w:type="character" w:customStyle="1" w:styleId="NormalTok">
    <w:name w:val="NormalTok"/>
    <w:basedOn w:val="VerbatimChar"/>
    <w:rPr>
      <w:rFonts w:ascii="Consolas" w:eastAsia="Times New Roman" w:hAnsi="Consolas" w:cs="Times New Roman"/>
      <w:color w:val="242B84"/>
      <w:sz w:val="22"/>
      <w:szCs w:val="18"/>
      <w:lang w:eastAsia="de-DE"/>
    </w:rPr>
  </w:style>
  <w:style w:type="paragraph" w:styleId="BalloonText">
    <w:name w:val="Balloon Text"/>
    <w:basedOn w:val="Normal"/>
    <w:link w:val="BalloonTextChar"/>
    <w:uiPriority w:val="99"/>
    <w:rsid w:val="00E360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36010"/>
    <w:rPr>
      <w:rFonts w:ascii="Tahoma" w:eastAsiaTheme="minorHAnsi" w:hAnsi="Tahoma" w:cs="Tahoma"/>
      <w:sz w:val="16"/>
      <w:szCs w:val="16"/>
      <w:lang w:val="de-DE" w:eastAsia="en-US"/>
    </w:rPr>
  </w:style>
  <w:style w:type="paragraph" w:styleId="Header">
    <w:name w:val="header"/>
    <w:basedOn w:val="Normal"/>
    <w:link w:val="HeaderChar"/>
    <w:uiPriority w:val="99"/>
    <w:rsid w:val="00E3601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36010"/>
    <w:rPr>
      <w:rFonts w:eastAsiaTheme="minorHAnsi"/>
      <w:sz w:val="22"/>
      <w:szCs w:val="22"/>
      <w:lang w:val="de-DE" w:eastAsia="en-US"/>
    </w:rPr>
  </w:style>
  <w:style w:type="paragraph" w:styleId="Footer">
    <w:name w:val="footer"/>
    <w:basedOn w:val="Normal"/>
    <w:link w:val="FooterChar"/>
    <w:uiPriority w:val="99"/>
    <w:rsid w:val="00E36010"/>
    <w:pPr>
      <w:tabs>
        <w:tab w:val="center" w:pos="4536"/>
        <w:tab w:val="right" w:pos="9072"/>
      </w:tabs>
      <w:spacing w:after="0" w:line="240" w:lineRule="auto"/>
    </w:pPr>
    <w:rPr>
      <w:rFonts w:ascii="Brandon Grotesque Regular" w:hAnsi="Brandon Grotesque Regular"/>
      <w:sz w:val="19"/>
    </w:rPr>
  </w:style>
  <w:style w:type="character" w:customStyle="1" w:styleId="FooterChar">
    <w:name w:val="Footer Char"/>
    <w:basedOn w:val="DefaultParagraphFont"/>
    <w:link w:val="Footer"/>
    <w:uiPriority w:val="99"/>
    <w:rsid w:val="00E36010"/>
    <w:rPr>
      <w:rFonts w:ascii="Brandon Grotesque Regular" w:eastAsiaTheme="minorHAnsi" w:hAnsi="Brandon Grotesque Regular"/>
      <w:sz w:val="19"/>
      <w:szCs w:val="22"/>
      <w:lang w:val="de-DE" w:eastAsia="en-US"/>
    </w:rPr>
  </w:style>
  <w:style w:type="character" w:customStyle="1" w:styleId="CharacterStyle1">
    <w:name w:val="Character Style 1"/>
    <w:uiPriority w:val="99"/>
    <w:semiHidden/>
    <w:rsid w:val="00E36010"/>
    <w:rPr>
      <w:rFonts w:ascii="Futura Bk BT" w:hAnsi="Futura Bk BT"/>
      <w:color w:val="242B84"/>
      <w:sz w:val="40"/>
    </w:rPr>
  </w:style>
  <w:style w:type="paragraph" w:customStyle="1" w:styleId="IWHFlietext">
    <w:name w:val="IWH Fließtext"/>
    <w:basedOn w:val="Normal"/>
    <w:link w:val="IWHFlietextZchn"/>
    <w:qFormat/>
    <w:rsid w:val="00E36010"/>
    <w:pPr>
      <w:spacing w:before="120" w:line="320" w:lineRule="exact"/>
      <w:jc w:val="both"/>
    </w:pPr>
    <w:rPr>
      <w:rFonts w:ascii="Cambria" w:eastAsiaTheme="minorEastAsia" w:hAnsi="Cambria" w:cs="Times New Roman"/>
      <w:szCs w:val="20"/>
      <w:lang w:eastAsia="de-DE"/>
    </w:rPr>
  </w:style>
  <w:style w:type="character" w:customStyle="1" w:styleId="IWHFlietextZchn">
    <w:name w:val="IWH Fließtext Zchn"/>
    <w:basedOn w:val="DefaultParagraphFont"/>
    <w:link w:val="IWHFlietext"/>
    <w:rsid w:val="00E36010"/>
    <w:rPr>
      <w:rFonts w:ascii="Cambria" w:hAnsi="Cambria" w:cs="Times New Roman"/>
      <w:sz w:val="22"/>
      <w:szCs w:val="20"/>
      <w:lang w:val="de-DE" w:eastAsia="de-DE"/>
    </w:rPr>
  </w:style>
  <w:style w:type="paragraph" w:customStyle="1" w:styleId="IWHZwischenberschrift">
    <w:name w:val="IWH Zwischenüberschrift"/>
    <w:basedOn w:val="IWHFlietext"/>
    <w:next w:val="IWHFlietext"/>
    <w:semiHidden/>
    <w:rsid w:val="00E36010"/>
    <w:pPr>
      <w:spacing w:after="0"/>
    </w:pPr>
    <w:rPr>
      <w:rFonts w:ascii="Futura Bk BT" w:hAnsi="Futura Bk BT"/>
      <w:color w:val="242B84"/>
    </w:rPr>
  </w:style>
  <w:style w:type="paragraph" w:customStyle="1" w:styleId="IWHFunotentext">
    <w:name w:val="IWH Fußnotentext"/>
    <w:basedOn w:val="FootnoteText"/>
    <w:next w:val="IWHFlietext"/>
    <w:qFormat/>
    <w:rsid w:val="00E36010"/>
    <w:pPr>
      <w:spacing w:after="60" w:line="200" w:lineRule="exact"/>
      <w:jc w:val="both"/>
    </w:pPr>
    <w:rPr>
      <w:rFonts w:eastAsiaTheme="minorEastAsia" w:cs="Times New Roman"/>
      <w:color w:val="454544"/>
      <w:sz w:val="16"/>
      <w:lang w:eastAsia="de-DE"/>
    </w:rPr>
  </w:style>
  <w:style w:type="character" w:customStyle="1" w:styleId="FootnoteTextChar">
    <w:name w:val="Footnote Text Char"/>
    <w:aliases w:val="IVSGV 6 Char,-E Fußnotentext Char,Fußnotentext Ursprung Char,Fußnotentext Char1 Char,Fußnotentext Char Char Char,Fußnotentext Char1 Char Char Char,Fußnotentext Char Char Char Char Char,Fußnotentext Char1 Char Char Char Char Char"/>
    <w:basedOn w:val="DefaultParagraphFont"/>
    <w:link w:val="FootnoteText"/>
    <w:uiPriority w:val="99"/>
    <w:rsid w:val="00E36010"/>
    <w:rPr>
      <w:rFonts w:eastAsiaTheme="minorHAnsi"/>
      <w:sz w:val="20"/>
      <w:szCs w:val="20"/>
      <w:lang w:val="de-DE" w:eastAsia="en-US"/>
    </w:rPr>
  </w:style>
  <w:style w:type="paragraph" w:customStyle="1" w:styleId="Style1">
    <w:name w:val="Style 1"/>
    <w:uiPriority w:val="99"/>
    <w:semiHidden/>
    <w:rsid w:val="00E36010"/>
    <w:pPr>
      <w:widowControl w:val="0"/>
      <w:autoSpaceDE w:val="0"/>
      <w:autoSpaceDN w:val="0"/>
      <w:adjustRightInd w:val="0"/>
      <w:spacing w:after="0"/>
    </w:pPr>
    <w:rPr>
      <w:rFonts w:ascii="Times New Roman" w:hAnsi="Times New Roman" w:cs="Times New Roman"/>
      <w:sz w:val="20"/>
      <w:szCs w:val="20"/>
      <w:lang w:val="de-DE" w:eastAsia="de-DE"/>
    </w:rPr>
  </w:style>
  <w:style w:type="table" w:styleId="TableGrid">
    <w:name w:val="Table Grid"/>
    <w:basedOn w:val="TableNormal"/>
    <w:uiPriority w:val="59"/>
    <w:rsid w:val="00E36010"/>
    <w:pPr>
      <w:spacing w:after="0"/>
    </w:pPr>
    <w:rPr>
      <w:rFonts w:ascii="Calibri" w:eastAsia="Times New Roman" w:hAnsi="Calibri" w:cs="Times New Roman"/>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36010"/>
  </w:style>
  <w:style w:type="paragraph" w:styleId="ListParagraph">
    <w:name w:val="List Paragraph"/>
    <w:basedOn w:val="Normal"/>
    <w:link w:val="ListParagraphChar"/>
    <w:uiPriority w:val="34"/>
    <w:qFormat/>
    <w:rsid w:val="00E36010"/>
    <w:pPr>
      <w:ind w:left="720"/>
      <w:contextualSpacing/>
    </w:pPr>
  </w:style>
  <w:style w:type="character" w:customStyle="1" w:styleId="ListParagraphChar">
    <w:name w:val="List Paragraph Char"/>
    <w:basedOn w:val="DefaultParagraphFont"/>
    <w:link w:val="ListParagraph"/>
    <w:uiPriority w:val="34"/>
    <w:rsid w:val="00E36010"/>
    <w:rPr>
      <w:rFonts w:eastAsiaTheme="minorHAnsi"/>
      <w:sz w:val="22"/>
      <w:szCs w:val="22"/>
      <w:lang w:val="de-DE" w:eastAsia="en-US"/>
    </w:rPr>
  </w:style>
  <w:style w:type="paragraph" w:customStyle="1" w:styleId="IWHZwischenberschrift2">
    <w:name w:val="IWH Zwischenüberschrift 2"/>
    <w:basedOn w:val="Normal"/>
    <w:semiHidden/>
    <w:rsid w:val="00E36010"/>
    <w:pPr>
      <w:tabs>
        <w:tab w:val="left" w:pos="1823"/>
        <w:tab w:val="left" w:pos="4254"/>
      </w:tabs>
      <w:autoSpaceDE w:val="0"/>
      <w:autoSpaceDN w:val="0"/>
      <w:adjustRightInd w:val="0"/>
      <w:spacing w:before="200" w:line="340" w:lineRule="atLeast"/>
      <w:textAlignment w:val="center"/>
    </w:pPr>
    <w:rPr>
      <w:rFonts w:ascii="Futura Bk BT" w:eastAsiaTheme="minorEastAsia" w:hAnsi="Futura Bk BT" w:cs="Times New Roman"/>
      <w:color w:val="5286D2"/>
      <w:sz w:val="24"/>
      <w:szCs w:val="24"/>
      <w:lang w:eastAsia="ja-JP"/>
    </w:rPr>
  </w:style>
  <w:style w:type="paragraph" w:customStyle="1" w:styleId="IWHFunote">
    <w:name w:val="IWH Fußnote"/>
    <w:basedOn w:val="IWHFlietext"/>
    <w:qFormat/>
    <w:rsid w:val="00E36010"/>
    <w:pPr>
      <w:tabs>
        <w:tab w:val="left" w:pos="454"/>
      </w:tabs>
      <w:autoSpaceDE w:val="0"/>
      <w:autoSpaceDN w:val="0"/>
      <w:adjustRightInd w:val="0"/>
      <w:spacing w:before="0" w:after="0" w:line="240" w:lineRule="auto"/>
      <w:ind w:left="454" w:hanging="454"/>
      <w:textAlignment w:val="center"/>
    </w:pPr>
    <w:rPr>
      <w:rFonts w:cs="Adobe Arabic"/>
      <w:color w:val="5F6972"/>
      <w:sz w:val="18"/>
      <w:szCs w:val="15"/>
      <w:lang w:eastAsia="ja-JP"/>
    </w:rPr>
  </w:style>
  <w:style w:type="paragraph" w:customStyle="1" w:styleId="IWHKasten1">
    <w:name w:val="IWH Kasten Ü1"/>
    <w:basedOn w:val="IWHFlietext"/>
    <w:next w:val="Normal"/>
    <w:qFormat/>
    <w:rsid w:val="00E36010"/>
    <w:pPr>
      <w:pBdr>
        <w:top w:val="single" w:sz="4" w:space="1" w:color="E3ECF8"/>
        <w:left w:val="single" w:sz="4" w:space="4" w:color="E3ECF8"/>
        <w:bottom w:val="single" w:sz="4" w:space="1" w:color="E3ECF8"/>
        <w:right w:val="single" w:sz="4" w:space="4" w:color="E3ECF8"/>
      </w:pBdr>
      <w:shd w:val="clear" w:color="auto" w:fill="E3ECF8"/>
      <w:tabs>
        <w:tab w:val="left" w:pos="1823"/>
        <w:tab w:val="left" w:pos="4254"/>
      </w:tabs>
      <w:autoSpaceDE w:val="0"/>
      <w:autoSpaceDN w:val="0"/>
      <w:adjustRightInd w:val="0"/>
      <w:spacing w:before="200" w:after="0" w:line="276" w:lineRule="auto"/>
      <w:textAlignment w:val="center"/>
    </w:pPr>
    <w:rPr>
      <w:rFonts w:ascii="Futura Hv BT" w:hAnsi="Futura Hv BT"/>
      <w:color w:val="242B84"/>
      <w:sz w:val="18"/>
      <w:szCs w:val="16"/>
      <w:lang w:eastAsia="ja-JP"/>
    </w:rPr>
  </w:style>
  <w:style w:type="paragraph" w:customStyle="1" w:styleId="IWHKasten2">
    <w:name w:val="IWH Kasten Ü2"/>
    <w:basedOn w:val="IWHKasten1"/>
    <w:next w:val="Normal"/>
    <w:link w:val="IWHKasten2Zchn"/>
    <w:qFormat/>
    <w:rsid w:val="00E36010"/>
    <w:pPr>
      <w:spacing w:before="0" w:line="280" w:lineRule="atLeast"/>
    </w:pPr>
    <w:rPr>
      <w:rFonts w:ascii="Futura Lt BT" w:hAnsi="Futura Lt BT"/>
      <w:sz w:val="22"/>
    </w:rPr>
  </w:style>
  <w:style w:type="character" w:customStyle="1" w:styleId="IWHKasten2Zchn">
    <w:name w:val="IWH Kasten Ü2 Zchn"/>
    <w:basedOn w:val="DefaultParagraphFont"/>
    <w:link w:val="IWHKasten2"/>
    <w:rsid w:val="00E36010"/>
    <w:rPr>
      <w:rFonts w:ascii="Futura Lt BT" w:hAnsi="Futura Lt BT" w:cs="Times New Roman"/>
      <w:color w:val="242B84"/>
      <w:sz w:val="22"/>
      <w:szCs w:val="16"/>
      <w:shd w:val="clear" w:color="auto" w:fill="E3ECF8"/>
      <w:lang w:val="de-DE" w:eastAsia="ja-JP"/>
    </w:rPr>
  </w:style>
  <w:style w:type="paragraph" w:customStyle="1" w:styleId="IWHKastenQuellen">
    <w:name w:val="IWH Kasten Quellen"/>
    <w:basedOn w:val="Normal"/>
    <w:qFormat/>
    <w:rsid w:val="00E36010"/>
    <w:pPr>
      <w:pBdr>
        <w:top w:val="single" w:sz="4" w:space="1" w:color="E3ECF8"/>
        <w:left w:val="single" w:sz="4" w:space="4" w:color="E3ECF8"/>
        <w:bottom w:val="single" w:sz="4" w:space="1" w:color="E3ECF8"/>
        <w:right w:val="single" w:sz="4" w:space="4" w:color="E3ECF8"/>
      </w:pBdr>
      <w:shd w:val="clear" w:color="auto" w:fill="E3ECF8"/>
      <w:tabs>
        <w:tab w:val="left" w:pos="1823"/>
        <w:tab w:val="left" w:pos="4254"/>
      </w:tabs>
      <w:autoSpaceDE w:val="0"/>
      <w:autoSpaceDN w:val="0"/>
      <w:adjustRightInd w:val="0"/>
      <w:spacing w:after="120"/>
      <w:jc w:val="both"/>
      <w:textAlignment w:val="center"/>
    </w:pPr>
    <w:rPr>
      <w:rFonts w:ascii="Cambria" w:eastAsiaTheme="minorEastAsia" w:hAnsi="Cambria" w:cs="Times New Roman"/>
      <w:color w:val="5F6972"/>
      <w:sz w:val="18"/>
      <w:szCs w:val="15"/>
      <w:lang w:eastAsia="ja-JP"/>
    </w:rPr>
  </w:style>
  <w:style w:type="paragraph" w:customStyle="1" w:styleId="StandartText">
    <w:name w:val="Standart Text"/>
    <w:basedOn w:val="BodyText"/>
    <w:link w:val="StandartTextZchn"/>
    <w:qFormat/>
    <w:rsid w:val="00E36010"/>
    <w:pPr>
      <w:spacing w:before="120" w:line="280" w:lineRule="atLeast"/>
      <w:jc w:val="both"/>
    </w:pPr>
    <w:rPr>
      <w:rFonts w:ascii="Calibri" w:hAnsi="Calibri" w:cs="Times New Roman"/>
      <w:lang w:eastAsia="de-DE"/>
    </w:rPr>
  </w:style>
  <w:style w:type="character" w:customStyle="1" w:styleId="BodyTextChar">
    <w:name w:val="Body Text Char"/>
    <w:basedOn w:val="DefaultParagraphFont"/>
    <w:link w:val="BodyText"/>
    <w:uiPriority w:val="99"/>
    <w:rsid w:val="00E36010"/>
    <w:rPr>
      <w:rFonts w:eastAsiaTheme="minorHAnsi"/>
      <w:sz w:val="22"/>
      <w:szCs w:val="22"/>
      <w:lang w:val="de-DE" w:eastAsia="en-US"/>
    </w:rPr>
  </w:style>
  <w:style w:type="character" w:customStyle="1" w:styleId="StandartTextZchn">
    <w:name w:val="Standart Text Zchn"/>
    <w:basedOn w:val="BodyTextChar"/>
    <w:link w:val="StandartText"/>
    <w:rsid w:val="00E36010"/>
    <w:rPr>
      <w:rFonts w:ascii="Calibri" w:eastAsiaTheme="minorHAnsi" w:hAnsi="Calibri" w:cs="Times New Roman"/>
      <w:sz w:val="22"/>
      <w:szCs w:val="22"/>
      <w:lang w:val="de-DE" w:eastAsia="de-DE"/>
    </w:rPr>
  </w:style>
  <w:style w:type="paragraph" w:customStyle="1" w:styleId="Quelle">
    <w:name w:val="Quelle"/>
    <w:basedOn w:val="Normal"/>
    <w:qFormat/>
    <w:rsid w:val="00E36010"/>
    <w:pPr>
      <w:tabs>
        <w:tab w:val="left" w:pos="680"/>
      </w:tabs>
      <w:spacing w:before="60" w:after="60" w:line="240" w:lineRule="auto"/>
      <w:jc w:val="both"/>
    </w:pPr>
    <w:rPr>
      <w:rFonts w:ascii="Cambria" w:eastAsia="Times New Roman" w:hAnsi="Cambria" w:cs="Times New Roman"/>
      <w:sz w:val="18"/>
      <w:szCs w:val="20"/>
      <w:lang w:eastAsia="de-DE"/>
    </w:rPr>
  </w:style>
  <w:style w:type="paragraph" w:customStyle="1" w:styleId="Tabellenerklrung">
    <w:name w:val="Tabellenerklärung"/>
    <w:basedOn w:val="Normal"/>
    <w:rsid w:val="00E36010"/>
    <w:pPr>
      <w:spacing w:before="60" w:after="0" w:line="240" w:lineRule="auto"/>
      <w:jc w:val="both"/>
    </w:pPr>
    <w:rPr>
      <w:rFonts w:ascii="Times New Roman" w:eastAsia="Times New Roman" w:hAnsi="Times New Roman" w:cs="Times New Roman"/>
      <w:sz w:val="16"/>
      <w:szCs w:val="20"/>
      <w:lang w:eastAsia="de-DE"/>
    </w:rPr>
  </w:style>
  <w:style w:type="paragraph" w:customStyle="1" w:styleId="Tabelleninhalt">
    <w:name w:val="Tabelleninhalt"/>
    <w:basedOn w:val="Normal"/>
    <w:rsid w:val="00E36010"/>
    <w:pPr>
      <w:spacing w:after="0" w:line="240" w:lineRule="auto"/>
    </w:pPr>
    <w:rPr>
      <w:rFonts w:ascii="Brandon Grotesque Regular" w:eastAsia="Times New Roman" w:hAnsi="Brandon Grotesque Regular" w:cs="Times New Roman"/>
      <w:sz w:val="16"/>
      <w:szCs w:val="20"/>
      <w:lang w:eastAsia="de-DE"/>
    </w:rPr>
  </w:style>
  <w:style w:type="paragraph" w:customStyle="1" w:styleId="BeschriftungTabelle">
    <w:name w:val="BeschriftungTabelle"/>
    <w:basedOn w:val="Caption"/>
    <w:next w:val="Normal"/>
    <w:rsid w:val="00E36010"/>
  </w:style>
  <w:style w:type="paragraph" w:customStyle="1" w:styleId="CitaviBibliographyEntry">
    <w:name w:val="Citavi Bibliography Entry"/>
    <w:basedOn w:val="Normal"/>
    <w:link w:val="CitaviBibliographyEntryZchn"/>
    <w:rsid w:val="00E36010"/>
    <w:pPr>
      <w:spacing w:after="120"/>
    </w:pPr>
    <w:rPr>
      <w:rFonts w:ascii="Brandon Grotesque Bold" w:hAnsi="Brandon Grotesque Bold" w:cstheme="majorBidi"/>
      <w:color w:val="5286D2"/>
    </w:rPr>
  </w:style>
  <w:style w:type="character" w:customStyle="1" w:styleId="CitaviBibliographyEntryZchn">
    <w:name w:val="Citavi Bibliography Entry Zchn"/>
    <w:basedOn w:val="Heading2Char"/>
    <w:link w:val="CitaviBibliographyEntry"/>
    <w:rsid w:val="00E36010"/>
    <w:rPr>
      <w:rFonts w:ascii="Brandon Grotesque Bold" w:eastAsiaTheme="minorHAnsi" w:hAnsi="Brandon Grotesque Bold" w:cstheme="majorBidi"/>
      <w:bCs w:val="0"/>
      <w:color w:val="5286D2"/>
      <w:sz w:val="22"/>
      <w:szCs w:val="22"/>
      <w:lang w:val="de-DE" w:eastAsia="en-US"/>
    </w:rPr>
  </w:style>
  <w:style w:type="paragraph" w:customStyle="1" w:styleId="CitaviBibliographyHeading">
    <w:name w:val="Citavi Bibliography Heading"/>
    <w:basedOn w:val="Heading1"/>
    <w:link w:val="CitaviBibliographyHeadingZchn"/>
    <w:rsid w:val="00E36010"/>
  </w:style>
  <w:style w:type="character" w:customStyle="1" w:styleId="CitaviBibliographyHeadingZchn">
    <w:name w:val="Citavi Bibliography Heading Zchn"/>
    <w:basedOn w:val="Heading2Char"/>
    <w:link w:val="CitaviBibliographyHeading"/>
    <w:rsid w:val="00E36010"/>
    <w:rPr>
      <w:rFonts w:ascii="Brandon Grotesque Bold" w:eastAsiaTheme="majorEastAsia" w:hAnsi="Brandon Grotesque Bold" w:cstheme="majorBidi"/>
      <w:bCs/>
      <w:color w:val="242B84"/>
      <w:sz w:val="26"/>
      <w:szCs w:val="28"/>
      <w:lang w:val="de-DE" w:eastAsia="en-US"/>
    </w:rPr>
  </w:style>
  <w:style w:type="character" w:styleId="CommentReference">
    <w:name w:val="annotation reference"/>
    <w:basedOn w:val="DefaultParagraphFont"/>
    <w:uiPriority w:val="99"/>
    <w:rsid w:val="00E36010"/>
    <w:rPr>
      <w:sz w:val="16"/>
      <w:szCs w:val="16"/>
    </w:rPr>
  </w:style>
  <w:style w:type="paragraph" w:styleId="CommentText">
    <w:name w:val="annotation text"/>
    <w:basedOn w:val="Normal"/>
    <w:link w:val="CommentTextChar1"/>
    <w:uiPriority w:val="99"/>
    <w:rsid w:val="00E36010"/>
    <w:pPr>
      <w:spacing w:line="240" w:lineRule="auto"/>
    </w:pPr>
    <w:rPr>
      <w:sz w:val="20"/>
      <w:szCs w:val="20"/>
    </w:rPr>
  </w:style>
  <w:style w:type="character" w:customStyle="1" w:styleId="CommentTextChar">
    <w:name w:val="Comment Text Char"/>
    <w:basedOn w:val="DefaultParagraphFont"/>
    <w:uiPriority w:val="99"/>
    <w:rsid w:val="00E36010"/>
    <w:rPr>
      <w:sz w:val="20"/>
      <w:szCs w:val="20"/>
    </w:rPr>
  </w:style>
  <w:style w:type="character" w:customStyle="1" w:styleId="CommentTextChar1">
    <w:name w:val="Comment Text Char1"/>
    <w:basedOn w:val="DefaultParagraphFont"/>
    <w:link w:val="CommentText"/>
    <w:uiPriority w:val="99"/>
    <w:rsid w:val="00E36010"/>
    <w:rPr>
      <w:rFonts w:eastAsiaTheme="minorHAnsi"/>
      <w:sz w:val="20"/>
      <w:szCs w:val="20"/>
      <w:lang w:val="de-DE" w:eastAsia="en-US"/>
    </w:rPr>
  </w:style>
  <w:style w:type="paragraph" w:styleId="CommentSubject">
    <w:name w:val="annotation subject"/>
    <w:basedOn w:val="CommentText"/>
    <w:next w:val="CommentText"/>
    <w:link w:val="CommentSubjectChar"/>
    <w:uiPriority w:val="99"/>
    <w:rsid w:val="00E36010"/>
    <w:rPr>
      <w:b/>
      <w:bCs/>
    </w:rPr>
  </w:style>
  <w:style w:type="character" w:customStyle="1" w:styleId="CommentSubjectChar">
    <w:name w:val="Comment Subject Char"/>
    <w:basedOn w:val="CommentTextChar1"/>
    <w:link w:val="CommentSubject"/>
    <w:uiPriority w:val="99"/>
    <w:rsid w:val="00E36010"/>
    <w:rPr>
      <w:rFonts w:eastAsiaTheme="minorHAnsi"/>
      <w:b/>
      <w:bCs/>
      <w:sz w:val="20"/>
      <w:szCs w:val="20"/>
      <w:lang w:val="de-DE" w:eastAsia="en-US"/>
    </w:rPr>
  </w:style>
  <w:style w:type="paragraph" w:styleId="TOC1">
    <w:name w:val="toc 1"/>
    <w:basedOn w:val="Normal"/>
    <w:next w:val="Normal"/>
    <w:autoRedefine/>
    <w:uiPriority w:val="39"/>
    <w:unhideWhenUsed/>
    <w:rsid w:val="00E36010"/>
    <w:pPr>
      <w:tabs>
        <w:tab w:val="right" w:leader="dot" w:pos="9629"/>
      </w:tabs>
      <w:spacing w:after="100"/>
      <w:ind w:left="284" w:right="454" w:hanging="284"/>
      <w:jc w:val="both"/>
    </w:pPr>
    <w:rPr>
      <w:b/>
      <w:noProof/>
    </w:rPr>
  </w:style>
  <w:style w:type="paragraph" w:styleId="TOC2">
    <w:name w:val="toc 2"/>
    <w:basedOn w:val="Normal"/>
    <w:next w:val="Normal"/>
    <w:autoRedefine/>
    <w:uiPriority w:val="39"/>
    <w:unhideWhenUsed/>
    <w:rsid w:val="00E36010"/>
    <w:pPr>
      <w:tabs>
        <w:tab w:val="left" w:pos="1418"/>
        <w:tab w:val="right" w:leader="dot" w:pos="9629"/>
      </w:tabs>
      <w:spacing w:after="100"/>
      <w:ind w:left="709" w:right="454" w:hanging="425"/>
    </w:pPr>
  </w:style>
  <w:style w:type="paragraph" w:styleId="TOC3">
    <w:name w:val="toc 3"/>
    <w:basedOn w:val="Normal"/>
    <w:next w:val="Normal"/>
    <w:autoRedefine/>
    <w:uiPriority w:val="39"/>
    <w:unhideWhenUsed/>
    <w:rsid w:val="00E36010"/>
    <w:pPr>
      <w:tabs>
        <w:tab w:val="left" w:pos="1276"/>
        <w:tab w:val="right" w:leader="dot" w:pos="9629"/>
      </w:tabs>
      <w:spacing w:after="100"/>
      <w:ind w:left="1418" w:right="454" w:hanging="709"/>
      <w:jc w:val="both"/>
    </w:pPr>
  </w:style>
  <w:style w:type="character" w:styleId="FollowedHyperlink">
    <w:name w:val="FollowedHyperlink"/>
    <w:basedOn w:val="DefaultParagraphFont"/>
    <w:uiPriority w:val="99"/>
    <w:unhideWhenUsed/>
    <w:rsid w:val="00E36010"/>
    <w:rPr>
      <w:color w:val="96607D" w:themeColor="followedHyperlink"/>
      <w:u w:val="single"/>
    </w:rPr>
  </w:style>
  <w:style w:type="paragraph" w:styleId="TableofFigures">
    <w:name w:val="table of figures"/>
    <w:basedOn w:val="Normal"/>
    <w:next w:val="Normal"/>
    <w:uiPriority w:val="99"/>
    <w:unhideWhenUsed/>
    <w:rsid w:val="00E36010"/>
    <w:pPr>
      <w:spacing w:after="60"/>
      <w:ind w:left="1474" w:right="454" w:hanging="1474"/>
      <w:jc w:val="both"/>
    </w:pPr>
    <w:rPr>
      <w:color w:val="196B24" w:themeColor="accent3"/>
    </w:rPr>
  </w:style>
  <w:style w:type="paragraph" w:customStyle="1" w:styleId="IWHKasten3">
    <w:name w:val="IWH Kasten Ü3"/>
    <w:basedOn w:val="IWHKasten2"/>
    <w:qFormat/>
    <w:rsid w:val="00E36010"/>
  </w:style>
  <w:style w:type="paragraph" w:customStyle="1" w:styleId="IWHAbbildungsinhalt">
    <w:name w:val="IWH Abbildungsinhalt"/>
    <w:basedOn w:val="IWHKasten3"/>
    <w:qFormat/>
    <w:rsid w:val="00E36010"/>
  </w:style>
  <w:style w:type="paragraph" w:customStyle="1" w:styleId="AbbTab-Nummerierung">
    <w:name w:val="Abb/Tab-Nummerierung"/>
    <w:basedOn w:val="Normal"/>
    <w:qFormat/>
    <w:rsid w:val="00E36010"/>
    <w:pPr>
      <w:keepLines/>
      <w:spacing w:after="0" w:line="320" w:lineRule="atLeast"/>
    </w:pPr>
    <w:rPr>
      <w:rFonts w:ascii="Brandon Grotesque Medium" w:eastAsia="Times New Roman" w:hAnsi="Brandon Grotesque Medium" w:cs="Times New Roman"/>
      <w:color w:val="242B84"/>
      <w:sz w:val="20"/>
      <w:szCs w:val="18"/>
      <w:lang w:eastAsia="de-DE"/>
    </w:rPr>
  </w:style>
  <w:style w:type="table" w:styleId="MediumShading1-Accent2">
    <w:name w:val="Medium Shading 1 Accent 2"/>
    <w:basedOn w:val="TableNormal"/>
    <w:uiPriority w:val="63"/>
    <w:rsid w:val="00E36010"/>
    <w:pPr>
      <w:spacing w:after="0"/>
    </w:pPr>
    <w:rPr>
      <w:rFonts w:eastAsiaTheme="minorHAnsi"/>
      <w:sz w:val="22"/>
      <w:szCs w:val="22"/>
      <w:lang w:val="de-DE"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character" w:styleId="Strong">
    <w:name w:val="Strong"/>
    <w:basedOn w:val="DefaultParagraphFont"/>
    <w:uiPriority w:val="22"/>
    <w:qFormat/>
    <w:rsid w:val="00E36010"/>
    <w:rPr>
      <w:b/>
      <w:bCs/>
    </w:rPr>
  </w:style>
  <w:style w:type="table" w:styleId="MediumShading1-Accent1">
    <w:name w:val="Medium Shading 1 Accent 1"/>
    <w:basedOn w:val="TableNormal"/>
    <w:uiPriority w:val="63"/>
    <w:rsid w:val="00E36010"/>
    <w:pPr>
      <w:spacing w:after="0"/>
    </w:pPr>
    <w:rPr>
      <w:rFonts w:eastAsiaTheme="minorHAnsi"/>
      <w:sz w:val="22"/>
      <w:szCs w:val="22"/>
      <w:lang w:val="de-DE"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customStyle="1" w:styleId="iwhtabellevorlage">
    <w:name w:val="iwh_tabelle_vorlage"/>
    <w:basedOn w:val="TableNormal"/>
    <w:uiPriority w:val="99"/>
    <w:rsid w:val="00E36010"/>
    <w:pPr>
      <w:spacing w:after="0"/>
    </w:pPr>
    <w:rPr>
      <w:rFonts w:ascii="Futura Lt BT" w:eastAsiaTheme="minorHAnsi" w:hAnsi="Futura Lt BT"/>
      <w:sz w:val="16"/>
      <w:szCs w:val="20"/>
      <w:lang w:val="de-DE" w:eastAsia="de-DE"/>
    </w:rPr>
    <w:tblPr>
      <w:tblStyleRowBandSize w:val="1"/>
      <w:tblStyleColBandSize w:val="1"/>
      <w:tblBorders>
        <w:top w:val="single" w:sz="4" w:space="0" w:color="auto"/>
        <w:left w:val="single" w:sz="4" w:space="0" w:color="auto"/>
        <w:bottom w:val="single" w:sz="4" w:space="0" w:color="auto"/>
        <w:right w:val="single" w:sz="4" w:space="0" w:color="auto"/>
      </w:tblBorders>
    </w:tblPr>
    <w:tcPr>
      <w:vAlign w:val="center"/>
    </w:tcPr>
    <w:tblStylePr w:type="firstRow">
      <w:pPr>
        <w:spacing w:before="0" w:after="0" w:line="240" w:lineRule="auto"/>
      </w:pPr>
      <w:rPr>
        <w:rFonts w:ascii="Segoe UI Black" w:hAnsi="Segoe UI Black"/>
        <w:b w:val="0"/>
        <w:bCs/>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cBorders>
        <w:shd w:val="clear" w:color="auto" w:fill="156082" w:themeFill="accent1"/>
      </w:tcPr>
    </w:tblStylePr>
    <w:tblStylePr w:type="lastRow">
      <w:pPr>
        <w:spacing w:before="0" w:after="0" w:line="240" w:lineRule="auto"/>
      </w:pPr>
      <w:rPr>
        <w:rFonts w:ascii="Adobe Arabic" w:hAnsi="Adobe Arabic"/>
        <w:b w:val="0"/>
        <w:bCs/>
        <w:sz w:val="16"/>
      </w:rPr>
      <w:tblPr/>
      <w:tcPr>
        <w:tcBorders>
          <w:top w:val="single" w:sz="4" w:space="0" w:color="auto"/>
          <w:left w:val="single" w:sz="4" w:space="0" w:color="auto"/>
          <w:bottom w:val="single" w:sz="4" w:space="0" w:color="auto"/>
          <w:right w:val="single" w:sz="4" w:space="0" w:color="auto"/>
          <w:insideH w:val="nil"/>
          <w:insideV w:val="nil"/>
        </w:tcBorders>
      </w:tcPr>
    </w:tblStylePr>
    <w:tblStylePr w:type="firstCol">
      <w:rPr>
        <w:rFonts w:ascii="Adobe Arabic" w:hAnsi="Adobe Arabic"/>
        <w:b w:val="0"/>
        <w:bCs/>
        <w:sz w:val="16"/>
      </w:rPr>
    </w:tblStylePr>
    <w:tblStylePr w:type="lastCol">
      <w:rPr>
        <w:rFonts w:ascii="Adobe Arabic" w:hAnsi="Adobe Arabic"/>
        <w:b w:val="0"/>
        <w:bCs/>
        <w:sz w:val="16"/>
      </w:rPr>
    </w:tblStylePr>
    <w:tblStylePr w:type="band2Vert">
      <w:tblPr/>
      <w:tcPr>
        <w:vAlign w:val="bottom"/>
      </w:tcPr>
    </w:tblStylePr>
    <w:tblStylePr w:type="band1Horz">
      <w:rPr>
        <w:rFonts w:ascii="Adobe Arabic" w:hAnsi="Adobe Arabic"/>
        <w:b w:val="0"/>
        <w:sz w:val="16"/>
      </w:rPr>
      <w:tblPr/>
      <w:tcPr>
        <w:tcBorders>
          <w:insideH w:val="nil"/>
          <w:insideV w:val="nil"/>
        </w:tcBorders>
        <w:shd w:val="clear" w:color="auto" w:fill="F9DBCC" w:themeFill="accent2" w:themeFillTint="3F"/>
      </w:tcPr>
    </w:tblStylePr>
    <w:tblStylePr w:type="band2Horz">
      <w:rPr>
        <w:rFonts w:ascii="Adobe Arabic" w:hAnsi="Adobe Arabic"/>
        <w:b w:val="0"/>
        <w:sz w:val="16"/>
      </w:rPr>
      <w:tblPr/>
      <w:tcPr>
        <w:tcBorders>
          <w:insideH w:val="nil"/>
          <w:insideV w:val="nil"/>
        </w:tcBorders>
        <w:shd w:val="clear" w:color="auto" w:fill="FFFFFF" w:themeFill="background1"/>
      </w:tcPr>
    </w:tblStylePr>
    <w:tblStylePr w:type="nwCell">
      <w:rPr>
        <w:rFonts w:ascii="Adobe Arabic" w:hAnsi="Adobe Arabic"/>
        <w:b w:val="0"/>
        <w:sz w:val="16"/>
      </w:rPr>
    </w:tblStylePr>
  </w:style>
  <w:style w:type="paragraph" w:styleId="Revision">
    <w:name w:val="Revision"/>
    <w:hidden/>
    <w:uiPriority w:val="99"/>
    <w:rsid w:val="00E36010"/>
    <w:pPr>
      <w:spacing w:after="0"/>
    </w:pPr>
    <w:rPr>
      <w:rFonts w:eastAsiaTheme="minorHAnsi"/>
      <w:sz w:val="22"/>
      <w:szCs w:val="22"/>
      <w:lang w:val="de-DE" w:eastAsia="en-US"/>
    </w:rPr>
  </w:style>
  <w:style w:type="table" w:customStyle="1" w:styleId="iwhtabellevorlage1">
    <w:name w:val="iwh_tabelle_vorlage1"/>
    <w:basedOn w:val="TableNormal"/>
    <w:uiPriority w:val="99"/>
    <w:rsid w:val="00E36010"/>
    <w:pPr>
      <w:spacing w:after="0"/>
    </w:pPr>
    <w:rPr>
      <w:rFonts w:ascii="Futura Lt BT" w:eastAsiaTheme="minorHAnsi" w:hAnsi="Futura Lt BT"/>
      <w:sz w:val="16"/>
      <w:szCs w:val="20"/>
      <w:lang w:val="de-DE" w:eastAsia="de-DE"/>
    </w:rPr>
    <w:tblPr>
      <w:tblStyleRowBandSize w:val="1"/>
      <w:tblStyleColBandSize w:val="1"/>
      <w:tblBorders>
        <w:top w:val="single" w:sz="4" w:space="0" w:color="auto"/>
        <w:left w:val="single" w:sz="4" w:space="0" w:color="auto"/>
        <w:bottom w:val="single" w:sz="4" w:space="0" w:color="auto"/>
        <w:right w:val="single" w:sz="4" w:space="0" w:color="auto"/>
      </w:tblBorders>
    </w:tblPr>
    <w:tcPr>
      <w:vAlign w:val="center"/>
    </w:tcPr>
    <w:tblStylePr w:type="firstRow">
      <w:pPr>
        <w:spacing w:before="0" w:after="0" w:line="240" w:lineRule="auto"/>
      </w:pPr>
      <w:rPr>
        <w:rFonts w:ascii="Segoe UI Black" w:hAnsi="Segoe UI Black"/>
        <w:b w:val="0"/>
        <w:bCs/>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cBorders>
        <w:shd w:val="clear" w:color="auto" w:fill="156082" w:themeFill="accent1"/>
      </w:tcPr>
    </w:tblStylePr>
    <w:tblStylePr w:type="lastRow">
      <w:pPr>
        <w:spacing w:before="0" w:after="0" w:line="240" w:lineRule="auto"/>
      </w:pPr>
      <w:rPr>
        <w:rFonts w:ascii="Adobe Arabic" w:hAnsi="Adobe Arabic"/>
        <w:b w:val="0"/>
        <w:bCs/>
        <w:sz w:val="16"/>
      </w:rPr>
      <w:tblPr/>
      <w:tcPr>
        <w:tcBorders>
          <w:top w:val="single" w:sz="4" w:space="0" w:color="auto"/>
          <w:left w:val="single" w:sz="4" w:space="0" w:color="auto"/>
          <w:bottom w:val="single" w:sz="4" w:space="0" w:color="auto"/>
          <w:right w:val="single" w:sz="4" w:space="0" w:color="auto"/>
          <w:insideH w:val="nil"/>
          <w:insideV w:val="nil"/>
        </w:tcBorders>
      </w:tcPr>
    </w:tblStylePr>
    <w:tblStylePr w:type="firstCol">
      <w:rPr>
        <w:rFonts w:ascii="Adobe Arabic" w:hAnsi="Adobe Arabic"/>
        <w:b w:val="0"/>
        <w:bCs/>
        <w:sz w:val="16"/>
      </w:rPr>
    </w:tblStylePr>
    <w:tblStylePr w:type="lastCol">
      <w:rPr>
        <w:rFonts w:ascii="Adobe Arabic" w:hAnsi="Adobe Arabic"/>
        <w:b w:val="0"/>
        <w:bCs/>
        <w:sz w:val="16"/>
      </w:rPr>
    </w:tblStylePr>
    <w:tblStylePr w:type="band2Vert">
      <w:tblPr/>
      <w:tcPr>
        <w:vAlign w:val="bottom"/>
      </w:tcPr>
    </w:tblStylePr>
    <w:tblStylePr w:type="band1Horz">
      <w:rPr>
        <w:rFonts w:ascii="Adobe Arabic" w:hAnsi="Adobe Arabic"/>
        <w:b w:val="0"/>
        <w:sz w:val="16"/>
      </w:rPr>
      <w:tblPr/>
      <w:tcPr>
        <w:tcBorders>
          <w:insideH w:val="nil"/>
          <w:insideV w:val="nil"/>
        </w:tcBorders>
        <w:shd w:val="clear" w:color="auto" w:fill="F9DBCC" w:themeFill="accent2" w:themeFillTint="3F"/>
      </w:tcPr>
    </w:tblStylePr>
    <w:tblStylePr w:type="band2Horz">
      <w:rPr>
        <w:rFonts w:ascii="Adobe Arabic" w:hAnsi="Adobe Arabic"/>
        <w:b w:val="0"/>
        <w:sz w:val="16"/>
      </w:rPr>
      <w:tblPr/>
      <w:tcPr>
        <w:tcBorders>
          <w:insideH w:val="nil"/>
          <w:insideV w:val="nil"/>
        </w:tcBorders>
        <w:shd w:val="clear" w:color="auto" w:fill="FFFFFF" w:themeFill="background1"/>
      </w:tcPr>
    </w:tblStylePr>
    <w:tblStylePr w:type="nwCell">
      <w:rPr>
        <w:rFonts w:ascii="Adobe Arabic" w:hAnsi="Adobe Arabic"/>
        <w:b w:val="0"/>
        <w:sz w:val="16"/>
      </w:rPr>
    </w:tblStylePr>
  </w:style>
  <w:style w:type="paragraph" w:styleId="Index5">
    <w:name w:val="index 5"/>
    <w:basedOn w:val="Normal"/>
    <w:next w:val="Normal"/>
    <w:autoRedefine/>
    <w:uiPriority w:val="99"/>
    <w:unhideWhenUsed/>
    <w:rsid w:val="00E36010"/>
    <w:pPr>
      <w:spacing w:after="0" w:line="240" w:lineRule="auto"/>
      <w:ind w:left="1100" w:hanging="220"/>
    </w:pPr>
  </w:style>
  <w:style w:type="paragraph" w:customStyle="1" w:styleId="Text">
    <w:name w:val="Text"/>
    <w:basedOn w:val="BodyText"/>
    <w:link w:val="TextZchn"/>
    <w:qFormat/>
    <w:rsid w:val="00E36010"/>
    <w:pPr>
      <w:spacing w:before="120" w:line="280" w:lineRule="atLeast"/>
    </w:pPr>
    <w:rPr>
      <w:rFonts w:ascii="Cambria" w:eastAsia="Times New Roman" w:hAnsi="Cambria" w:cs="Times New Roman"/>
      <w:szCs w:val="24"/>
      <w:lang w:val="x-none" w:eastAsia="x-none"/>
    </w:rPr>
  </w:style>
  <w:style w:type="character" w:customStyle="1" w:styleId="TextZchn">
    <w:name w:val="Text Zchn"/>
    <w:link w:val="Text"/>
    <w:rsid w:val="00E36010"/>
    <w:rPr>
      <w:rFonts w:ascii="Cambria" w:eastAsia="Times New Roman" w:hAnsi="Cambria" w:cs="Times New Roman"/>
      <w:sz w:val="22"/>
      <w:lang w:val="x-none" w:eastAsia="x-none"/>
    </w:rPr>
  </w:style>
  <w:style w:type="paragraph" w:styleId="EndnoteText">
    <w:name w:val="endnote text"/>
    <w:basedOn w:val="Normal"/>
    <w:link w:val="EndnoteTextChar"/>
    <w:uiPriority w:val="99"/>
    <w:unhideWhenUsed/>
    <w:rsid w:val="00E36010"/>
    <w:pPr>
      <w:spacing w:after="0" w:line="240" w:lineRule="auto"/>
    </w:pPr>
    <w:rPr>
      <w:sz w:val="20"/>
      <w:szCs w:val="20"/>
    </w:rPr>
  </w:style>
  <w:style w:type="character" w:customStyle="1" w:styleId="EndnoteTextChar">
    <w:name w:val="Endnote Text Char"/>
    <w:basedOn w:val="DefaultParagraphFont"/>
    <w:link w:val="EndnoteText"/>
    <w:uiPriority w:val="99"/>
    <w:rsid w:val="00E36010"/>
    <w:rPr>
      <w:rFonts w:eastAsiaTheme="minorHAnsi"/>
      <w:sz w:val="20"/>
      <w:szCs w:val="20"/>
      <w:lang w:val="de-DE" w:eastAsia="en-US"/>
    </w:rPr>
  </w:style>
  <w:style w:type="character" w:styleId="EndnoteReference">
    <w:name w:val="endnote reference"/>
    <w:basedOn w:val="DefaultParagraphFont"/>
    <w:uiPriority w:val="99"/>
    <w:unhideWhenUsed/>
    <w:rsid w:val="00E36010"/>
    <w:rPr>
      <w:vertAlign w:val="superscript"/>
    </w:rPr>
  </w:style>
  <w:style w:type="character" w:styleId="PlaceholderText">
    <w:name w:val="Placeholder Text"/>
    <w:basedOn w:val="DefaultParagraphFont"/>
    <w:uiPriority w:val="99"/>
    <w:rsid w:val="00E36010"/>
    <w:rPr>
      <w:color w:val="808080"/>
    </w:rPr>
  </w:style>
  <w:style w:type="paragraph" w:styleId="NormalWeb">
    <w:name w:val="Normal (Web)"/>
    <w:basedOn w:val="Normal"/>
    <w:uiPriority w:val="99"/>
    <w:unhideWhenUsed/>
    <w:rsid w:val="00E36010"/>
    <w:pPr>
      <w:spacing w:before="100" w:beforeAutospacing="1" w:after="100" w:afterAutospacing="1" w:line="240" w:lineRule="auto"/>
    </w:pPr>
    <w:rPr>
      <w:rFonts w:ascii="Times New Roman" w:eastAsiaTheme="minorEastAsia" w:hAnsi="Times New Roman" w:cs="Times New Roman"/>
      <w:sz w:val="24"/>
      <w:szCs w:val="24"/>
      <w:lang w:eastAsia="de-DE"/>
    </w:rPr>
  </w:style>
  <w:style w:type="paragraph" w:customStyle="1" w:styleId="Default">
    <w:name w:val="Default"/>
    <w:rsid w:val="00E36010"/>
    <w:pPr>
      <w:autoSpaceDE w:val="0"/>
      <w:autoSpaceDN w:val="0"/>
      <w:adjustRightInd w:val="0"/>
      <w:spacing w:after="0"/>
    </w:pPr>
    <w:rPr>
      <w:rFonts w:ascii="Futura Std" w:eastAsiaTheme="minorHAnsi" w:hAnsi="Futura Std" w:cs="Futura Std"/>
      <w:color w:val="000000"/>
      <w:lang w:val="de-DE" w:eastAsia="en-US"/>
    </w:rPr>
  </w:style>
  <w:style w:type="character" w:customStyle="1" w:styleId="cls-response">
    <w:name w:val="cls-response"/>
    <w:basedOn w:val="DefaultParagraphFont"/>
    <w:rsid w:val="00E36010"/>
  </w:style>
  <w:style w:type="paragraph" w:styleId="Quote">
    <w:name w:val="Quote"/>
    <w:basedOn w:val="Normal"/>
    <w:next w:val="Normal"/>
    <w:link w:val="QuoteChar"/>
    <w:uiPriority w:val="29"/>
    <w:qFormat/>
    <w:rsid w:val="00E3601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36010"/>
    <w:rPr>
      <w:rFonts w:eastAsiaTheme="minorHAnsi"/>
      <w:i/>
      <w:iCs/>
      <w:color w:val="404040" w:themeColor="text1" w:themeTint="BF"/>
      <w:sz w:val="22"/>
      <w:szCs w:val="22"/>
      <w:lang w:val="de-DE" w:eastAsia="en-US"/>
    </w:rPr>
  </w:style>
  <w:style w:type="paragraph" w:styleId="IntenseQuote">
    <w:name w:val="Intense Quote"/>
    <w:basedOn w:val="Normal"/>
    <w:next w:val="Normal"/>
    <w:link w:val="IntenseQuoteChar"/>
    <w:uiPriority w:val="30"/>
    <w:qFormat/>
    <w:rsid w:val="00E3601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36010"/>
    <w:rPr>
      <w:rFonts w:eastAsiaTheme="minorHAnsi"/>
      <w:i/>
      <w:iCs/>
      <w:color w:val="156082" w:themeColor="accent1"/>
      <w:sz w:val="22"/>
      <w:szCs w:val="22"/>
      <w:lang w:val="de-DE" w:eastAsia="en-US"/>
    </w:rPr>
  </w:style>
  <w:style w:type="table" w:styleId="GridTable4-Accent3">
    <w:name w:val="Grid Table 4 Accent 3"/>
    <w:basedOn w:val="TableNormal"/>
    <w:uiPriority w:val="49"/>
    <w:rsid w:val="00E36010"/>
    <w:pPr>
      <w:spacing w:after="0"/>
    </w:pPr>
    <w:rPr>
      <w:rFonts w:eastAsiaTheme="minorHAnsi"/>
      <w:sz w:val="22"/>
      <w:szCs w:val="22"/>
      <w:lang w:val="de-DE"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markedcontent">
    <w:name w:val="markedcontent"/>
    <w:basedOn w:val="DefaultParagraphFont"/>
    <w:rsid w:val="00E36010"/>
  </w:style>
  <w:style w:type="table" w:styleId="GridTable1Light">
    <w:name w:val="Grid Table 1 Light"/>
    <w:basedOn w:val="TableNormal"/>
    <w:uiPriority w:val="46"/>
    <w:rsid w:val="00E36010"/>
    <w:pPr>
      <w:spacing w:after="0"/>
    </w:pPr>
    <w:rPr>
      <w:rFonts w:eastAsiaTheme="minorHAnsi"/>
      <w:sz w:val="22"/>
      <w:szCs w:val="22"/>
      <w:lang w:val="de-DE" w:eastAsia="en-US"/>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bbTab-berschrift">
    <w:name w:val="Abb/Tab-Überschrift"/>
    <w:basedOn w:val="IWHFlietext"/>
    <w:qFormat/>
    <w:rsid w:val="00E36010"/>
    <w:pPr>
      <w:spacing w:before="0" w:after="60"/>
    </w:pPr>
    <w:rPr>
      <w:rFonts w:asciiTheme="minorHAnsi" w:hAnsiTheme="minorHAnsi"/>
      <w:color w:val="242B84"/>
    </w:rPr>
  </w:style>
  <w:style w:type="character" w:styleId="Emphasis">
    <w:name w:val="Emphasis"/>
    <w:basedOn w:val="DefaultParagraphFont"/>
    <w:uiPriority w:val="20"/>
    <w:qFormat/>
    <w:rsid w:val="00E36010"/>
    <w:rPr>
      <w:i/>
      <w:iCs/>
    </w:rPr>
  </w:style>
  <w:style w:type="character" w:styleId="UnresolvedMention">
    <w:name w:val="Unresolved Mention"/>
    <w:basedOn w:val="DefaultParagraphFont"/>
    <w:uiPriority w:val="99"/>
    <w:semiHidden/>
    <w:unhideWhenUsed/>
    <w:rsid w:val="00E36010"/>
    <w:rPr>
      <w:color w:val="605E5C"/>
      <w:shd w:val="clear" w:color="auto" w:fill="E1DFDD"/>
    </w:rPr>
  </w:style>
  <w:style w:type="character" w:styleId="Mention">
    <w:name w:val="Mention"/>
    <w:basedOn w:val="DefaultParagraphFont"/>
    <w:uiPriority w:val="99"/>
    <w:unhideWhenUsed/>
    <w:rsid w:val="00E3601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dev/model_consistency_and_calibration_findings_2026-07-14.md" TargetMode="External"/><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hyperlink" Target="../calibration_model_detailed.md"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yperlink" Target="../implementation_plans/capital_targeting_trial_and_error.md" TargetMode="External"/><Relationship Id="rId50" Type="http://schemas.openxmlformats.org/officeDocument/2006/relationships/hyperlink" Target="../calibration_model_detailed.md"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structural_parameters_source_audit.md" TargetMode="External"/><Relationship Id="rId29" Type="http://schemas.openxmlformats.org/officeDocument/2006/relationships/hyperlink" Target="../finance_instruments_comments_feasibility.md" TargetMode="Externa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model.md" TargetMode="External"/><Relationship Id="rId19" Type="http://schemas.openxmlformats.org/officeDocument/2006/relationships/hyperlink" Target="../calibration.md" TargetMode="External"/><Relationship Id="rId31" Type="http://schemas.openxmlformats.org/officeDocument/2006/relationships/hyperlink" Target="../scenario.md" TargetMode="External"/><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calibration_model_detailed.md" TargetMode="External"/><Relationship Id="rId27" Type="http://schemas.openxmlformats.org/officeDocument/2006/relationships/hyperlink" Target="../../ExcelFiles/README.md" TargetMode="External"/><Relationship Id="rId30" Type="http://schemas.openxmlformats.org/officeDocument/2006/relationships/hyperlink" Target="../running.md"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model.md" TargetMode="External"/><Relationship Id="rId8" Type="http://schemas.openxmlformats.org/officeDocument/2006/relationships/image" Target="media/image3.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10.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hyperlink" Target="PDP8_IMPACT_ASSESSMENT.md" TargetMode="External"/><Relationship Id="rId15" Type="http://schemas.openxmlformats.org/officeDocument/2006/relationships/hyperlink" Target="../data_sources.md"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hyperlink" Target="../structural_parameters_source_audit.md"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ul\Deutsche%20Gesellschaft%20f&#252;r%20Internationale%20Zusammenarbeit%20(GIZ)%20GmbH\!&#128276;VNM%20Macroeconomic%20Modelling%20GIZ%20IWH%20GWS%20with%20guests%20-%20General\Project%20Reports\IWH_Investment_Needs_Assessment_Report_cle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4C450C8-7F22-4649-AE09-A0C06C829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IWH_Investment_Needs_Assessment_Report_clean.dotx</Template>
  <TotalTime>17</TotalTime>
  <Pages>32</Pages>
  <Words>6856</Words>
  <Characters>39085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DGE-METRIC: Technical Report</vt:lpstr>
    </vt:vector>
  </TitlesOfParts>
  <Company/>
  <LinksUpToDate>false</LinksUpToDate>
  <CharactersWithSpaces>45850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DGE-METRIC: Technical Report</dc:title>
  <dc:subject>Dynamic General Equilibrium Model for Vietnam's Energy Transition</dc:subject>
  <dc:creator>Christoph Schult, Halle Institute for Economic Research (IWH)</dc:creator>
  <cp:keywords>DGE-METRIC, Vietnam, energy transition, technical report</cp:keywords>
  <cp:lastModifiedBy>Christoph Schult</cp:lastModifiedBy>
  <cp:revision>5</cp:revision>
  <dcterms:created xsi:type="dcterms:W3CDTF">2026-07-24T13:52:00Z</dcterms:created>
  <dcterms:modified xsi:type="dcterms:W3CDTF">2026-07-25T08:17:00Z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2026-07-14</vt:lpwstr>
  </property>
</Properties>
</file>