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Benchmark de Redes Sociais</w:t>
      </w:r>
    </w:p>
    <w:p>
      <w:pPr>
        <w:pStyle w:val="Subtitle"/>
      </w:pPr>
      <w:r>
        <w:t>10 seguradoras de referência no Brasil | Instagram e LinkedIn</w:t>
      </w:r>
    </w:p>
    <w:p>
      <w:r>
        <w:t>Objetivo: reunir perfis institucionais relevantes para análise comparativa de presença digital, comunicação com corretores e posicionamento de marca da ENS.</w:t>
      </w:r>
    </w:p>
    <w:p>
      <w:pPr>
        <w:pStyle w:val="Heading1"/>
      </w:pPr>
      <w:r>
        <w:t>1. Critérios de seleção</w:t>
      </w:r>
    </w:p>
    <w:p>
      <w:r>
        <w:t>Seleção indicativa baseada em porte financeiro, presença comercial, base de segurados e relevância institucional. Não representa um ranking financeiro oficial nem uma classificação auditada por número de clientes.</w:t>
      </w:r>
    </w:p>
    <w:p>
      <w:pPr>
        <w:pStyle w:val="Heading1"/>
      </w:pPr>
      <w:r>
        <w:t>2. Perfis para acompanhamento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Seguradora</w:t>
            </w:r>
          </w:p>
        </w:tc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LinkedIn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Porto Seguro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https://www.instagram.com/porto/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https://www.linkedin.com/company/porto/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Tokio Marine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https://www.instagram.com/tokiomarineseguradora/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https://www.linkedin.com/company/tokio-marine-seguradora/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Brasilseg / BB Seguros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Não confirmado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https://www.linkedin.com/company/brasilseg/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Allianz Seguros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https://www.instagram.com/allianzbrasil/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https://www.linkedin.com/company/allianz-seguros-brasil/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MAPFRE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https://www.instagram.com/mapfrebrasil/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https://www.linkedin.com/company/mapfre/ (global)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Bradesco Seguros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https://www.instagram.com/bradescoseguros/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https://www.linkedin.com/company/bradesco-seguros/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Zurich Seguros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https://www.instagram.com/zurichnobrasil/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https://www.linkedin.com/company/zurich-insurance-company-ltd/ (global)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Itaú Seguros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Não confirmado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Não confirmado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Yelum Seguros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Não confirmado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https://www.linkedin.com/company/grupo-hdi-brasil/ (grupo)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HDI Seguros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Não confirmado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https://www.linkedin.com/company/grupo-hdi-brasil/ (grupo)</w:t>
            </w:r>
          </w:p>
        </w:tc>
      </w:tr>
    </w:tbl>
    <w:p>
      <w:r>
        <w:t>Nota: endereços reunidos na pesquisa anterior; recomenda-se confirmar a atividade e titularidade de cada perfil antes de usar em relatórios públicos. “Não confirmado” não significa ausência de perfil.</w:t>
      </w:r>
    </w:p>
    <w:p>
      <w:pPr>
        <w:pStyle w:val="Heading1"/>
      </w:pPr>
      <w:r>
        <w:t>3. Audiência no LinkedIn — referência inicial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Seguidores informados</w:t>
            </w:r>
          </w:p>
        </w:tc>
        <w:tc>
          <w:tcPr>
            <w:tcW w:type="dxa" w:w="2880"/>
          </w:tcPr>
          <w:p>
            <w:r>
              <w:t>Abrangência</w:t>
            </w:r>
          </w:p>
        </w:tc>
      </w:tr>
      <w:tr>
        <w:tc>
          <w:tcPr>
            <w:tcW w:type="dxa" w:w="2880"/>
          </w:tcPr>
          <w:p>
            <w:r>
              <w:t>Bradesco Seguros</w:t>
            </w:r>
          </w:p>
        </w:tc>
        <w:tc>
          <w:tcPr>
            <w:tcW w:type="dxa" w:w="2880"/>
          </w:tcPr>
          <w:p>
            <w:r>
              <w:t>1.768.038</w:t>
            </w:r>
          </w:p>
        </w:tc>
        <w:tc>
          <w:tcPr>
            <w:tcW w:type="dxa" w:w="2880"/>
          </w:tcPr>
          <w:p>
            <w:r>
              <w:t>Brasil</w:t>
            </w:r>
          </w:p>
        </w:tc>
      </w:tr>
      <w:tr>
        <w:tc>
          <w:tcPr>
            <w:tcW w:type="dxa" w:w="2880"/>
          </w:tcPr>
          <w:p>
            <w:r>
              <w:t>Porto</w:t>
            </w:r>
          </w:p>
        </w:tc>
        <w:tc>
          <w:tcPr>
            <w:tcW w:type="dxa" w:w="2880"/>
          </w:tcPr>
          <w:p>
            <w:r>
              <w:t>1.666.289</w:t>
            </w:r>
          </w:p>
        </w:tc>
        <w:tc>
          <w:tcPr>
            <w:tcW w:type="dxa" w:w="2880"/>
          </w:tcPr>
          <w:p>
            <w:r>
              <w:t>Brasil</w:t>
            </w:r>
          </w:p>
        </w:tc>
      </w:tr>
      <w:tr>
        <w:tc>
          <w:tcPr>
            <w:tcW w:type="dxa" w:w="2880"/>
          </w:tcPr>
          <w:p>
            <w:r>
              <w:t>MAPFRE</w:t>
            </w:r>
          </w:p>
        </w:tc>
        <w:tc>
          <w:tcPr>
            <w:tcW w:type="dxa" w:w="2880"/>
          </w:tcPr>
          <w:p>
            <w:r>
              <w:t>1.245.338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  <w:tr>
        <w:tc>
          <w:tcPr>
            <w:tcW w:type="dxa" w:w="2880"/>
          </w:tcPr>
          <w:p>
            <w:r>
              <w:t>Grupo HDI</w:t>
            </w:r>
          </w:p>
        </w:tc>
        <w:tc>
          <w:tcPr>
            <w:tcW w:type="dxa" w:w="2880"/>
          </w:tcPr>
          <w:p>
            <w:r>
              <w:t>277.801</w:t>
            </w:r>
          </w:p>
        </w:tc>
        <w:tc>
          <w:tcPr>
            <w:tcW w:type="dxa" w:w="2880"/>
          </w:tcPr>
          <w:p>
            <w:r>
              <w:t>Brasil</w:t>
            </w:r>
          </w:p>
        </w:tc>
      </w:tr>
      <w:tr>
        <w:tc>
          <w:tcPr>
            <w:tcW w:type="dxa" w:w="2880"/>
          </w:tcPr>
          <w:p>
            <w:r>
              <w:t>Allianz Brasil</w:t>
            </w:r>
          </w:p>
        </w:tc>
        <w:tc>
          <w:tcPr>
            <w:tcW w:type="dxa" w:w="2880"/>
          </w:tcPr>
          <w:p>
            <w:r>
              <w:t>239.584</w:t>
            </w:r>
          </w:p>
        </w:tc>
        <w:tc>
          <w:tcPr>
            <w:tcW w:type="dxa" w:w="2880"/>
          </w:tcPr>
          <w:p>
            <w:r>
              <w:t>Brasil</w:t>
            </w:r>
          </w:p>
        </w:tc>
      </w:tr>
      <w:tr>
        <w:tc>
          <w:tcPr>
            <w:tcW w:type="dxa" w:w="2880"/>
          </w:tcPr>
          <w:p>
            <w:r>
              <w:t>Brasilseg</w:t>
            </w:r>
          </w:p>
        </w:tc>
        <w:tc>
          <w:tcPr>
            <w:tcW w:type="dxa" w:w="2880"/>
          </w:tcPr>
          <w:p>
            <w:r>
              <w:t>214.859</w:t>
            </w:r>
          </w:p>
        </w:tc>
        <w:tc>
          <w:tcPr>
            <w:tcW w:type="dxa" w:w="2880"/>
          </w:tcPr>
          <w:p>
            <w:r>
              <w:t>Brasil</w:t>
            </w:r>
          </w:p>
        </w:tc>
      </w:tr>
    </w:tbl>
    <w:p>
      <w:r>
        <w:t>Contagens indicativas reproduzidas do levantamento anterior, sem nova verificação nesta versão. Os perfis globais não são diretamente comparáveis aos brasileiros; números mudam continuamente.</w:t>
      </w:r>
    </w:p>
    <w:p>
      <w:pPr>
        <w:pStyle w:val="Heading1"/>
      </w:pPr>
      <w:r>
        <w:t>4. Aplicação no benchmarking ENS</w:t>
      </w:r>
    </w:p>
    <w:p>
      <w:r>
        <w:t>Priorizar Porto, Bradesco Seguros, Tokio Marine, Allianz e Grupo HDI como referências iniciais. Avaliar, em cada rede: frequência de publicação; formatos (vídeo, carrossel, imagem); engajamento relativo; temas recorrentes; relacionamento com corretores; conteúdo educativo; presença de executivos e especialistas.</w:t>
      </w:r>
    </w:p>
    <w:p>
      <w:r>
        <w:t>Próxima etapa: montar uma matriz de acompanhamento mensal, com data de coleta, seguidores, publicações, interações e exemplos de boas práticas. Separar métricas de Instagram e LinkedIn e distinguir perfis nacionais de globais.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ENS | Benchmark de redes sociais • Documento de trabalho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6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26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6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