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Finanzamt Berlin-Charlottenburg</w:t>
      </w:r>
    </w:p>
    <w:p>
      <w:pPr>
        <w:spacing w:after="0"/>
      </w:pPr>
      <w:r>
        <w:t>Bismarckstr. 48</w:t>
      </w:r>
    </w:p>
    <w:p>
      <w:pPr>
        <w:spacing w:after="0"/>
      </w:pPr>
      <w:r>
        <w:t>10627 Berlin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Umsatzsteuer 2023–2024 und Körperschaftsteuer</w:t>
        <w:br/>
        <w:t xml:space="preserve">    Hauptforderung:     24.750,00 €</w:t>
        <w:br/>
        <w:t xml:space="preserve">    Zinsen:             890,00 €</w:t>
        <w:br/>
        <w:t xml:space="preserve">    Kosten:             150,00 €</w:t>
        <w:br/>
        <w:t xml:space="preserve">    ─────────────────────────────────────</w:t>
        <w:br/>
        <w:t xml:space="preserve">    Gesamtbetrag:       25.790,00 €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