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Thomas Müller (Gesellschafter-Darlehen)</w:t>
      </w:r>
    </w:p>
    <w:p>
      <w:pPr>
        <w:spacing w:after="0"/>
      </w:pPr>
      <w:r>
        <w:t>Hauptstraße 7</w:t>
      </w:r>
    </w:p>
    <w:p>
      <w:pPr>
        <w:spacing w:after="0"/>
      </w:pPr>
      <w:r>
        <w:t>10827 Berlin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Gesellschafterdarlehen vom 15.03.2022</w:t>
        <w:br/>
        <w:t xml:space="preserve">    Hauptforderung:     50.000,00 €</w:t>
        <w:br/>
        <w:t xml:space="preserve">    Zinsen:             1.800,00 €</w:t>
        <w:br/>
        <w:t xml:space="preserve">    Kosten:             0,00 €</w:t>
        <w:br/>
        <w:t xml:space="preserve">    ─────────────────────────────────────</w:t>
        <w:br/>
        <w:t xml:space="preserve">    Gesamtbetrag:       51.800,00 €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