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97D"/>
          <w:sz w:val="52"/>
        </w:rPr>
        <w:t>AWS MovieLens Recommendation System</w:t>
      </w:r>
    </w:p>
    <w:p>
      <w:pPr>
        <w:spacing w:after="40"/>
      </w:pPr>
      <w:r>
        <w:rPr>
          <w:rFonts w:ascii="Calibri" w:hAnsi="Calibri"/>
          <w:i/>
          <w:color w:val="808080"/>
          <w:sz w:val="22"/>
        </w:rPr>
        <w:t>Project Description  |  March 2026</w:t>
      </w:r>
    </w:p>
    <w:p>
      <w:pPr>
        <w:pBdr>
          <w:bottom w:val="single" w:sz="6" w:color="FF9900"/>
        </w:pBdr>
        <w:spacing w:before="0" w:after="80"/>
      </w:pPr>
    </w:p>
    <w:p>
      <w:pPr>
        <w:pStyle w:val="Heading1"/>
        <w:spacing w:before="360" w:after="120"/>
        <w:jc w:val="left"/>
      </w:pPr>
      <w:r>
        <w:rPr>
          <w:rFonts w:ascii="Calibri" w:hAnsi="Calibri"/>
          <w:b/>
          <w:color w:val="1F497D"/>
          <w:sz w:val="36"/>
        </w:rPr>
        <w:t>1. Executive Summary</w:t>
      </w:r>
    </w:p>
    <w:p>
      <w:pPr>
        <w:spacing w:after="120"/>
      </w:pPr>
      <w:r>
        <w:rPr>
          <w:rFonts w:ascii="Calibri" w:hAnsi="Calibri"/>
          <w:b w:val="0"/>
          <w:i w:val="0"/>
          <w:color w:val="444444"/>
          <w:sz w:val="22"/>
        </w:rPr>
        <w:t>The AWS MovieLens Recommendation System is a production-grade, cloud-native platform that delivers personalised movie recommendations to end users in real time. Built entirely on Amazon Web Services (AWS), the system ingests historical viewing and rating data, trains an AI model to understand individual user preferences, and serves tailored recommendations with sub-500 ms response times at scale. The platform is fully automated — it retrains itself every week with fresh data, self-monitors for quality degradation, and alerts the operations team if performance thresholds are breached — requiring minimal day-to-day human intervention.</w:t>
      </w:r>
    </w:p>
    <w:p>
      <w:pPr>
        <w:pStyle w:val="Heading1"/>
        <w:spacing w:before="360" w:after="120"/>
        <w:jc w:val="left"/>
      </w:pPr>
      <w:r>
        <w:rPr>
          <w:rFonts w:ascii="Calibri" w:hAnsi="Calibri"/>
          <w:b/>
          <w:color w:val="1F497D"/>
          <w:sz w:val="36"/>
        </w:rPr>
        <w:t>2. Business Value</w:t>
      </w:r>
    </w:p>
    <w:p>
      <w:pPr>
        <w:spacing w:after="120"/>
      </w:pPr>
      <w:r>
        <w:rPr>
          <w:rFonts w:ascii="Calibri" w:hAnsi="Calibri"/>
          <w:b w:val="0"/>
          <w:i w:val="0"/>
          <w:color w:val="444444"/>
          <w:sz w:val="22"/>
        </w:rPr>
        <w:t>Personalised recommendations are a proven driver of user engagement and revenue in content and streaming businesses. This platform provides:</w:t>
      </w:r>
    </w:p>
    <w:p>
      <w:pPr>
        <w:pStyle w:val="ListBullet"/>
        <w:spacing w:after="60"/>
      </w:pPr>
      <w:r>
        <w:rPr>
          <w:rFonts w:ascii="Calibri" w:hAnsi="Calibri"/>
          <w:color w:val="444444"/>
          <w:sz w:val="22"/>
        </w:rPr>
        <w:t>Increased user engagement — relevant suggestions keep users on the platform longer.</w:t>
      </w:r>
    </w:p>
    <w:p>
      <w:pPr>
        <w:pStyle w:val="ListBullet"/>
        <w:spacing w:after="60"/>
      </w:pPr>
      <w:r>
        <w:rPr>
          <w:rFonts w:ascii="Calibri" w:hAnsi="Calibri"/>
          <w:color w:val="444444"/>
          <w:sz w:val="22"/>
        </w:rPr>
        <w:t>Higher conversion rates — contextual recommendations reduce browsing friction.</w:t>
      </w:r>
    </w:p>
    <w:p>
      <w:pPr>
        <w:pStyle w:val="ListBullet"/>
        <w:spacing w:after="60"/>
      </w:pPr>
      <w:r>
        <w:rPr>
          <w:rFonts w:ascii="Calibri" w:hAnsi="Calibri"/>
          <w:color w:val="444444"/>
          <w:sz w:val="22"/>
        </w:rPr>
        <w:t>Operational efficiency — automated retraining eliminates manual model maintenance.</w:t>
      </w:r>
    </w:p>
    <w:p>
      <w:pPr>
        <w:pStyle w:val="ListBullet"/>
        <w:spacing w:after="60"/>
      </w:pPr>
      <w:r>
        <w:rPr>
          <w:rFonts w:ascii="Calibri" w:hAnsi="Calibri"/>
          <w:color w:val="444444"/>
          <w:sz w:val="22"/>
        </w:rPr>
        <w:t>Scalability on demand — the system scales from a handful of requests to hundreds per second without infrastructure changes.</w:t>
      </w:r>
    </w:p>
    <w:p>
      <w:pPr>
        <w:pStyle w:val="ListBullet"/>
        <w:spacing w:after="60"/>
      </w:pPr>
      <w:r>
        <w:rPr>
          <w:rFonts w:ascii="Calibri" w:hAnsi="Calibri"/>
          <w:color w:val="444444"/>
          <w:sz w:val="22"/>
        </w:rPr>
        <w:t>Cost transparency — estimated monthly operating cost of $56 (development) to $325 (production), with built-in cost optimisation strategies.</w:t>
      </w:r>
    </w:p>
    <w:p>
      <w:pPr>
        <w:pStyle w:val="Heading1"/>
        <w:spacing w:before="360" w:after="120"/>
        <w:jc w:val="left"/>
      </w:pPr>
      <w:r>
        <w:rPr>
          <w:rFonts w:ascii="Calibri" w:hAnsi="Calibri"/>
          <w:b/>
          <w:color w:val="1F497D"/>
          <w:sz w:val="36"/>
        </w:rPr>
        <w:t>3. How It Works</w:t>
      </w:r>
    </w:p>
    <w:p>
      <w:pPr>
        <w:spacing w:after="120"/>
      </w:pPr>
      <w:r>
        <w:rPr>
          <w:rFonts w:ascii="Calibri" w:hAnsi="Calibri"/>
          <w:b w:val="0"/>
          <w:i w:val="0"/>
          <w:color w:val="444444"/>
          <w:sz w:val="22"/>
        </w:rPr>
        <w:t>The platform operates as an end-to-end machine learning pipeline across five logical stages:</w:t>
      </w:r>
    </w:p>
    <w:p>
      <w:pPr>
        <w:pStyle w:val="Heading2"/>
        <w:spacing w:before="200" w:after="120"/>
        <w:jc w:val="left"/>
      </w:pPr>
      <w:r>
        <w:rPr>
          <w:rFonts w:ascii="Calibri" w:hAnsi="Calibri"/>
          <w:b/>
          <w:color w:val="1F497D"/>
          <w:sz w:val="28"/>
        </w:rPr>
        <w:t>3.1  Data Ingestion &amp; Storage</w:t>
      </w:r>
    </w:p>
    <w:p>
      <w:pPr>
        <w:spacing w:after="120"/>
      </w:pPr>
      <w:r>
        <w:rPr>
          <w:rFonts w:ascii="Calibri" w:hAnsi="Calibri"/>
          <w:b w:val="0"/>
          <w:i w:val="0"/>
          <w:color w:val="444444"/>
          <w:sz w:val="22"/>
        </w:rPr>
        <w:t>Raw movie ratings data (sourced from the widely used MovieLens dataset) is uploaded to a secure, encrypted cloud storage bucket on Amazon S3. The data is automatically partitioned into training, validation, and test sets to support rigorous model evaluation.</w:t>
      </w:r>
    </w:p>
    <w:p>
      <w:pPr>
        <w:pStyle w:val="Heading2"/>
        <w:spacing w:before="200" w:after="120"/>
        <w:jc w:val="left"/>
      </w:pPr>
      <w:r>
        <w:rPr>
          <w:rFonts w:ascii="Calibri" w:hAnsi="Calibri"/>
          <w:b/>
          <w:color w:val="1F497D"/>
          <w:sz w:val="28"/>
        </w:rPr>
        <w:t>3.2  Model Training</w:t>
      </w:r>
    </w:p>
    <w:p>
      <w:pPr>
        <w:spacing w:after="120"/>
      </w:pPr>
      <w:r>
        <w:rPr>
          <w:rFonts w:ascii="Calibri" w:hAnsi="Calibri"/>
          <w:b w:val="0"/>
          <w:i w:val="0"/>
          <w:color w:val="444444"/>
          <w:sz w:val="22"/>
        </w:rPr>
        <w:t>A collaborative filtering algorithm — the same family of technique used by major streaming services — analyses patterns across millions of user-movie interactions. The model learns latent preferences (what users like and why) without requiring explicit content tags or demographic data. Training is executed on AWS SageMaker, a managed machine learning service, removing the need to provision or manage servers.</w:t>
      </w:r>
    </w:p>
    <w:p>
      <w:pPr>
        <w:pStyle w:val="Heading2"/>
        <w:spacing w:before="200" w:after="120"/>
        <w:jc w:val="left"/>
      </w:pPr>
      <w:r>
        <w:rPr>
          <w:rFonts w:ascii="Calibri" w:hAnsi="Calibri"/>
          <w:b/>
          <w:color w:val="1F497D"/>
          <w:sz w:val="28"/>
        </w:rPr>
        <w:t>3.3  Quality Gate &amp; Deployment</w:t>
      </w:r>
    </w:p>
    <w:p>
      <w:pPr>
        <w:spacing w:after="120"/>
      </w:pPr>
      <w:r>
        <w:rPr>
          <w:rFonts w:ascii="Calibri" w:hAnsi="Calibri"/>
          <w:b w:val="0"/>
          <w:i w:val="0"/>
          <w:color w:val="444444"/>
          <w:sz w:val="22"/>
        </w:rPr>
        <w:t>Once training completes, an automated evaluation step measures model accuracy (using Root Mean Square Error — RMSE). Only models that meet the quality threshold (RMSE &lt; 0.9) are promoted to the live serving endpoint. Sub-standard models are automatically rejected, protecting end users from degraded recommendation quality.</w:t>
      </w:r>
    </w:p>
    <w:p>
      <w:pPr>
        <w:pStyle w:val="Heading2"/>
        <w:spacing w:before="200" w:after="120"/>
        <w:jc w:val="left"/>
      </w:pPr>
      <w:r>
        <w:rPr>
          <w:rFonts w:ascii="Calibri" w:hAnsi="Calibri"/>
          <w:b/>
          <w:color w:val="1F497D"/>
          <w:sz w:val="28"/>
        </w:rPr>
        <w:t>3.4  Real-Time Inference</w:t>
      </w:r>
    </w:p>
    <w:p>
      <w:pPr>
        <w:spacing w:after="120"/>
      </w:pPr>
      <w:r>
        <w:rPr>
          <w:rFonts w:ascii="Calibri" w:hAnsi="Calibri"/>
          <w:b w:val="0"/>
          <w:i w:val="0"/>
          <w:color w:val="444444"/>
          <w:sz w:val="22"/>
        </w:rPr>
        <w:t>The deployed model is exposed via a scalable SageMaker endpoint that responds to recommendation requests in under 500 ms (P99). An LRU cache reduces repeated computation for popular queries. Auto-scaling automatically adds or removes compute instances based on live traffic (1–5 instances), ensuring cost efficiency during quiet periods and reliable performance during peak demand.</w:t>
      </w:r>
    </w:p>
    <w:p>
      <w:pPr>
        <w:pStyle w:val="Heading2"/>
        <w:spacing w:before="200" w:after="120"/>
        <w:jc w:val="left"/>
      </w:pPr>
      <w:r>
        <w:rPr>
          <w:rFonts w:ascii="Calibri" w:hAnsi="Calibri"/>
          <w:b/>
          <w:color w:val="1F497D"/>
          <w:sz w:val="28"/>
        </w:rPr>
        <w:t>3.5  Monitoring &amp; Automated Retraining</w:t>
      </w:r>
    </w:p>
    <w:p>
      <w:pPr>
        <w:spacing w:after="120"/>
      </w:pPr>
      <w:r>
        <w:rPr>
          <w:rFonts w:ascii="Calibri" w:hAnsi="Calibri"/>
          <w:b w:val="0"/>
          <w:i w:val="0"/>
          <w:color w:val="444444"/>
          <w:sz w:val="22"/>
        </w:rPr>
        <w:t>The system continuously monitors its own health via AWS CloudWatch dashboards and alerts. SageMaker Model Monitor detects data drift — situations where the incoming request patterns deviate from what the model was trained on. Every Sunday at 2 AM UTC, an automated scheduler triggers a full pipeline retraining cycle, keeping the model current with the latest user behaviour data.</w:t>
      </w:r>
    </w:p>
    <w:p>
      <w:pPr>
        <w:pStyle w:val="Heading1"/>
        <w:spacing w:before="360" w:after="120"/>
        <w:jc w:val="left"/>
      </w:pPr>
      <w:r>
        <w:rPr>
          <w:rFonts w:ascii="Calibri" w:hAnsi="Calibri"/>
          <w:b/>
          <w:color w:val="1F497D"/>
          <w:sz w:val="36"/>
        </w:rPr>
        <w:t>4. Technology Stack</w:t>
      </w:r>
    </w:p>
    <w:p>
      <w:pPr>
        <w:spacing w:after="120"/>
      </w:pPr>
      <w:r>
        <w:rPr>
          <w:rFonts w:ascii="Calibri" w:hAnsi="Calibri"/>
          <w:b w:val="0"/>
          <w:i w:val="0"/>
          <w:color w:val="444444"/>
          <w:sz w:val="22"/>
        </w:rPr>
        <w:t>The following table summarises the key technologies powering the platform:</w:t>
      </w:r>
    </w:p>
    <w:p/>
    <w:tbl>
      <w:tblPr>
        <w:tblW w:type="auto" w:w="0"/>
        <w:jc w:val="left"/>
        <w:tblLook w:firstColumn="1" w:firstRow="1" w:lastColumn="0" w:lastRow="0" w:noHBand="0" w:noVBand="1" w:val="04A0"/>
      </w:tblPr>
      <w:tblGrid>
        <w:gridCol w:w="3120"/>
        <w:gridCol w:w="3120"/>
        <w:gridCol w:w="3120"/>
      </w:tblGrid>
      <w:tr>
        <w:tc>
          <w:tcPr>
            <w:tcW w:type="dxa" w:w="2304"/>
            <w:shd w:val="clear" w:color="auto" w:fill="D5E8F0"/>
            <w:tcBorders>
              <w:top w:val="single" w:sz="4" w:color="CCCCCC"/>
              <w:left w:val="single" w:sz="4" w:color="CCCCCC"/>
              <w:bottom w:val="single" w:sz="4" w:color="CCCCCC"/>
              <w:right w:val="single" w:sz="4" w:color="CCCCCC"/>
            </w:tcBorders>
            <w:vAlign w:val="center"/>
          </w:tcPr>
          <w:p>
            <w:pPr>
              <w:spacing w:before="80" w:after="80"/>
            </w:pPr>
            <w:r>
              <w:rPr>
                <w:rFonts w:ascii="Calibri" w:hAnsi="Calibri"/>
                <w:b/>
                <w:color w:val="1F497D"/>
                <w:sz w:val="20"/>
              </w:rPr>
              <w:t>Layer</w:t>
            </w:r>
          </w:p>
        </w:tc>
        <w:tc>
          <w:tcPr>
            <w:tcW w:type="dxa" w:w="2592"/>
            <w:shd w:val="clear" w:color="auto" w:fill="D5E8F0"/>
            <w:tcBorders>
              <w:top w:val="single" w:sz="4" w:color="CCCCCC"/>
              <w:left w:val="single" w:sz="4" w:color="CCCCCC"/>
              <w:bottom w:val="single" w:sz="4" w:color="CCCCCC"/>
              <w:right w:val="single" w:sz="4" w:color="CCCCCC"/>
            </w:tcBorders>
            <w:vAlign w:val="center"/>
          </w:tcPr>
          <w:p>
            <w:pPr>
              <w:spacing w:before="80" w:after="80"/>
            </w:pPr>
            <w:r>
              <w:rPr>
                <w:rFonts w:ascii="Calibri" w:hAnsi="Calibri"/>
                <w:b/>
                <w:color w:val="1F497D"/>
                <w:sz w:val="20"/>
              </w:rPr>
              <w:t>Technology / Service</w:t>
            </w:r>
          </w:p>
        </w:tc>
        <w:tc>
          <w:tcPr>
            <w:tcW w:type="dxa" w:w="6048"/>
            <w:shd w:val="clear" w:color="auto" w:fill="D5E8F0"/>
            <w:tcBorders>
              <w:top w:val="single" w:sz="4" w:color="CCCCCC"/>
              <w:left w:val="single" w:sz="4" w:color="CCCCCC"/>
              <w:bottom w:val="single" w:sz="4" w:color="CCCCCC"/>
              <w:right w:val="single" w:sz="4" w:color="CCCCCC"/>
            </w:tcBorders>
            <w:vAlign w:val="center"/>
          </w:tcPr>
          <w:p>
            <w:pPr>
              <w:spacing w:before="80" w:after="80"/>
            </w:pPr>
            <w:r>
              <w:rPr>
                <w:rFonts w:ascii="Calibri" w:hAnsi="Calibri"/>
                <w:b/>
                <w:color w:val="1F497D"/>
                <w:sz w:val="20"/>
              </w:rPr>
              <w:t>Purpose</w:t>
            </w:r>
          </w:p>
        </w:tc>
      </w:tr>
      <w:tr>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AI / ML Framework</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PyTorch</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Deep learning framework used to build and train the collaborative filtering neural network model.</w:t>
            </w:r>
          </w:p>
        </w:tc>
      </w:tr>
      <w:tr>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Cloud Platform</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Amazon Web Services (AWS)</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All infrastructure is hosted on AWS, leveraging managed services to minimise operational overhead.</w:t>
            </w:r>
          </w:p>
        </w:tc>
      </w:tr>
      <w:tr>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Data Storage</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Amazon S3</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Scalable object storage for raw data, processed datasets, trained model artefacts, and monitoring reports. Encrypted at rest.</w:t>
            </w:r>
          </w:p>
        </w:tc>
      </w:tr>
      <w:tr>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Model Training</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Amazon SageMaker</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Fully managed ML service for running training jobs, hyperparameter tuning, and hosting live inference endpoints.</w:t>
            </w:r>
          </w:p>
        </w:tc>
      </w:tr>
      <w:tr>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Pipeline Orchestration</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AWS Step Functions</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Serverless state machine that coordinates the end-to-end ML pipeline: preprocessing → training → evaluation → deployment.</w:t>
            </w:r>
          </w:p>
        </w:tc>
      </w:tr>
      <w:tr>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Scheduling</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Amazon EventBridge</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Event-driven scheduler that triggers the weekly automated retraining pipeline without manual intervention.</w:t>
            </w:r>
          </w:p>
        </w:tc>
      </w:tr>
      <w:tr>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Serverless Compute</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AWS Lambda</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Serverless functions handling model evaluation logic and monitoring callbacks, eliminating the need for always-on servers.</w:t>
            </w:r>
          </w:p>
        </w:tc>
      </w:tr>
      <w:tr>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Observability</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Amazon CloudWatch</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Centralised metrics, logs, and dashboards. Configured alarms notify the operations team if error rates or latency exceed thresholds.</w:t>
            </w:r>
          </w:p>
        </w:tc>
      </w:tr>
      <w:tr>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Model Quality Monitor</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SageMaker Model Monitor</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Continuously compares live traffic patterns against a training baseline to detect data drift and trigger alerts.</w:t>
            </w:r>
          </w:p>
        </w:tc>
      </w:tr>
      <w:tr>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Alerting</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Amazon SNS (Simple Notification Service)</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Delivers email and SMS alerts to the operations team when CloudWatch alarms or model quality violations are detected.</w:t>
            </w:r>
          </w:p>
        </w:tc>
      </w:tr>
      <w:tr>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Security &amp; Access</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AWS IAM (Identity &amp; Access Management)</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Role-based access control enforcing least-privilege permissions across all AWS services.</w:t>
            </w:r>
          </w:p>
        </w:tc>
      </w:tr>
      <w:tr>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Encryption</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AWS KMS / TLS 1.2+</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Data encrypted at rest (KMS-managed keys on S3 and SageMaker volumes) and in transit (TLS 1.2+).</w:t>
            </w:r>
          </w:p>
        </w:tc>
      </w:tr>
      <w:tr>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Programming Language</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Python 3.10+</w:t>
            </w:r>
          </w:p>
        </w:tc>
        <w:tc>
          <w:tcPr>
            <w:tcW w:type="dxa" w:w="3120"/>
            <w:shd w:val="clear" w:color="auto" w:fill="F5F9FC"/>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Core language for data preprocessing, model code, infrastructure deployment scripts, and test suites.</w:t>
            </w:r>
          </w:p>
        </w:tc>
      </w:tr>
      <w:tr>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color w:val="444444"/>
                <w:sz w:val="20"/>
              </w:rPr>
              <w:t>Testing Framework</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pytest</w:t>
            </w:r>
          </w:p>
        </w:tc>
        <w:tc>
          <w:tcPr>
            <w:tcW w:type="dxa" w:w="3120"/>
            <w:shd w:val="clear" w:color="auto" w:fill="FFFFFF"/>
            <w:tcBorders>
              <w:top w:val="single" w:sz="4" w:color="CCCCCC"/>
              <w:left w:val="single" w:sz="4" w:color="CCCCCC"/>
              <w:bottom w:val="single" w:sz="4" w:color="CCCCCC"/>
              <w:right w:val="single" w:sz="4" w:color="CCCCCC"/>
            </w:tcBorders>
            <w:vAlign w:val="center"/>
          </w:tcPr>
          <w:p>
            <w:pPr>
              <w:spacing w:before="60" w:after="60"/>
            </w:pPr>
            <w:r>
              <w:rPr>
                <w:rFonts w:ascii="Calibri" w:hAnsi="Calibri"/>
                <w:b w:val="0"/>
                <w:color w:val="444444"/>
                <w:sz w:val="20"/>
              </w:rPr>
              <w:t>Unit, property-based, and integration tests ensuring reliability and correctness of the ML pipeline.</w:t>
            </w:r>
          </w:p>
        </w:tc>
      </w:tr>
    </w:tbl>
    <w:p>
      <w:pPr>
        <w:pStyle w:val="Heading1"/>
        <w:spacing w:before="360" w:after="120"/>
        <w:jc w:val="left"/>
      </w:pPr>
      <w:r>
        <w:rPr>
          <w:rFonts w:ascii="Calibri" w:hAnsi="Calibri"/>
          <w:b/>
          <w:color w:val="1F497D"/>
          <w:sz w:val="36"/>
        </w:rPr>
        <w:t>5. Performance &amp; Scalability</w:t>
      </w:r>
    </w:p>
    <w:p>
      <w:pPr>
        <w:spacing w:after="120"/>
      </w:pPr>
      <w:r>
        <w:rPr>
          <w:rFonts w:ascii="Calibri" w:hAnsi="Calibri"/>
          <w:b w:val="0"/>
          <w:i w:val="0"/>
          <w:color w:val="444444"/>
          <w:sz w:val="22"/>
        </w:rPr>
        <w:t>The platform is engineered to meet demanding production SLAs:</w:t>
      </w:r>
    </w:p>
    <w:p>
      <w:pPr>
        <w:pStyle w:val="ListBullet"/>
        <w:spacing w:after="60"/>
      </w:pPr>
      <w:r>
        <w:rPr>
          <w:rFonts w:ascii="Calibri" w:hAnsi="Calibri"/>
          <w:color w:val="444444"/>
          <w:sz w:val="22"/>
        </w:rPr>
        <w:t>Response latency: P50 &lt; 200 ms · P90 &lt; 400 ms · P99 &lt; 500 ms</w:t>
      </w:r>
    </w:p>
    <w:p>
      <w:pPr>
        <w:pStyle w:val="ListBullet"/>
        <w:spacing w:after="60"/>
      </w:pPr>
      <w:r>
        <w:rPr>
          <w:rFonts w:ascii="Calibri" w:hAnsi="Calibri"/>
          <w:color w:val="444444"/>
          <w:sz w:val="22"/>
        </w:rPr>
        <w:t>Throughput: 100+ requests per second (up to 500+ concurrent with auto-scaling)</w:t>
      </w:r>
    </w:p>
    <w:p>
      <w:pPr>
        <w:pStyle w:val="ListBullet"/>
        <w:spacing w:after="60"/>
      </w:pPr>
      <w:r>
        <w:rPr>
          <w:rFonts w:ascii="Calibri" w:hAnsi="Calibri"/>
          <w:color w:val="444444"/>
          <w:sz w:val="22"/>
        </w:rPr>
        <w:t>Dataset scale: supports up to 100 million ratings, millions of users and movies</w:t>
      </w:r>
    </w:p>
    <w:p>
      <w:pPr>
        <w:pStyle w:val="ListBullet"/>
        <w:spacing w:after="60"/>
      </w:pPr>
      <w:r>
        <w:rPr>
          <w:rFonts w:ascii="Calibri" w:hAnsi="Calibri"/>
          <w:color w:val="444444"/>
          <w:sz w:val="22"/>
        </w:rPr>
        <w:t>Auto-scaling: endpoint instances scale between 1 and 5 based on live traffic load</w:t>
      </w:r>
    </w:p>
    <w:p>
      <w:pPr>
        <w:pStyle w:val="ListBullet"/>
        <w:spacing w:after="60"/>
      </w:pPr>
      <w:r>
        <w:rPr>
          <w:rFonts w:ascii="Calibri" w:hAnsi="Calibri"/>
          <w:color w:val="444444"/>
          <w:sz w:val="22"/>
        </w:rPr>
        <w:t>Disaster recovery: RTO &lt; 1 hour · RPO &lt; 24 hours, with S3 versioning and automated backups</w:t>
      </w:r>
    </w:p>
    <w:p>
      <w:pPr>
        <w:pStyle w:val="Heading1"/>
        <w:spacing w:before="360" w:after="120"/>
        <w:jc w:val="left"/>
      </w:pPr>
      <w:r>
        <w:rPr>
          <w:rFonts w:ascii="Calibri" w:hAnsi="Calibri"/>
          <w:b/>
          <w:color w:val="1F497D"/>
          <w:sz w:val="36"/>
        </w:rPr>
        <w:t>6. Security &amp; Compliance Posture</w:t>
      </w:r>
    </w:p>
    <w:p>
      <w:pPr>
        <w:spacing w:after="120"/>
      </w:pPr>
      <w:r>
        <w:rPr>
          <w:rFonts w:ascii="Calibri" w:hAnsi="Calibri"/>
          <w:b w:val="0"/>
          <w:i w:val="0"/>
          <w:color w:val="444444"/>
          <w:sz w:val="22"/>
        </w:rPr>
        <w:t>Security is built into every layer of the architecture in accordance with the AWS Well-Architected Framework:</w:t>
      </w:r>
    </w:p>
    <w:p>
      <w:pPr>
        <w:pStyle w:val="ListBullet"/>
        <w:spacing w:after="60"/>
      </w:pPr>
      <w:r>
        <w:rPr>
          <w:rFonts w:ascii="Calibri" w:hAnsi="Calibri"/>
          <w:color w:val="444444"/>
          <w:sz w:val="22"/>
        </w:rPr>
        <w:t>Least-privilege IAM roles — each service component holds only the permissions it requires.</w:t>
      </w:r>
    </w:p>
    <w:p>
      <w:pPr>
        <w:pStyle w:val="ListBullet"/>
        <w:spacing w:after="60"/>
      </w:pPr>
      <w:r>
        <w:rPr>
          <w:rFonts w:ascii="Calibri" w:hAnsi="Calibri"/>
          <w:color w:val="444444"/>
          <w:sz w:val="22"/>
        </w:rPr>
        <w:t>Encryption at rest — all S3 data and SageMaker training volumes are encrypted via AWS KMS.</w:t>
      </w:r>
    </w:p>
    <w:p>
      <w:pPr>
        <w:pStyle w:val="ListBullet"/>
        <w:spacing w:after="60"/>
      </w:pPr>
      <w:r>
        <w:rPr>
          <w:rFonts w:ascii="Calibri" w:hAnsi="Calibri"/>
          <w:color w:val="444444"/>
          <w:sz w:val="22"/>
        </w:rPr>
        <w:t>Encryption in transit — all data transfers use TLS 1.2 or higher.</w:t>
      </w:r>
    </w:p>
    <w:p>
      <w:pPr>
        <w:pStyle w:val="ListBullet"/>
        <w:spacing w:after="60"/>
      </w:pPr>
      <w:r>
        <w:rPr>
          <w:rFonts w:ascii="Calibri" w:hAnsi="Calibri"/>
          <w:color w:val="444444"/>
          <w:sz w:val="22"/>
        </w:rPr>
        <w:t>Network isolation — SageMaker endpoints are deployed in private VPC subnets; internet traffic is routed through an Application Load Balancer.</w:t>
      </w:r>
    </w:p>
    <w:p>
      <w:pPr>
        <w:pStyle w:val="ListBullet"/>
        <w:spacing w:after="60"/>
      </w:pPr>
      <w:r>
        <w:rPr>
          <w:rFonts w:ascii="Calibri" w:hAnsi="Calibri"/>
          <w:color w:val="444444"/>
          <w:sz w:val="22"/>
        </w:rPr>
        <w:t>Audit trail — AWS CloudTrail logs all API activity for compliance and forensic review.</w:t>
      </w:r>
    </w:p>
    <w:p>
      <w:pPr>
        <w:pStyle w:val="Heading1"/>
        <w:spacing w:before="360" w:after="120"/>
        <w:jc w:val="left"/>
      </w:pPr>
      <w:r>
        <w:rPr>
          <w:rFonts w:ascii="Calibri" w:hAnsi="Calibri"/>
          <w:b/>
          <w:color w:val="1F497D"/>
          <w:sz w:val="36"/>
        </w:rPr>
        <w:t>7. Indicative Monthly Cost</w:t>
      </w:r>
    </w:p>
    <w:p>
      <w:pPr>
        <w:spacing w:after="120"/>
      </w:pPr>
      <w:r>
        <w:rPr>
          <w:rFonts w:ascii="Calibri" w:hAnsi="Calibri"/>
          <w:b w:val="0"/>
          <w:i w:val="0"/>
          <w:color w:val="444444"/>
          <w:sz w:val="22"/>
        </w:rPr>
        <w:t>Infrastructure costs are predictable and scale with usage. Estimated monthly figures are shown below:</w:t>
      </w:r>
    </w:p>
    <w:p/>
    <w:tbl>
      <w:tblPr>
        <w:tblW w:type="auto" w:w="0"/>
        <w:jc w:val="left"/>
        <w:tblLook w:firstColumn="1" w:firstRow="1" w:lastColumn="0" w:lastRow="0" w:noHBand="0" w:noVBand="1" w:val="04A0"/>
      </w:tblPr>
      <w:tblGrid>
        <w:gridCol w:w="3120"/>
        <w:gridCol w:w="3120"/>
        <w:gridCol w:w="3120"/>
      </w:tblGrid>
      <w:tr>
        <w:tc>
          <w:tcPr>
            <w:tcW w:type="dxa" w:w="5040"/>
            <w:shd w:val="clear" w:color="auto" w:fill="D5E8F0"/>
            <w:tcBorders>
              <w:top w:val="single" w:sz="4" w:color="CCCCCC"/>
              <w:left w:val="single" w:sz="4" w:color="CCCCCC"/>
              <w:bottom w:val="single" w:sz="4" w:color="CCCCCC"/>
              <w:right w:val="single" w:sz="4" w:color="CCCCCC"/>
            </w:tcBorders>
          </w:tcPr>
          <w:p>
            <w:pPr>
              <w:spacing w:before="80" w:after="80"/>
            </w:pPr>
            <w:r>
              <w:rPr>
                <w:rFonts w:ascii="Calibri" w:hAnsi="Calibri"/>
                <w:b/>
                <w:color w:val="1F497D"/>
                <w:sz w:val="20"/>
              </w:rPr>
              <w:t>Component</w:t>
            </w:r>
          </w:p>
        </w:tc>
        <w:tc>
          <w:tcPr>
            <w:tcW w:type="dxa" w:w="2160"/>
            <w:shd w:val="clear" w:color="auto" w:fill="D5E8F0"/>
            <w:tcBorders>
              <w:top w:val="single" w:sz="4" w:color="CCCCCC"/>
              <w:left w:val="single" w:sz="4" w:color="CCCCCC"/>
              <w:bottom w:val="single" w:sz="4" w:color="CCCCCC"/>
              <w:right w:val="single" w:sz="4" w:color="CCCCCC"/>
            </w:tcBorders>
          </w:tcPr>
          <w:p>
            <w:pPr>
              <w:spacing w:before="80" w:after="80"/>
            </w:pPr>
            <w:r>
              <w:rPr>
                <w:rFonts w:ascii="Calibri" w:hAnsi="Calibri"/>
                <w:b/>
                <w:color w:val="1F497D"/>
                <w:sz w:val="20"/>
              </w:rPr>
              <w:t>Development</w:t>
            </w:r>
          </w:p>
        </w:tc>
        <w:tc>
          <w:tcPr>
            <w:tcW w:type="dxa" w:w="2160"/>
            <w:shd w:val="clear" w:color="auto" w:fill="D5E8F0"/>
            <w:tcBorders>
              <w:top w:val="single" w:sz="4" w:color="CCCCCC"/>
              <w:left w:val="single" w:sz="4" w:color="CCCCCC"/>
              <w:bottom w:val="single" w:sz="4" w:color="CCCCCC"/>
              <w:right w:val="single" w:sz="4" w:color="CCCCCC"/>
            </w:tcBorders>
          </w:tcPr>
          <w:p>
            <w:pPr>
              <w:spacing w:before="80" w:after="80"/>
            </w:pPr>
            <w:r>
              <w:rPr>
                <w:rFonts w:ascii="Calibri" w:hAnsi="Calibri"/>
                <w:b/>
                <w:color w:val="1F497D"/>
                <w:sz w:val="20"/>
              </w:rPr>
              <w:t>Production</w:t>
            </w:r>
          </w:p>
        </w:tc>
      </w:tr>
      <w:tr>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S3 Storage</w:t>
            </w:r>
          </w:p>
        </w:tc>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$5</w:t>
            </w:r>
          </w:p>
        </w:tc>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$20</w:t>
            </w:r>
          </w:p>
        </w:tc>
      </w:tr>
      <w:tr>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SageMaker Training</w:t>
            </w:r>
          </w:p>
        </w:tc>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$10</w:t>
            </w:r>
          </w:p>
        </w:tc>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$50</w:t>
            </w:r>
          </w:p>
        </w:tc>
      </w:tr>
      <w:tr>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SageMaker Endpoint</w:t>
            </w:r>
          </w:p>
        </w:tc>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$30</w:t>
            </w:r>
          </w:p>
        </w:tc>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$200</w:t>
            </w:r>
          </w:p>
        </w:tc>
      </w:tr>
      <w:tr>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Lambda Functions</w:t>
            </w:r>
          </w:p>
        </w:tc>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$1</w:t>
            </w:r>
          </w:p>
        </w:tc>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$5</w:t>
            </w:r>
          </w:p>
        </w:tc>
      </w:tr>
      <w:tr>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CloudWatch</w:t>
            </w:r>
          </w:p>
        </w:tc>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$5</w:t>
            </w:r>
          </w:p>
        </w:tc>
        <w:tc>
          <w:tcPr>
            <w:tcW w:type="dxa" w:w="3120"/>
            <w:shd w:val="clear" w:color="auto" w:fill="F5F9FC"/>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$20</w:t>
            </w:r>
          </w:p>
        </w:tc>
      </w:tr>
      <w:tr>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Data Transfer</w:t>
            </w:r>
          </w:p>
        </w:tc>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$5</w:t>
            </w:r>
          </w:p>
        </w:tc>
        <w:tc>
          <w:tcPr>
            <w:tcW w:type="dxa" w:w="3120"/>
            <w:shd w:val="clear" w:color="auto" w:fill="FFFFFF"/>
            <w:tcBorders>
              <w:top w:val="single" w:sz="4" w:color="CCCCCC"/>
              <w:left w:val="single" w:sz="4" w:color="CCCCCC"/>
              <w:bottom w:val="single" w:sz="4" w:color="CCCCCC"/>
              <w:right w:val="single" w:sz="4" w:color="CCCCCC"/>
            </w:tcBorders>
          </w:tcPr>
          <w:p>
            <w:pPr>
              <w:spacing w:before="60" w:after="60"/>
            </w:pPr>
            <w:r>
              <w:rPr>
                <w:rFonts w:ascii="Calibri" w:hAnsi="Calibri"/>
                <w:b w:val="0"/>
                <w:color w:val="444444"/>
                <w:sz w:val="20"/>
              </w:rPr>
              <w:t>$30</w:t>
            </w:r>
          </w:p>
        </w:tc>
      </w:tr>
      <w:tr>
        <w:tc>
          <w:tcPr>
            <w:tcW w:type="dxa" w:w="3120"/>
            <w:shd w:val="clear" w:color="auto" w:fill="E8F0E8"/>
            <w:tcBorders>
              <w:top w:val="single" w:sz="4" w:color="CCCCCC"/>
              <w:left w:val="single" w:sz="4" w:color="CCCCCC"/>
              <w:bottom w:val="single" w:sz="4" w:color="CCCCCC"/>
              <w:right w:val="single" w:sz="4" w:color="CCCCCC"/>
            </w:tcBorders>
          </w:tcPr>
          <w:p>
            <w:pPr>
              <w:spacing w:before="60" w:after="60"/>
            </w:pPr>
            <w:r>
              <w:rPr>
                <w:rFonts w:ascii="Calibri" w:hAnsi="Calibri"/>
                <w:b/>
                <w:color w:val="444444"/>
                <w:sz w:val="20"/>
              </w:rPr>
              <w:t>Estimated Total</w:t>
            </w:r>
          </w:p>
        </w:tc>
        <w:tc>
          <w:tcPr>
            <w:tcW w:type="dxa" w:w="3120"/>
            <w:shd w:val="clear" w:color="auto" w:fill="E8F0E8"/>
            <w:tcBorders>
              <w:top w:val="single" w:sz="4" w:color="CCCCCC"/>
              <w:left w:val="single" w:sz="4" w:color="CCCCCC"/>
              <w:bottom w:val="single" w:sz="4" w:color="CCCCCC"/>
              <w:right w:val="single" w:sz="4" w:color="CCCCCC"/>
            </w:tcBorders>
          </w:tcPr>
          <w:p>
            <w:pPr>
              <w:spacing w:before="60" w:after="60"/>
            </w:pPr>
            <w:r>
              <w:rPr>
                <w:rFonts w:ascii="Calibri" w:hAnsi="Calibri"/>
                <w:b/>
                <w:color w:val="444444"/>
                <w:sz w:val="20"/>
              </w:rPr>
              <w:t>$56</w:t>
            </w:r>
          </w:p>
        </w:tc>
        <w:tc>
          <w:tcPr>
            <w:tcW w:type="dxa" w:w="3120"/>
            <w:shd w:val="clear" w:color="auto" w:fill="E8F0E8"/>
            <w:tcBorders>
              <w:top w:val="single" w:sz="4" w:color="CCCCCC"/>
              <w:left w:val="single" w:sz="4" w:color="CCCCCC"/>
              <w:bottom w:val="single" w:sz="4" w:color="CCCCCC"/>
              <w:right w:val="single" w:sz="4" w:color="CCCCCC"/>
            </w:tcBorders>
          </w:tcPr>
          <w:p>
            <w:pPr>
              <w:spacing w:before="60" w:after="60"/>
            </w:pPr>
            <w:r>
              <w:rPr>
                <w:rFonts w:ascii="Calibri" w:hAnsi="Calibri"/>
                <w:b/>
                <w:color w:val="444444"/>
                <w:sz w:val="20"/>
              </w:rPr>
              <w:t>$325</w:t>
            </w:r>
          </w:p>
        </w:tc>
      </w:tr>
    </w:tbl>
    <w:p/>
    <w:p>
      <w:pPr>
        <w:spacing w:after="120"/>
      </w:pPr>
      <w:r>
        <w:rPr>
          <w:rFonts w:ascii="Calibri" w:hAnsi="Calibri"/>
          <w:b w:val="0"/>
          <w:i/>
          <w:color w:val="444444"/>
          <w:sz w:val="20"/>
        </w:rPr>
        <w:t>Cost optimisation levers include Spot Instances for training (up to 70% savings), Reserved Instances for endpoints (up to 40% savings), and S3 Intelligent Tiering for automatic storage class management.</w:t>
      </w:r>
    </w:p>
    <w:p>
      <w:pPr>
        <w:pStyle w:val="Heading1"/>
        <w:spacing w:before="360" w:after="120"/>
        <w:jc w:val="left"/>
      </w:pPr>
      <w:r>
        <w:rPr>
          <w:rFonts w:ascii="Calibri" w:hAnsi="Calibri"/>
          <w:b/>
          <w:color w:val="1F497D"/>
          <w:sz w:val="36"/>
        </w:rPr>
        <w:t>8. Future Roadmap</w:t>
      </w:r>
    </w:p>
    <w:p>
      <w:pPr>
        <w:spacing w:after="120"/>
      </w:pPr>
      <w:r>
        <w:rPr>
          <w:rFonts w:ascii="Calibri" w:hAnsi="Calibri"/>
          <w:b w:val="0"/>
          <w:i w:val="0"/>
          <w:color w:val="444444"/>
          <w:sz w:val="22"/>
        </w:rPr>
        <w:t>The following enhancements are planned for subsequent phases:</w:t>
      </w:r>
    </w:p>
    <w:p>
      <w:pPr>
        <w:pStyle w:val="ListBullet"/>
        <w:spacing w:after="60"/>
      </w:pPr>
      <w:r>
        <w:rPr>
          <w:rFonts w:ascii="Calibri" w:hAnsi="Calibri"/>
          <w:color w:val="444444"/>
          <w:sz w:val="22"/>
        </w:rPr>
        <w:t>Phase 2 — Multi-region active-active deployment for geo-redundancy and reduced global latency.</w:t>
      </w:r>
    </w:p>
    <w:p>
      <w:pPr>
        <w:pStyle w:val="ListBullet"/>
        <w:spacing w:after="60"/>
      </w:pPr>
      <w:r>
        <w:rPr>
          <w:rFonts w:ascii="Calibri" w:hAnsi="Calibri"/>
          <w:color w:val="444444"/>
          <w:sz w:val="22"/>
        </w:rPr>
        <w:t>Phase 2 — A/B testing framework to compare model versions in production before full roll-out.</w:t>
      </w:r>
    </w:p>
    <w:p>
      <w:pPr>
        <w:pStyle w:val="ListBullet"/>
        <w:spacing w:after="60"/>
      </w:pPr>
      <w:r>
        <w:rPr>
          <w:rFonts w:ascii="Calibri" w:hAnsi="Calibri"/>
          <w:color w:val="444444"/>
          <w:sz w:val="22"/>
        </w:rPr>
        <w:t>Phase 3 — Real-time feature ingestion incorporating live user behaviour signals.</w:t>
      </w:r>
    </w:p>
    <w:p>
      <w:pPr>
        <w:pStyle w:val="ListBullet"/>
        <w:spacing w:after="60"/>
      </w:pPr>
      <w:r>
        <w:rPr>
          <w:rFonts w:ascii="Calibri" w:hAnsi="Calibri"/>
          <w:color w:val="444444"/>
          <w:sz w:val="22"/>
        </w:rPr>
        <w:t>Phase 3 — Advanced deep learning recommendation architectures (Neural Collaborative Filtering, AutoRec).</w:t>
      </w:r>
    </w:p>
    <w:p>
      <w:pPr>
        <w:pStyle w:val="ListBullet"/>
        <w:spacing w:after="60"/>
      </w:pPr>
      <w:r>
        <w:rPr>
          <w:rFonts w:ascii="Calibri" w:hAnsi="Calibri"/>
          <w:color w:val="444444"/>
          <w:sz w:val="22"/>
        </w:rPr>
        <w:t>Phase 4 — REST API Gateway integration for simplified third-party and mobile client access.</w:t>
      </w:r>
    </w:p>
    <w:p>
      <w:pPr>
        <w:pStyle w:val="ListBullet"/>
        <w:spacing w:after="60"/>
      </w:pPr>
      <w:r>
        <w:rPr>
          <w:rFonts w:ascii="Calibri" w:hAnsi="Calibri"/>
          <w:color w:val="444444"/>
          <w:sz w:val="22"/>
        </w:rPr>
        <w:t>Phase 4 — Model explainability layer providing human-readable justifications for each recommendation.</w:t>
      </w:r>
    </w:p>
    <w:p>
      <w:pPr>
        <w:pBdr>
          <w:bottom w:val="single" w:sz="6" w:color="FF9900"/>
        </w:pBdr>
        <w:spacing w:before="0" w:after="80"/>
      </w:pPr>
    </w:p>
    <w:p>
      <w:pPr>
        <w:jc w:val="center"/>
      </w:pPr>
      <w:r>
        <w:rPr>
          <w:rFonts w:ascii="Calibri" w:hAnsi="Calibri"/>
          <w:i/>
          <w:color w:val="AAAAAA"/>
          <w:sz w:val="18"/>
        </w:rPr>
        <w:t>Confidential  ·  AWS MovieLens Recommendation System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