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Name"/>
      </w:pPr>
      <w:r>
        <w:t xml:space="preserve">Sudhakar Chundu</w:t>
      </w:r>
    </w:p>
    <w:p>
      <w:pPr>
        <w:pStyle w:val="ContactInfo"/>
      </w:pPr>
      <w:r>
        <w:t xml:space="preserve">San Jose, CA  •  +1 513-666-0099  •  chundubabu@gmail.com  •  </w:t>
      </w:r>
      <w:hyperlink w:history="1" r:id="rIdnpeukdjf1wqqdx5okmz29">
        <w:r>
          <w:rPr>
            <w:color w:val="2b579a"/>
          </w:rPr>
          <w:t xml:space="preserve">linkedin.com/in/schundu</w:t>
        </w:r>
      </w:hyperlink>
    </w:p>
    <w:p>
      <w:pPr>
        <w:pStyle w:val="SectionHeader"/>
      </w:pPr>
      <w:r>
        <w:t xml:space="preserve">Summary</w:t>
      </w:r>
    </w:p>
    <w:p>
      <w:pPr>
        <w:pStyle w:val="Summary"/>
      </w:pPr>
      <w:r>
        <w:t xml:space="preserve">AI Infrastructure Engineer with 20+ years building and optimizing large-scale ML training, inference, and evaluation systems. Expert in orchestrating massive GPU clusters processing petabytes of multimodal data. Deep experience with PyTorch, CUDA, Kubernetes, and distributed training frameworks. Proven track record of reducing infrastructure costs by $8M+ while maintaining 99.95%+ availability for production ML workloads.</w:t>
      </w:r>
    </w:p>
    <w:p>
      <w:pPr>
        <w:pStyle w:val="SectionHeader"/>
      </w:pPr>
      <w:r>
        <w:t xml:space="preserve">Technical Skills</w:t>
      </w:r>
    </w:p>
    <w:p>
      <w:pPr>
        <w:pStyle w:val="Summary"/>
      </w:pPr>
      <w:r>
        <w:rPr>
          <w:b/>
          <w:bCs/>
        </w:rPr>
        <w:t xml:space="preserve">ML Infrastructure: </w:t>
      </w:r>
      <w:r>
        <w:t xml:space="preserve">PyTorch, CUDA, TensorRT, Ray, Flyte, MLflow, Kubeflow, distributed training frameworks</w:t>
      </w:r>
    </w:p>
    <w:p>
      <w:pPr>
        <w:pStyle w:val="Summary"/>
      </w:pPr>
      <w:r>
        <w:rPr>
          <w:b/>
          <w:bCs/>
        </w:rPr>
        <w:t xml:space="preserve">GPU &amp; Compute: </w:t>
      </w:r>
      <w:r>
        <w:t xml:space="preserve">NVIDIA A100/V100/T4, GPU scheduling, KEDA autoscaling, multi-node training, inference optimization</w:t>
      </w:r>
    </w:p>
    <w:p>
      <w:pPr>
        <w:pStyle w:val="Summary"/>
      </w:pPr>
      <w:r>
        <w:rPr>
          <w:b/>
          <w:bCs/>
        </w:rPr>
        <w:t xml:space="preserve">Orchestration: </w:t>
      </w:r>
      <w:r>
        <w:t xml:space="preserve">Kubernetes, K3s, Helm, ArgoCD, GitOps, container orchestration at scale</w:t>
      </w:r>
    </w:p>
    <w:p>
      <w:pPr>
        <w:pStyle w:val="Summary"/>
      </w:pPr>
      <w:r>
        <w:rPr>
          <w:b/>
          <w:bCs/>
        </w:rPr>
        <w:t xml:space="preserve">Data Pipelines: </w:t>
      </w:r>
      <w:r>
        <w:t xml:space="preserve">Multimodal data processing, ETL pipelines, real-time streaming, petabyte-scale storage</w:t>
      </w:r>
    </w:p>
    <w:p>
      <w:pPr>
        <w:pStyle w:val="Summary"/>
      </w:pPr>
      <w:r>
        <w:rPr>
          <w:b/>
          <w:bCs/>
        </w:rPr>
        <w:t xml:space="preserve">Cloud &amp; IaC: </w:t>
      </w:r>
      <w:r>
        <w:t xml:space="preserve">AWS, GCP, Azure, Terraform, multi-cloud GPU provisioning</w:t>
      </w:r>
    </w:p>
    <w:p>
      <w:pPr>
        <w:pStyle w:val="SectionHeader"/>
      </w:pPr>
      <w:r>
        <w:t xml:space="preserve">Experience</w:t>
      </w:r>
    </w:p>
    <w:p>
      <w:pPr>
        <w:pStyle w:val="JobTitle"/>
      </w:pPr>
      <w:r>
        <w:t xml:space="preserve">Senior AI Infrastructure Engineer</w:t>
      </w:r>
    </w:p>
    <w:p>
      <w:pPr>
        <w:pStyle w:val="Company"/>
      </w:pPr>
      <w:r>
        <w:t xml:space="preserve">Trackonomy Systems</w:t>
      </w:r>
      <w:r>
        <w:rPr>
          <w:i w:val="false"/>
          <w:iCs w:val="false"/>
        </w:rPr>
        <w:t xml:space="preserve">  |  Oct 2023 – Present</w:t>
      </w:r>
    </w:p>
    <w:p>
      <w:pPr>
        <w:pStyle w:val="BulletPoint"/>
      </w:pPr>
      <w:r>
        <w:t xml:space="preserve">• Architected GPU cluster infrastructure orchestrating A100, V100, and T4 instances with intelligent workload routing across heterogeneous compute environments</w:t>
      </w:r>
    </w:p>
    <w:p>
      <w:pPr>
        <w:pStyle w:val="BulletPoint"/>
      </w:pPr>
      <w:r>
        <w:t xml:space="preserve">• Built end-to-end ML training and inference pipelines processing 5M+ daily predictions at 99.97% uptime, with KEDA-based autoscaling for dynamic GPU allocation</w:t>
      </w:r>
    </w:p>
    <w:p>
      <w:pPr>
        <w:pStyle w:val="BulletPoint"/>
      </w:pPr>
      <w:r>
        <w:t xml:space="preserve">• Implemented distributed training infrastructure supporting PyTorch and CUDA workloads across 15+ edge locations with intelligent data sharding</w:t>
      </w:r>
    </w:p>
    <w:p>
      <w:pPr>
        <w:pStyle w:val="BulletPoint"/>
      </w:pPr>
      <w:r>
        <w:t xml:space="preserve">• Developed multimodal data ingestion pipelines handling sensor data streams with real-time preprocessing and model serving</w:t>
      </w:r>
    </w:p>
    <w:p>
      <w:pPr>
        <w:pStyle w:val="BulletPoint"/>
      </w:pPr>
      <w:r>
        <w:t xml:space="preserve">• Reduced cloud compute costs from $10.8M to $2.2M (80%) through GPU optimization, caching strategies, and efficient resource scheduling</w:t>
      </w:r>
    </w:p>
    <w:p>
      <w:pPr>
        <w:pStyle w:val="BulletPoint"/>
      </w:pPr>
      <w:r>
        <w:t xml:space="preserve">• Built comprehensive ML observability stack tracking inference latency (p50/p95/p99), GPU utilization, model drift, and throughput using Prometheus and Grafana</w:t>
      </w:r>
    </w:p>
    <w:p>
      <w:pPr>
        <w:pStyle w:val="JobTitle"/>
      </w:pPr>
      <w:r>
        <w:t xml:space="preserve">ML Infrastructure Engineer</w:t>
      </w:r>
    </w:p>
    <w:p>
      <w:pPr>
        <w:pStyle w:val="Company"/>
      </w:pPr>
      <w:r>
        <w:t xml:space="preserve">Amazon Web Services (via Wipro)</w:t>
      </w:r>
      <w:r>
        <w:rPr>
          <w:i w:val="false"/>
          <w:iCs w:val="false"/>
        </w:rPr>
        <w:t xml:space="preserve">  |  Feb 2022 – Oct 2023</w:t>
      </w:r>
    </w:p>
    <w:p>
      <w:pPr>
        <w:pStyle w:val="BulletPoint"/>
      </w:pPr>
      <w:r>
        <w:t xml:space="preserve">• Managed large-scale GPU clusters with Kubernetes orchestration, ensuring 99.95% availability for distributed ML training and inference workloads</w:t>
      </w:r>
    </w:p>
    <w:p>
      <w:pPr>
        <w:pStyle w:val="BulletPoint"/>
      </w:pPr>
      <w:r>
        <w:t xml:space="preserve">• Built ML pipeline infrastructure supporting the full AI lifecycle: data preprocessing, distributed training, evaluation, and deployment for 30+ production models</w:t>
      </w:r>
    </w:p>
    <w:p>
      <w:pPr>
        <w:pStyle w:val="BulletPoint"/>
      </w:pPr>
      <w:r>
        <w:t xml:space="preserve">• Developed automation frameworks in Go/Python reducing manual ML operations by 85% and enabling 50+ daily deployments</w:t>
      </w:r>
    </w:p>
    <w:p>
      <w:pPr>
        <w:pStyle w:val="BulletPoint"/>
      </w:pPr>
      <w:r>
        <w:t xml:space="preserve">• Executed GitOps-based model deployments across 15+ regions with blue-green strategies ensuring zero-downtime releases</w:t>
      </w:r>
    </w:p>
    <w:p>
      <w:pPr>
        <w:pStyle w:val="BulletPoint"/>
      </w:pPr>
      <w:r>
        <w:t xml:space="preserve">• Implemented observability stack with CloudWatch and Prometheus for GPU metrics, training progress, and model performance monitoring</w:t>
      </w:r>
    </w:p>
    <w:p>
      <w:pPr>
        <w:pStyle w:val="JobTitle"/>
      </w:pPr>
      <w:r>
        <w:t xml:space="preserve">Cloud Infrastructure Engineer - ML Platform</w:t>
      </w:r>
    </w:p>
    <w:p>
      <w:pPr>
        <w:pStyle w:val="Company"/>
      </w:pPr>
      <w:r>
        <w:t xml:space="preserve">Microsoft (via Wipro)</w:t>
      </w:r>
      <w:r>
        <w:rPr>
          <w:i w:val="false"/>
          <w:iCs w:val="false"/>
        </w:rPr>
        <w:t xml:space="preserve">  |  Feb 2020 – Feb 2022</w:t>
      </w:r>
    </w:p>
    <w:p>
      <w:pPr>
        <w:pStyle w:val="BulletPoint"/>
      </w:pPr>
      <w:r>
        <w:t xml:space="preserve">• Engineered scalable AI infrastructure using Azure ML and AKS with efficient GPU utilization and hybrid connectivity via ExpressRoute</w:t>
      </w:r>
    </w:p>
    <w:p>
      <w:pPr>
        <w:pStyle w:val="BulletPoint"/>
      </w:pPr>
      <w:r>
        <w:t xml:space="preserve">• Built IaC pipelines with Terraform and Azure Bicep accelerating ML infrastructure deployment by 80%</w:t>
      </w:r>
    </w:p>
    <w:p>
      <w:pPr>
        <w:pStyle w:val="BulletPoint"/>
      </w:pPr>
      <w:r>
        <w:t xml:space="preserve">• Integrated custom monitoring for GPU and inference metrics enabling proactive resource optimization</w:t>
      </w:r>
    </w:p>
    <w:p>
      <w:pPr>
        <w:pStyle w:val="BulletPoint"/>
      </w:pPr>
      <w:r>
        <w:t xml:space="preserve">• Delivered compliance-as-code solutions for SOC 2, HIPAA, and ISO 27001 requirements</w:t>
      </w:r>
    </w:p>
    <w:p>
      <w:pPr>
        <w:pStyle w:val="JobTitle"/>
      </w:pPr>
      <w:r>
        <w:t xml:space="preserve">Cloud Architect - AI Infrastructure</w:t>
      </w:r>
    </w:p>
    <w:p>
      <w:pPr>
        <w:pStyle w:val="Company"/>
      </w:pPr>
      <w:r>
        <w:t xml:space="preserve">Harvard Pilgrim Health Care</w:t>
      </w:r>
      <w:r>
        <w:rPr>
          <w:i w:val="false"/>
          <w:iCs w:val="false"/>
        </w:rPr>
        <w:t xml:space="preserve">  |  Jun 2018 – Feb 2020</w:t>
      </w:r>
    </w:p>
    <w:p>
      <w:pPr>
        <w:pStyle w:val="BulletPoint"/>
      </w:pPr>
      <w:r>
        <w:t xml:space="preserve">• Led cloud modernization deploying HIPAA-compliant ML workloads on GPU-enabled EKS clusters</w:t>
      </w:r>
    </w:p>
    <w:p>
      <w:pPr>
        <w:pStyle w:val="BulletPoint"/>
      </w:pPr>
      <w:r>
        <w:t xml:space="preserve">• Designed secure ML pipelines with encryption, audit logging, and secure model serving endpoints</w:t>
      </w:r>
    </w:p>
    <w:p>
      <w:pPr>
        <w:pStyle w:val="BulletPoint"/>
      </w:pPr>
      <w:r>
        <w:t xml:space="preserve">• Implemented observability using ELK Stack and Prometheus, reducing false alerts by 60%</w:t>
      </w:r>
    </w:p>
    <w:p>
      <w:pPr>
        <w:pStyle w:val="JobTitle"/>
      </w:pPr>
      <w:r>
        <w:t xml:space="preserve">Senior Infrastructure Architect</w:t>
      </w:r>
    </w:p>
    <w:p>
      <w:pPr>
        <w:pStyle w:val="Company"/>
      </w:pPr>
      <w:r>
        <w:t xml:space="preserve">Tata Consultancy Services</w:t>
      </w:r>
      <w:r>
        <w:rPr>
          <w:i w:val="false"/>
          <w:iCs w:val="false"/>
        </w:rPr>
        <w:t xml:space="preserve">  |  May 2005 – Jun 2018</w:t>
      </w:r>
    </w:p>
    <w:p>
      <w:pPr>
        <w:pStyle w:val="BulletPoint"/>
      </w:pPr>
      <w:r>
        <w:t xml:space="preserve">• Developed enterprise infrastructure strategies for global clients across automotive, manufacturing, and technology sectors</w:t>
      </w:r>
    </w:p>
    <w:p>
      <w:pPr>
        <w:pStyle w:val="BulletPoint"/>
      </w:pPr>
      <w:r>
        <w:t xml:space="preserve">• Pioneered container-first architectures with early production Kubernetes deployments</w:t>
      </w:r>
    </w:p>
    <w:p>
      <w:pPr>
        <w:pStyle w:val="BulletPoint"/>
      </w:pPr>
      <w:r>
        <w:t xml:space="preserve">• Advanced CI/CD automation improving application delivery efficiency across distributed systems</w:t>
      </w:r>
    </w:p>
    <w:p>
      <w:pPr>
        <w:pStyle w:val="SectionHeader"/>
      </w:pPr>
      <w:r>
        <w:t xml:space="preserve">Education</w:t>
      </w:r>
    </w:p>
    <w:p>
      <w:pPr>
        <w:pStyle w:val="JobTitle"/>
      </w:pPr>
      <w:r>
        <w:t xml:space="preserve">Bachelor of Engineering</w:t>
      </w:r>
    </w:p>
    <w:p>
      <w:pPr>
        <w:pStyle w:val="Company"/>
      </w:pPr>
      <w:r>
        <w:t xml:space="preserve">Acharya Nagarjuna University</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ame">
    <w:name w:val="Name"/>
    <w:basedOn w:val="Normal"/>
    <w:pPr>
      <w:spacing w:after="80"/>
      <w:jc w:val="center"/>
    </w:pPr>
    <w:rPr>
      <w:rFonts w:ascii="Arial" w:cs="Arial" w:eastAsia="Arial" w:hAnsi="Arial"/>
      <w:b/>
      <w:bCs/>
      <w:color w:val="000000"/>
      <w:sz w:val="44"/>
      <w:szCs w:val="44"/>
    </w:rPr>
  </w:style>
  <w:style w:type="paragraph" w:styleId="ContactInfo">
    <w:name w:val="Contact Info"/>
    <w:basedOn w:val="Normal"/>
    <w:pPr>
      <w:spacing w:after="160"/>
      <w:jc w:val="center"/>
    </w:pPr>
    <w:rPr>
      <w:rFonts w:ascii="Arial" w:cs="Arial" w:eastAsia="Arial" w:hAnsi="Arial"/>
      <w:color w:val="333333"/>
      <w:sz w:val="20"/>
      <w:szCs w:val="20"/>
    </w:rPr>
  </w:style>
  <w:style w:type="paragraph" w:styleId="SectionHeader">
    <w:name w:val="Section Header"/>
    <w:basedOn w:val="Normal"/>
    <w:pPr>
      <w:pBdr>
        <w:bottom w:val="single" w:color="2b579a" w:sz="8"/>
      </w:pBdr>
      <w:spacing w:before="240" w:after="120"/>
    </w:pPr>
    <w:rPr>
      <w:rFonts w:ascii="Arial" w:cs="Arial" w:eastAsia="Arial" w:hAnsi="Arial"/>
      <w:b/>
      <w:bCs/>
      <w:caps/>
      <w:color w:val="1a1a1a"/>
      <w:sz w:val="24"/>
      <w:szCs w:val="24"/>
    </w:rPr>
  </w:style>
  <w:style w:type="paragraph" w:styleId="JobTitle">
    <w:name w:val="Job Title"/>
    <w:basedOn w:val="Normal"/>
    <w:pPr>
      <w:spacing w:before="160" w:after="40"/>
    </w:pPr>
    <w:rPr>
      <w:rFonts w:ascii="Arial" w:cs="Arial" w:eastAsia="Arial" w:hAnsi="Arial"/>
      <w:b/>
      <w:bCs/>
      <w:color w:val="000000"/>
      <w:sz w:val="22"/>
      <w:szCs w:val="22"/>
    </w:rPr>
  </w:style>
  <w:style w:type="paragraph" w:styleId="Company">
    <w:name w:val="Company"/>
    <w:basedOn w:val="Normal"/>
    <w:pPr>
      <w:spacing w:after="80"/>
    </w:pPr>
    <w:rPr>
      <w:rFonts w:ascii="Arial" w:cs="Arial" w:eastAsia="Arial" w:hAnsi="Arial"/>
      <w:i/>
      <w:iCs/>
      <w:color w:val="444444"/>
      <w:sz w:val="20"/>
      <w:szCs w:val="20"/>
    </w:rPr>
  </w:style>
  <w:style w:type="paragraph" w:styleId="BulletPoint">
    <w:name w:val="Bullet Point"/>
    <w:basedOn w:val="Normal"/>
    <w:pPr>
      <w:spacing w:after="60"/>
      <w:ind w:left="360" w:hanging="180"/>
    </w:pPr>
    <w:rPr>
      <w:rFonts w:ascii="Arial" w:cs="Arial" w:eastAsia="Arial" w:hAnsi="Arial"/>
      <w:color w:val="222222"/>
      <w:sz w:val="21"/>
      <w:szCs w:val="21"/>
    </w:rPr>
  </w:style>
  <w:style w:type="paragraph" w:styleId="Summary">
    <w:name w:val="Summary"/>
    <w:basedOn w:val="Normal"/>
    <w:pPr>
      <w:spacing w:after="120"/>
    </w:pPr>
    <w:rPr>
      <w:rFonts w:ascii="Arial" w:cs="Arial" w:eastAsia="Arial" w:hAnsi="Arial"/>
      <w:color w:val="222222"/>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npeukdjf1wqqdx5okmz29" Type="http://schemas.openxmlformats.org/officeDocument/2006/relationships/hyperlink" Target="https://linkedin.com/in/schundu" TargetMode="Externa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2025-12-16T06:14:11.081Z</dcterms:created>
  <dcterms:modified xsi:type="dcterms:W3CDTF">2025-12-16T06:14:11.082Z</dcterms:modified>
</cp:coreProperties>
</file>

<file path=docProps/custom.xml><?xml version="1.0" encoding="utf-8"?>
<Properties xmlns="http://schemas.openxmlformats.org/officeDocument/2006/custom-properties" xmlns:vt="http://schemas.openxmlformats.org/officeDocument/2006/docPropsVTypes"/>
</file>