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jc w:val="center"/>
      </w:pPr>
      <w:r>
        <w:t xml:space="preserve">Sudhakar Chundu</w:t>
      </w:r>
    </w:p>
    <w:p>
      <w:pPr>
        <w:pStyle w:val="Title"/>
        <w:jc w:val="center"/>
      </w:pPr>
      <w:r>
        <w:t xml:space="preserve">Principal Cloud &amp; Infrastructure Architect</w:t>
      </w:r>
    </w:p>
    <w:p>
      <w:pPr>
        <w:spacing w:after="200"/>
        <w:jc w:val="center"/>
      </w:pPr>
      <w:r>
        <w:rPr>
          <w:sz w:val="20"/>
          <w:szCs w:val="20"/>
        </w:rPr>
        <w:t xml:space="preserve">San Jose, CA • </w:t>
      </w:r>
      <w:r>
        <w:rPr>
          <w:sz w:val="20"/>
          <w:szCs w:val="20"/>
        </w:rPr>
        <w:t xml:space="preserve">+1 513-666-0099 • </w:t>
      </w:r>
      <w:r>
        <w:rPr>
          <w:sz w:val="20"/>
          <w:szCs w:val="20"/>
        </w:rPr>
        <w:t xml:space="preserve">chundubabu@gmail.com • </w:t>
      </w:r>
      <w:hyperlink w:history="1" r:id="rIdtmfz5tvrhjddfwyy_ufsl">
        <w:r>
          <w:rPr>
            <w:color w:val="1E4D78"/>
            <w:sz w:val="20"/>
            <w:szCs w:val="20"/>
          </w:rPr>
          <w:t xml:space="preserve">linkedin.com/in/schundu</w:t>
        </w:r>
      </w:hyperlink>
    </w:p>
    <w:p>
      <w:pPr>
        <w:pStyle w:val="SectionHeader"/>
      </w:pPr>
      <w:r>
        <w:t xml:space="preserve">Executive Summary</w:t>
      </w:r>
    </w:p>
    <w:p>
      <w:r>
        <w:t xml:space="preserve">Strategic Cloud Architect with 20+ years driving enterprise-scale cloud transformations across global organizations. Expert in designing modular, horizontally scalable architectures across AWS, Azure, and GCP with proven success in regulated industries including Digital Health, Medical Devices, and Healthcare (FDA, ISO 13485, HIPAA, HITRUST). Demonstrated track record delivering $8M+ cost optimizations while maintaining 99.97% availability. Skilled at establishing cloud governance frameworks, reference architectures, and technical standards while leading cross-functional teams through complex migrations and modernization initiatives. Strong background in TOGAF, NIST, and ISO frameworks with executive-level stakeholder management capabilities.</w:t>
      </w:r>
    </w:p>
    <w:p>
      <w:pPr>
        <w:pStyle w:val="SectionHeader"/>
      </w:pPr>
      <w:r>
        <w:t xml:space="preserve">Core Competencies</w:t>
      </w:r>
    </w:p>
    <w:p>
      <w:r>
        <w:rPr>
          <w:b/>
          <w:bCs/>
        </w:rPr>
        <w:t xml:space="preserve">Cloud Architecture &amp; Strategy: </w:t>
      </w:r>
      <w:r>
        <w:t xml:space="preserve">Multi-cloud design (AWS, Azure, GCP), hybrid/private cloud, reference architecture development, technology roadmaps</w:t>
      </w:r>
    </w:p>
    <w:p>
      <w:r>
        <w:rPr>
          <w:b/>
          <w:bCs/>
        </w:rPr>
        <w:t xml:space="preserve">Governance &amp; Standards: </w:t>
      </w:r>
      <w:r>
        <w:t xml:space="preserve">Cloud governance frameworks, architectural guardrails, cost optimization strategies, change management, standards documentation</w:t>
      </w:r>
    </w:p>
    <w:p>
      <w:r>
        <w:rPr>
          <w:b/>
          <w:bCs/>
        </w:rPr>
        <w:t xml:space="preserve">Regulatory Compliance: </w:t>
      </w:r>
      <w:r>
        <w:t xml:space="preserve">FDA, ISO 13485, IEC 62304, HIPAA, HITRUST, SOC 2, ISO 27001, NIST frameworks, compliance-as-code</w:t>
      </w:r>
    </w:p>
    <w:p>
      <w:r>
        <w:rPr>
          <w:b/>
          <w:bCs/>
        </w:rPr>
        <w:t xml:space="preserve">Infrastructure &amp; Automation: </w:t>
      </w:r>
      <w:r>
        <w:t xml:space="preserve">Terraform, Ansible, CloudFormation, Azure Bicep, Kubernetes (EKS/GKE/AKS), microservices, container orchestration</w:t>
      </w:r>
    </w:p>
    <w:p>
      <w:r>
        <w:rPr>
          <w:b/>
          <w:bCs/>
        </w:rPr>
        <w:t xml:space="preserve">Leadership: </w:t>
      </w:r>
      <w:r>
        <w:t xml:space="preserve">Cross-functional team leadership, vendor management, stakeholder alignment, architectural reviews, mentorship</w:t>
      </w:r>
    </w:p>
    <w:p>
      <w:r>
        <w:rPr>
          <w:b/>
          <w:bCs/>
        </w:rPr>
        <w:t xml:space="preserve">Networking &amp; Security: </w:t>
      </w:r>
      <w:r>
        <w:t xml:space="preserve">VPC design, zero-trust architecture, ExpressRoute/Direct Connect, network segmentation, security frameworks</w:t>
      </w:r>
    </w:p>
    <w:p>
      <w:pPr>
        <w:pStyle w:val="SectionHeader"/>
      </w:pPr>
      <w:r>
        <w:t xml:space="preserve">Professional Experience</w:t>
      </w:r>
    </w:p>
    <w:p>
      <w:pPr>
        <w:tabs>
          <w:tab w:val="right" w:pos="9026"/>
        </w:tabs>
      </w:pPr>
      <w:r>
        <w:rPr>
          <w:b/>
          <w:bCs/>
          <w:sz w:val="24"/>
          <w:szCs w:val="24"/>
        </w:rPr>
        <w:t xml:space="preserve">Director of Cloud Engineering &amp; Architecture</w:t>
      </w:r>
      <w:r>
        <w:t xml:space="preserve">	</w:t>
      </w:r>
      <w:r>
        <w:rPr>
          <w:color w:val="555555"/>
          <w:sz w:val="22"/>
          <w:szCs w:val="22"/>
        </w:rPr>
        <w:t xml:space="preserve">Oct 2023 – Present</w:t>
      </w:r>
    </w:p>
    <w:p>
      <w:pPr>
        <w:pStyle w:val="Company"/>
      </w:pPr>
      <w:r>
        <w:t xml:space="preserve">Trackonomy Systems</w:t>
      </w:r>
    </w:p>
    <w:p>
      <w:pPr>
        <w:pStyle w:val="ListParagraph"/>
        <w:numPr>
          <w:ilvl w:val="0"/>
          <w:numId w:val="2"/>
        </w:numPr>
      </w:pPr>
      <w:r>
        <w:t xml:space="preserve">Own end-to-end cloud architecture vision across AWS, GCP, and Azure, aligning infrastructure strategy with business growth plans and IoT product roadmap for global expansion</w:t>
      </w:r>
    </w:p>
    <w:p>
      <w:pPr>
        <w:pStyle w:val="ListParagraph"/>
        <w:numPr>
          <w:ilvl w:val="0"/>
          <w:numId w:val="2"/>
        </w:numPr>
      </w:pPr>
      <w:r>
        <w:t xml:space="preserve">Architected modular, horizontally scalable infrastructure supporting 5M+ daily transactions at 99.97% availability with regional deployment capabilities across 8 countries</w:t>
      </w:r>
    </w:p>
    <w:p>
      <w:pPr>
        <w:pStyle w:val="ListParagraph"/>
        <w:numPr>
          <w:ilvl w:val="0"/>
          <w:numId w:val="2"/>
        </w:numPr>
      </w:pPr>
      <w:r>
        <w:t xml:space="preserve">Established cloud governance framework and cost optimization strategies achieving 65% infrastructure cost reduction ($8M+ annual savings) through intelligent resource management</w:t>
      </w:r>
    </w:p>
    <w:p>
      <w:pPr>
        <w:pStyle w:val="ListParagraph"/>
        <w:numPr>
          <w:ilvl w:val="0"/>
          <w:numId w:val="2"/>
        </w:numPr>
      </w:pPr>
      <w:r>
        <w:t xml:space="preserve">Developed and maintain reference architectures for hybrid cloud and edge computing, codifying best practices for networking, security, scalability, and compliance</w:t>
      </w:r>
    </w:p>
    <w:p>
      <w:pPr>
        <w:pStyle w:val="ListParagraph"/>
        <w:numPr>
          <w:ilvl w:val="0"/>
          <w:numId w:val="2"/>
        </w:numPr>
      </w:pPr>
      <w:r>
        <w:t xml:space="preserve">Partner with Product and Data Architects to design solutions aligned with product roadmaps, ensuring robust data flows, storage governance, and analytics integration</w:t>
      </w:r>
    </w:p>
    <w:p>
      <w:pPr>
        <w:pStyle w:val="ListParagraph"/>
        <w:numPr>
          <w:ilvl w:val="0"/>
          <w:numId w:val="2"/>
        </w:numPr>
      </w:pPr>
      <w:r>
        <w:t xml:space="preserve">Lead architectural change management process including impact analysis, stakeholder reviews, approval workflows, and post-implementation reviews</w:t>
      </w:r>
    </w:p>
    <w:p>
      <w:pPr>
        <w:pStyle w:val="ListParagraph"/>
        <w:numPr>
          <w:ilvl w:val="0"/>
          <w:numId w:val="2"/>
        </w:numPr>
      </w:pPr>
      <w:r>
        <w:t xml:space="preserve">Guide engineering, DevOps, and security teams on cloud-native services adoption; act as technical SME for vendor selection and contract reviews</w:t>
      </w:r>
    </w:p>
    <w:p>
      <w:pPr>
        <w:tabs>
          <w:tab w:val="right" w:pos="9026"/>
        </w:tabs>
        <w:spacing w:before="200"/>
      </w:pPr>
      <w:r>
        <w:rPr>
          <w:b/>
          <w:bCs/>
          <w:sz w:val="24"/>
          <w:szCs w:val="24"/>
        </w:rPr>
        <w:t xml:space="preserve">Senior Cloud Architect – Enterprise Solutions</w:t>
      </w:r>
      <w:r>
        <w:t xml:space="preserve">	</w:t>
      </w:r>
      <w:r>
        <w:rPr>
          <w:color w:val="555555"/>
          <w:sz w:val="22"/>
          <w:szCs w:val="22"/>
        </w:rPr>
        <w:t xml:space="preserve">Feb 2022 – Oct 2023</w:t>
      </w:r>
    </w:p>
    <w:p>
      <w:pPr>
        <w:pStyle w:val="Company"/>
      </w:pPr>
      <w:r>
        <w:t xml:space="preserve">Amazon Web Services (via Wipro)</w:t>
      </w:r>
    </w:p>
    <w:p>
      <w:pPr>
        <w:pStyle w:val="ListParagraph"/>
        <w:numPr>
          <w:ilvl w:val="0"/>
          <w:numId w:val="2"/>
        </w:numPr>
      </w:pPr>
      <w:r>
        <w:t xml:space="preserve">Drove cloud solution design for enterprise clients, architecting reliable, scalable systems meeting current and future requirements across public and hybrid cloud models</w:t>
      </w:r>
    </w:p>
    <w:p>
      <w:pPr>
        <w:pStyle w:val="ListParagraph"/>
        <w:numPr>
          <w:ilvl w:val="0"/>
          <w:numId w:val="2"/>
        </w:numPr>
      </w:pPr>
      <w:r>
        <w:t xml:space="preserve">Defined cloud governance standards, security frameworks, and architectural guardrails; documented technical standards and managed exception review processes</w:t>
      </w:r>
    </w:p>
    <w:p>
      <w:pPr>
        <w:pStyle w:val="ListParagraph"/>
        <w:numPr>
          <w:ilvl w:val="0"/>
          <w:numId w:val="2"/>
        </w:numPr>
      </w:pPr>
      <w:r>
        <w:t xml:space="preserve">Led cross-functional teams through complex cloud migrations, managing cultural and process changes while ensuring 99.95% SLA commitments</w:t>
      </w:r>
    </w:p>
    <w:p>
      <w:pPr>
        <w:pStyle w:val="ListParagraph"/>
        <w:numPr>
          <w:ilvl w:val="0"/>
          <w:numId w:val="2"/>
        </w:numPr>
      </w:pPr>
      <w:r>
        <w:t xml:space="preserve">Established KPIs tied to uptime, performance, and cloud spend; implemented FinOps practices reducing client infrastructure costs by 40%</w:t>
      </w:r>
    </w:p>
    <w:p>
      <w:pPr>
        <w:pStyle w:val="ListParagraph"/>
        <w:numPr>
          <w:ilvl w:val="0"/>
          <w:numId w:val="2"/>
        </w:numPr>
      </w:pPr>
      <w:r>
        <w:t xml:space="preserve">Created reference architectures for microservices and container orchestration using EKS, documenting networking, security, and scalability patterns</w:t>
      </w:r>
    </w:p>
    <w:p>
      <w:pPr>
        <w:pStyle w:val="ListParagraph"/>
        <w:numPr>
          <w:ilvl w:val="0"/>
          <w:numId w:val="2"/>
        </w:numPr>
      </w:pPr>
      <w:r>
        <w:t xml:space="preserve">Automated infrastructure provisioning using Terraform and CloudFormation, reducing deployment time by 85% through Infrastructure-as-Code practices</w:t>
      </w:r>
    </w:p>
    <w:p>
      <w:pPr>
        <w:tabs>
          <w:tab w:val="right" w:pos="9026"/>
        </w:tabs>
        <w:spacing w:before="200"/>
      </w:pPr>
      <w:r>
        <w:rPr>
          <w:b/>
          <w:bCs/>
          <w:sz w:val="24"/>
          <w:szCs w:val="24"/>
        </w:rPr>
        <w:t xml:space="preserve">Cloud Infrastructure Architect – Azure</w:t>
      </w:r>
      <w:r>
        <w:t xml:space="preserve">	</w:t>
      </w:r>
      <w:r>
        <w:rPr>
          <w:color w:val="555555"/>
          <w:sz w:val="22"/>
          <w:szCs w:val="22"/>
        </w:rPr>
        <w:t xml:space="preserve">Feb 2020 – Feb 2022</w:t>
      </w:r>
    </w:p>
    <w:p>
      <w:pPr>
        <w:pStyle w:val="Company"/>
      </w:pPr>
      <w:r>
        <w:t xml:space="preserve">Microsoft (via Wipro)</w:t>
      </w:r>
    </w:p>
    <w:p>
      <w:pPr>
        <w:pStyle w:val="ListParagraph"/>
        <w:numPr>
          <w:ilvl w:val="0"/>
          <w:numId w:val="2"/>
        </w:numPr>
      </w:pPr>
      <w:r>
        <w:t xml:space="preserve">Architected enterprise Azure solutions including AKS, Azure ML, and hybrid connectivity via ExpressRoute for Fortune 500 clients</w:t>
      </w:r>
    </w:p>
    <w:p>
      <w:pPr>
        <w:pStyle w:val="ListParagraph"/>
        <w:numPr>
          <w:ilvl w:val="0"/>
          <w:numId w:val="2"/>
        </w:numPr>
      </w:pPr>
      <w:r>
        <w:t xml:space="preserve">Developed reference architectures for cloud-native application development, enabling scalable and compliant solutions leveraging Azure PaaS services</w:t>
      </w:r>
    </w:p>
    <w:p>
      <w:pPr>
        <w:pStyle w:val="ListParagraph"/>
        <w:numPr>
          <w:ilvl w:val="0"/>
          <w:numId w:val="2"/>
        </w:numPr>
      </w:pPr>
      <w:r>
        <w:t xml:space="preserve">Established Infrastructure-as-Code standards using Terraform and Azure Bicep; improved deployment velocity by 80% through automation</w:t>
      </w:r>
    </w:p>
    <w:p>
      <w:pPr>
        <w:pStyle w:val="ListParagraph"/>
        <w:numPr>
          <w:ilvl w:val="0"/>
          <w:numId w:val="2"/>
        </w:numPr>
      </w:pPr>
      <w:r>
        <w:t xml:space="preserve">Delivered compliance-as-code frameworks achieving SOC 2, HIPAA, and ISO 27001 certifications; architected for regulatory requirements</w:t>
      </w:r>
    </w:p>
    <w:p>
      <w:pPr>
        <w:pStyle w:val="ListParagraph"/>
        <w:numPr>
          <w:ilvl w:val="0"/>
          <w:numId w:val="2"/>
        </w:numPr>
      </w:pPr>
      <w:r>
        <w:t xml:space="preserve">Facilitated architectural reviews and cross-functional meetings; mentored engineering teams on Azure best practices and governance standards</w:t>
      </w:r>
    </w:p>
    <w:p>
      <w:pPr>
        <w:tabs>
          <w:tab w:val="right" w:pos="9026"/>
        </w:tabs>
        <w:spacing w:before="200"/>
      </w:pPr>
      <w:r>
        <w:rPr>
          <w:b/>
          <w:bCs/>
          <w:sz w:val="24"/>
          <w:szCs w:val="24"/>
        </w:rPr>
        <w:t xml:space="preserve">Senior Infrastructure Architect / Principal Consultant</w:t>
      </w:r>
      <w:r>
        <w:t xml:space="preserve">	</w:t>
      </w:r>
      <w:r>
        <w:rPr>
          <w:color w:val="555555"/>
          <w:sz w:val="22"/>
          <w:szCs w:val="22"/>
        </w:rPr>
        <w:t xml:space="preserve">May 2005 – Feb 2020</w:t>
      </w:r>
    </w:p>
    <w:p>
      <w:pPr>
        <w:pStyle w:val="Company"/>
      </w:pPr>
      <w:r>
        <w:t xml:space="preserve">Tata Consultancy Services (TCS)</w:t>
      </w:r>
    </w:p>
    <w:p>
      <w:r>
        <w:rPr>
          <w:i/>
          <w:iCs/>
        </w:rPr>
        <w:t xml:space="preserve">Led enterprise cloud architecture and modernization initiatives for global clients across healthcare, government, telecom, and financial services sectors.</w:t>
      </w:r>
    </w:p>
    <w:p>
      <w:pPr>
        <w:pStyle w:val="ClientHeader"/>
      </w:pPr>
      <w:r>
        <w:t xml:space="preserve">Harvard Pilgrim Health Care (Healthcare Client) | 2018 – 2020</w:t>
      </w:r>
    </w:p>
    <w:p>
      <w:pPr>
        <w:pStyle w:val="ListParagraph"/>
        <w:numPr>
          <w:ilvl w:val="0"/>
          <w:numId w:val="3"/>
        </w:numPr>
      </w:pPr>
      <w:r>
        <w:t xml:space="preserve">Led cloud modernization strategy for HIPAA-regulated applications, architecting compliant AWS infrastructure aligned with FDA and ISO 13485 requirements</w:t>
      </w:r>
    </w:p>
    <w:p>
      <w:pPr>
        <w:pStyle w:val="ListParagraph"/>
        <w:numPr>
          <w:ilvl w:val="0"/>
          <w:numId w:val="3"/>
        </w:numPr>
      </w:pPr>
      <w:r>
        <w:t xml:space="preserve">Designed reference architecture for healthcare workloads including networking, security controls, encryption standards, and audit logging for regulatory compliance</w:t>
      </w:r>
    </w:p>
    <w:p>
      <w:pPr>
        <w:pStyle w:val="ListParagraph"/>
        <w:numPr>
          <w:ilvl w:val="0"/>
          <w:numId w:val="3"/>
        </w:numPr>
      </w:pPr>
      <w:r>
        <w:t xml:space="preserve">Established cloud governance framework and architectural guardrails ensuring HIPAA, HITRUST, and state healthcare compliance requirements</w:t>
      </w:r>
    </w:p>
    <w:p>
      <w:pPr>
        <w:pStyle w:val="ListParagraph"/>
        <w:numPr>
          <w:ilvl w:val="0"/>
          <w:numId w:val="3"/>
        </w:numPr>
      </w:pPr>
      <w:r>
        <w:t xml:space="preserve">Partnered with product teams to align cloud solutions with digital health roadmap; facilitated stakeholder reviews for architectural decisions</w:t>
      </w:r>
    </w:p>
    <w:p>
      <w:pPr>
        <w:pStyle w:val="ClientHeader"/>
      </w:pPr>
      <w:r>
        <w:t xml:space="preserve">Enterprise Clients (Government, Telecom, Financial Services) | 2005 – 2018</w:t>
      </w:r>
    </w:p>
    <w:p>
      <w:pPr>
        <w:pStyle w:val="ListParagraph"/>
        <w:numPr>
          <w:ilvl w:val="0"/>
          <w:numId w:val="3"/>
        </w:numPr>
      </w:pPr>
      <w:r>
        <w:t xml:space="preserve">Designed enterprise-scale infrastructure architectures for global deployments with 99.9%+ SLA commitments across multiple regions</w:t>
      </w:r>
    </w:p>
    <w:p>
      <w:pPr>
        <w:pStyle w:val="ListParagraph"/>
        <w:numPr>
          <w:ilvl w:val="0"/>
          <w:numId w:val="3"/>
        </w:numPr>
      </w:pPr>
      <w:r>
        <w:t xml:space="preserve">Established technical standards and governance frameworks for cloud adoption; managed architectural change management for platform upgrades</w:t>
      </w:r>
    </w:p>
    <w:p>
      <w:pPr>
        <w:pStyle w:val="ListParagraph"/>
        <w:numPr>
          <w:ilvl w:val="0"/>
          <w:numId w:val="3"/>
        </w:numPr>
      </w:pPr>
      <w:r>
        <w:t xml:space="preserve">Led cross-functional teams through complex migrations from legacy systems to cloud-native architectures using containerization and microservices</w:t>
      </w:r>
    </w:p>
    <w:p>
      <w:pPr>
        <w:pStyle w:val="ListParagraph"/>
        <w:numPr>
          <w:ilvl w:val="0"/>
          <w:numId w:val="3"/>
        </w:numPr>
      </w:pPr>
      <w:r>
        <w:t xml:space="preserve">Developed automation-first CI/CD practices and Infrastructure-as-Code standards; mentored teams on cloud best practices and architectural patterns</w:t>
      </w:r>
    </w:p>
    <w:p>
      <w:pPr>
        <w:pStyle w:val="ListParagraph"/>
        <w:numPr>
          <w:ilvl w:val="0"/>
          <w:numId w:val="3"/>
        </w:numPr>
      </w:pPr>
      <w:r>
        <w:t xml:space="preserve">Acted as technical SME for vendor evaluations, technology selection, and contract negotiations; established KPIs for infrastructure performance</w:t>
      </w:r>
    </w:p>
    <w:p>
      <w:pPr>
        <w:pStyle w:val="SectionHeader"/>
      </w:pPr>
      <w:r>
        <w:t xml:space="preserve">Education &amp; Certifications</w:t>
      </w:r>
    </w:p>
    <w:p>
      <w:pPr>
        <w:tabs>
          <w:tab w:val="right" w:pos="9026"/>
        </w:tabs>
      </w:pPr>
      <w:r>
        <w:rPr>
          <w:b/>
          <w:bCs/>
        </w:rPr>
        <w:t xml:space="preserve">Bachelor of Engineering</w:t>
      </w:r>
      <w:r>
        <w:t xml:space="preserve"> – Computer Science</w:t>
      </w:r>
      <w:r>
        <w:t xml:space="preserve">	</w:t>
      </w:r>
      <w:r>
        <w:rPr>
          <w:color w:val="555555"/>
        </w:rPr>
        <w:t xml:space="preserve">Acharya Nagarjuna University</w:t>
      </w:r>
    </w:p>
    <w:p>
      <w:pPr>
        <w:spacing w:before="120"/>
      </w:pPr>
      <w:r>
        <w:rPr>
          <w:b/>
          <w:bCs/>
        </w:rPr>
        <w:t xml:space="preserve">Certifications: </w:t>
      </w:r>
      <w:r>
        <w:t xml:space="preserve">AWS Certified Solutions Architect – Professional • Azure Solutions Architect Expert • Google Cloud Professional Architect • Kubernetes Administrator (CKA) • Terraform Associate • TOGAF 9 Foundation • ITIL Foundation</w:t>
      </w:r>
    </w:p>
    <w:p>
      <w:pPr>
        <w:pStyle w:val="SectionHeader"/>
      </w:pPr>
      <w:r>
        <w:t xml:space="preserve">Frameworks &amp; Methodologies</w:t>
      </w:r>
    </w:p>
    <w:p>
      <w:r>
        <w:t xml:space="preserve">TOGAF • NIST Cybersecurity Framework • ISO 27001/27017/27018 • Well-Architected Framework (AWS/Azure/GCP) • SAFe • ITIL • DevSecOps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40"/>
    </w:pPr>
    <w:rPr>
      <w:rFonts w:ascii="Arial" w:cs="Arial" w:eastAsia="Arial" w:hAnsi="Arial"/>
      <w:b/>
      <w:bCs/>
      <w:color w:val="1E4D78"/>
      <w:sz w:val="52"/>
      <w:szCs w:val="52"/>
    </w:rPr>
  </w:style>
  <w:style w:type="paragraph" w:styleId="Title">
    <w:name w:val="Title"/>
    <w:basedOn w:val="Normal"/>
    <w:pPr>
      <w:spacing w:after="120"/>
    </w:pPr>
    <w:rPr>
      <w:rFonts w:ascii="Arial" w:cs="Arial" w:eastAsia="Arial" w:hAnsi="Arial"/>
      <w:color w:val="555555"/>
      <w:sz w:val="28"/>
      <w:szCs w:val="28"/>
    </w:rPr>
  </w:style>
  <w:style w:type="paragraph" w:styleId="SectionHeader">
    <w:name w:val="SectionHeader"/>
    <w:basedOn w:val="Normal"/>
    <w:pPr>
      <w:pBdr>
        <w:bottom w:val="single" w:color="1E4D78" w:sz="12"/>
      </w:pBdr>
      <w:spacing w:before="280" w:after="120"/>
    </w:pPr>
    <w:rPr>
      <w:rFonts w:ascii="Arial" w:cs="Arial" w:eastAsia="Arial" w:hAnsi="Arial"/>
      <w:b/>
      <w:bCs/>
      <w:caps/>
      <w:color w:val="1E4D78"/>
      <w:sz w:val="26"/>
      <w:szCs w:val="26"/>
    </w:rPr>
  </w:style>
  <w:style w:type="paragraph" w:styleId="JobTitle">
    <w:name w:val="JobTitle"/>
    <w:basedOn w:val="Normal"/>
    <w:pPr>
      <w:spacing w:before="160" w:after="40"/>
    </w:pPr>
    <w:rPr>
      <w:rFonts w:ascii="Arial" w:cs="Arial" w:eastAsia="Arial" w:hAnsi="Arial"/>
      <w:b/>
      <w:bCs/>
      <w:color w:val="333333"/>
      <w:sz w:val="24"/>
      <w:szCs w:val="24"/>
    </w:rPr>
  </w:style>
  <w:style w:type="paragraph" w:styleId="Company">
    <w:name w:val="Company"/>
    <w:basedOn w:val="Normal"/>
    <w:pPr>
      <w:spacing w:after="80"/>
    </w:pPr>
    <w:rPr>
      <w:rFonts w:ascii="Arial" w:cs="Arial" w:eastAsia="Arial" w:hAnsi="Arial"/>
      <w:i/>
      <w:iCs/>
      <w:color w:val="555555"/>
      <w:sz w:val="22"/>
      <w:szCs w:val="22"/>
    </w:rPr>
  </w:style>
  <w:style w:type="paragraph" w:styleId="ClientHeader">
    <w:name w:val="ClientHeader"/>
    <w:basedOn w:val="Normal"/>
    <w:pPr>
      <w:spacing w:before="120" w:after="60"/>
      <w:ind w:left="360"/>
    </w:pPr>
    <w:rPr>
      <w:rFonts w:ascii="Arial" w:cs="Arial" w:eastAsia="Arial" w:hAnsi="Arial"/>
      <w:b/>
      <w:bCs/>
      <w:color w:val="444444"/>
      <w:sz w:val="22"/>
      <w:szCs w:val="22"/>
    </w:rPr>
  </w:style>
  <w:style w:type="paragraph" w:styleId="Normal">
    <w:name w:val="Normal"/>
    <w:pPr>
      <w:spacing w:after="6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mfz5tvrhjddfwyy_ufsl"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2025-12-19T01:30:05.875Z</dcterms:created>
  <dcterms:modified xsi:type="dcterms:W3CDTF">2025-12-19T01:30:05.876Z</dcterms:modified>
</cp:coreProperties>
</file>

<file path=docProps/custom.xml><?xml version="1.0" encoding="utf-8"?>
<Properties xmlns="http://schemas.openxmlformats.org/officeDocument/2006/custom-properties" xmlns:vt="http://schemas.openxmlformats.org/officeDocument/2006/docPropsVTypes"/>
</file>