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pStyle w:val="Tagline"/>
      </w:pPr>
      <w:r>
        <w:t xml:space="preserve">Senior HPC Platform Engineer  •  GPU Infrastructure &amp; DevOps</w:t>
      </w:r>
    </w:p>
    <w:p>
      <w:pPr>
        <w:pStyle w:val="Contact"/>
      </w:pPr>
      <w:r>
        <w:t xml:space="preserve">sbchundu@gmail.com</w:t>
      </w:r>
      <w:r>
        <w:rPr>
          <w:color w:val="9CA3AF"/>
        </w:rPr>
        <w:t xml:space="preserve">  |  </w:t>
      </w:r>
      <w:r>
        <w:t xml:space="preserve">(+1) 513-666-0099</w:t>
      </w:r>
      <w:r>
        <w:rPr>
          <w:color w:val="9CA3AF"/>
        </w:rPr>
        <w:t xml:space="preserve">  |  </w:t>
      </w:r>
      <w:hyperlink w:history="1" r:id="rIdh7yhagl2efljib5fpogxo">
        <w:r>
          <w:rPr>
            <w:color w:val="2563EB"/>
          </w:rPr>
          <w:t xml:space="preserve">linkedin.com/in/schundu</w:t>
        </w:r>
      </w:hyperlink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Senior HPC Platform Engineer with 13+ years of hands-on experience building and operating GPU compute platforms, cloud infrastructure, and DevSecOps pipelines, plus 5+ years in middleware and Linux systems administration. Expert in Slurm cluster management, GPU scheduling, and Kubernetes orchestration for AI/ML workloads across multi-cloud environments (Azure, AWS, OpenStack). Lead global teams of 13+ engineers across Infrastructure, Security, Networking, and DevOps, managing $6M+ cloud budgets. Proven track record designing scalable HPC solutions serving Fortune 500 clients with 99.97% uptime. Strong foundation in Linux internals, job schedulers, resource management, and observability pipelines (Prometheus, Grafana, Datadog). Delivered $8M+ cost savings through infrastructure optimization and fair-share scheduling policies. Certified AWS Solutions Architect and CKA.</w:t>
      </w:r>
    </w:p>
    <w:p>
      <w:pPr>
        <w:pStyle w:val="SectionHeader"/>
      </w:pPr>
      <w:r>
        <w:t xml:space="preserve">Technical Skills</w:t>
      </w:r>
    </w:p>
    <w:p>
      <w:pPr>
        <w:pStyle w:val="SkillLine"/>
      </w:pPr>
      <w:r>
        <w:rPr>
          <w:b/>
          <w:bCs/>
        </w:rPr>
        <w:t xml:space="preserve">HPC &amp; GPU Computing</w:t>
      </w:r>
      <w:r>
        <w:rPr>
          <w:color w:val="9CA3AF"/>
        </w:rPr>
        <w:t xml:space="preserve">  —  </w:t>
      </w:r>
      <w:r>
        <w:rPr>
          <w:color w:val="4B5563"/>
        </w:rPr>
        <w:t xml:space="preserve">Slurm, Slinky (Slurm-on-Kubernetes), NVIDIA BCM, vcluster, CUDA, GPU scheduling &amp; orchestration, fair-share policies, QoS, preemption, job lifecycle management</w:t>
      </w:r>
    </w:p>
    <w:p>
      <w:pPr>
        <w:pStyle w:val="SkillLine"/>
      </w:pPr>
      <w:r>
        <w:rPr>
          <w:b/>
          <w:bCs/>
        </w:rPr>
        <w:t xml:space="preserve">SRE &amp; Operations</w:t>
      </w:r>
      <w:r>
        <w:rPr>
          <w:color w:val="9CA3AF"/>
        </w:rPr>
        <w:t xml:space="preserve">  —  </w:t>
      </w:r>
      <w:r>
        <w:rPr>
          <w:color w:val="4B5563"/>
        </w:rPr>
        <w:t xml:space="preserve">RCA, incident management, blameless postmortems, SLI/SLO/SLA, error budgets, capacity planning, on-call rotations, runbooks, chaos engineering, MTTR/RTO/RPO</w:t>
      </w:r>
    </w:p>
    <w:p>
      <w:pPr>
        <w:pStyle w:val="SkillLine"/>
      </w:pPr>
      <w:r>
        <w:rPr>
          <w:b/>
          <w:bCs/>
        </w:rPr>
        <w:t xml:space="preserve">Container Orchestration</w:t>
      </w:r>
      <w:r>
        <w:rPr>
          <w:color w:val="9CA3AF"/>
        </w:rPr>
        <w:t xml:space="preserve">  —  </w:t>
      </w:r>
      <w:r>
        <w:rPr>
          <w:color w:val="4B5563"/>
        </w:rPr>
        <w:t xml:space="preserve">Kubernetes (EKS, AKS), Docker, Helm, Istio service mesh, KEDA, hybrid Slurm+K8s scheduling, container security (JFrog Xray)</w:t>
      </w:r>
    </w:p>
    <w:p>
      <w:pPr>
        <w:pStyle w:val="SkillLine"/>
      </w:pPr>
      <w:r>
        <w:rPr>
          <w:b/>
          <w:bCs/>
        </w:rPr>
        <w:t xml:space="preserve">Cloud Platforms</w:t>
      </w:r>
      <w:r>
        <w:rPr>
          <w:color w:val="9CA3AF"/>
        </w:rPr>
        <w:t xml:space="preserve">  —  </w:t>
      </w:r>
      <w:r>
        <w:rPr>
          <w:color w:val="4B5563"/>
        </w:rPr>
        <w:t xml:space="preserve">Azure (AKS, APIM, Front Door, Event Hub, Service Bus), AWS (EKS, EC2, Fargate, SageMaker), OpenStack, multi-cloud GPU deployments</w:t>
      </w:r>
    </w:p>
    <w:p>
      <w:pPr>
        <w:pStyle w:val="SkillLine"/>
      </w:pPr>
      <w:r>
        <w:rPr>
          <w:b/>
          <w:bCs/>
        </w:rPr>
        <w:t xml:space="preserve">Infrastructure Automation</w:t>
      </w:r>
      <w:r>
        <w:rPr>
          <w:color w:val="9CA3AF"/>
        </w:rPr>
        <w:t xml:space="preserve">  —  </w:t>
      </w:r>
      <w:r>
        <w:rPr>
          <w:color w:val="4B5563"/>
        </w:rPr>
        <w:t xml:space="preserve">Terraform, Ansible, ARM/Bicep, CloudFormation, GitOps (ArgoCD, FluxCD), CI/CD (GitHub Actions, Azure DevOps, Jenkins)</w:t>
      </w:r>
    </w:p>
    <w:p>
      <w:pPr>
        <w:pStyle w:val="SkillLine"/>
      </w:pPr>
      <w:r>
        <w:rPr>
          <w:b/>
          <w:bCs/>
        </w:rPr>
        <w:t xml:space="preserve">Security &amp; Compliance</w:t>
      </w:r>
      <w:r>
        <w:rPr>
          <w:color w:val="9CA3AF"/>
        </w:rPr>
        <w:t xml:space="preserve">  —  </w:t>
      </w:r>
      <w:r>
        <w:rPr>
          <w:color w:val="4B5563"/>
        </w:rPr>
        <w:t xml:space="preserve">SOC2, HIPAA, FedRAMP, ISO 27001, DevSecOps (SonarQube, Veracode, Snyk, OWASP), Azure Sentinel, Defender for Cloud, HashiCorp Vault</w:t>
      </w:r>
    </w:p>
    <w:p>
      <w:pPr>
        <w:pStyle w:val="SkillLine"/>
      </w:pPr>
      <w:r>
        <w:rPr>
          <w:b/>
          <w:bCs/>
        </w:rPr>
        <w:t xml:space="preserve">Observability</w:t>
      </w:r>
      <w:r>
        <w:rPr>
          <w:color w:val="9CA3AF"/>
        </w:rPr>
        <w:t xml:space="preserve">  —  </w:t>
      </w:r>
      <w:r>
        <w:rPr>
          <w:color w:val="4B5563"/>
        </w:rPr>
        <w:t xml:space="preserve">Prometheus, Grafana, Datadog, ELK Stack, Azure Monitor, Application Insights, custom exporters, SLI/SLO frameworks</w:t>
      </w:r>
    </w:p>
    <w:p>
      <w:pPr>
        <w:pStyle w:val="SkillLine"/>
      </w:pPr>
      <w:r>
        <w:rPr>
          <w:b/>
          <w:bCs/>
        </w:rPr>
        <w:t xml:space="preserve">Data &amp; ML Infrastructure</w:t>
      </w:r>
      <w:r>
        <w:rPr>
          <w:color w:val="9CA3AF"/>
        </w:rPr>
        <w:t xml:space="preserve">  —  </w:t>
      </w:r>
      <w:r>
        <w:rPr>
          <w:color w:val="4B5563"/>
        </w:rPr>
        <w:t xml:space="preserve">Databricks, Delta Lake, MLflow, Kubeflow, Apache Kafka, Apache Flink, Airflow, SageMaker, Triton Inference Server</w:t>
      </w:r>
    </w:p>
    <w:p>
      <w:pPr>
        <w:pStyle w:val="SkillLine"/>
      </w:pPr>
      <w:r>
        <w:rPr>
          <w:b/>
          <w:bCs/>
        </w:rPr>
        <w:t xml:space="preserve">Programming &amp; Systems</w:t>
      </w:r>
      <w:r>
        <w:rPr>
          <w:color w:val="9CA3AF"/>
        </w:rPr>
        <w:t xml:space="preserve">  —  </w:t>
      </w:r>
      <w:r>
        <w:rPr>
          <w:color w:val="4B5563"/>
        </w:rPr>
        <w:t xml:space="preserve">Python, Bash/Shell, SQL, Linux internals, systemd, kernel tuning, performance optimization</w:t>
      </w:r>
    </w:p>
    <w:p>
      <w:pPr>
        <w:pStyle w:val="SectionHeader"/>
      </w:pPr>
      <w:r>
        <w:t xml:space="preserve">Professional Experience</w:t>
      </w:r>
    </w:p>
    <w:p>
      <w:pPr>
        <w:pStyle w:val="JobHeader"/>
      </w:pPr>
      <w:r>
        <w:t xml:space="preserve">Distinguished Cloud AI Architect (HPC Platform Lead)</w:t>
      </w:r>
    </w:p>
    <w:p>
      <w:pPr>
        <w:pStyle w:val="CompanyLine"/>
      </w:pPr>
      <w:r>
        <w:rPr>
          <w:b/>
          <w:bCs/>
          <w:color w:val="111827"/>
        </w:rPr>
        <w:t xml:space="preserve">Trackonomy Systems</w:t>
      </w:r>
      <w:r>
        <w:t xml:space="preserve">  •  San Jose, CA  •  Oct 2023 – Present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Built and led Infrastructure Engineering team from 0→6 members</w:t>
      </w:r>
      <w:r>
        <w:t xml:space="preserve"> (Cloud, DevOps, Security, Networking, Databases); managed $6M+ cloud budget across pharma, airlines, manufacturing, and healthcare clients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Designed and operated Slurm-based GPU compute platform</w:t>
      </w:r>
      <w:r>
        <w:t xml:space="preserve"> — 65 GPUs across 8 nodes using Slurm, Slinky (Slurm-on-Kubernetes), NVIDIA BCM; achieved 99.97% uptime for 12+ enterprise clients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Reduced cloud costs 73% ($10M→$2.7M/year)</w:t>
      </w:r>
      <w:r>
        <w:t xml:space="preserve"> through GPU utilization optimization, fair-share scheduling, and vendor consolidation; reduced Azure resources 8.7K→1.1K (87%)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Integrated Slurm with Kubernetes orchestration</w:t>
      </w:r>
      <w:r>
        <w:t xml:space="preserve">; implemented hybrid scheduling, unified authentication, vcluster multi-tenancy, and telemetry pipelines for GPU workload isolation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Implemented observability pipelines</w:t>
      </w:r>
      <w:r>
        <w:t xml:space="preserve"> — unified 5 monitoring platforms into Datadog; built Prometheus/Grafana dashboards with custom GPU exporters; reduced issue resolution 90%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Led SOC2, ISO 27001, HIPAA compliance</w:t>
      </w:r>
      <w:r>
        <w:t xml:space="preserve"> using Vanta; implemented DevSecOps (Snyk, Veracode, OWASP ZAP); achieved zero critical findings in security audits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Built CI/CD pipelines for 100+ applications</w:t>
      </w:r>
      <w:r>
        <w:t xml:space="preserve"> using GitOps (ArgoCD), Azure DevOps, GitHub Actions; reduced deployment time 95% and production issues 90%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Led SRE L3 operations</w:t>
      </w:r>
      <w:r>
        <w:t xml:space="preserve"> — RCA, blameless postmortems, SLI/SLO definition, error budget tracking, on-call rotations; reduced MTTR 60% through automated remediation</w:t>
      </w:r>
    </w:p>
    <w:p>
      <w:pPr>
        <w:pStyle w:val="Bullet"/>
        <w:numPr>
          <w:ilvl w:val="0"/>
          <w:numId w:val="2"/>
        </w:numPr>
      </w:pPr>
      <w:r>
        <w:t xml:space="preserve">Architected real-time streaming with Apache Kafka/Flink; implemented Databricks (Jobs, Compute, Unity Catalog) for ML training and Delta Lake for ACID transactions</w:t>
      </w:r>
    </w:p>
    <w:p>
      <w:pPr>
        <w:pStyle w:val="JobHeader"/>
      </w:pPr>
      <w:r>
        <w:t xml:space="preserve">Head of Cloud Infrastructure, Security &amp; DevOps</w:t>
      </w:r>
    </w:p>
    <w:p>
      <w:pPr>
        <w:pStyle w:val="CompanyLine"/>
      </w:pPr>
      <w:r>
        <w:rPr>
          <w:b/>
          <w:bCs/>
          <w:color w:val="111827"/>
        </w:rPr>
        <w:t xml:space="preserve">Tecra Systems Inc</w:t>
      </w:r>
      <w:r>
        <w:t xml:space="preserve">  •  Austin, TX (Pharma)  •  Mar 2022 – Oct 2023</w:t>
      </w:r>
    </w:p>
    <w:p>
      <w:pPr>
        <w:pStyle w:val="Bullet"/>
        <w:numPr>
          <w:ilvl w:val="0"/>
          <w:numId w:val="2"/>
        </w:numPr>
      </w:pPr>
      <w:r>
        <w:t xml:space="preserve">Managed Kubernetes (EKS, Fargate) clusters with Helm; implemented self-healing, auto-scaling, and Istio service mesh; reduced deployment time 70%</w:t>
      </w:r>
    </w:p>
    <w:p>
      <w:pPr>
        <w:pStyle w:val="Bullet"/>
        <w:numPr>
          <w:ilvl w:val="0"/>
          <w:numId w:val="2"/>
        </w:numPr>
      </w:pPr>
      <w:r>
        <w:t xml:space="preserve">Built observability stack improving system availability 65%; implemented DevSecOps (SonarQube, Veracode, JFrog Xray); led team of 5 DevOps engineers</w:t>
      </w:r>
    </w:p>
    <w:p>
      <w:pPr>
        <w:pStyle w:val="Bullet"/>
        <w:numPr>
          <w:ilvl w:val="0"/>
          <w:numId w:val="2"/>
        </w:numPr>
      </w:pPr>
      <w:r>
        <w:t xml:space="preserve">Designed DR plan reducing downtime 55%; implemented AWS Landing Zones for multi-tenant client deployments</w:t>
      </w:r>
    </w:p>
    <w:p>
      <w:pPr>
        <w:pStyle w:val="JobHeader"/>
      </w:pPr>
      <w:r>
        <w:t xml:space="preserve">Cloud &amp; SRE Architect</w:t>
      </w:r>
    </w:p>
    <w:p>
      <w:pPr>
        <w:pStyle w:val="CompanyLine"/>
      </w:pPr>
      <w:r>
        <w:rPr>
          <w:b/>
          <w:bCs/>
          <w:color w:val="111827"/>
        </w:rPr>
        <w:t xml:space="preserve">Wipro Technologies — OSDU Data Platform</w:t>
      </w:r>
      <w:r>
        <w:t xml:space="preserve">  •  BP, Total, Chevron, ExxonMobil  •  Feb 2020 – Mar 2022</w:t>
      </w:r>
    </w:p>
    <w:p>
      <w:pPr>
        <w:pStyle w:val="Bullet"/>
        <w:numPr>
          <w:ilvl w:val="0"/>
          <w:numId w:val="2"/>
        </w:numPr>
      </w:pPr>
      <w:r>
        <w:rPr>
          <w:b/>
          <w:bCs/>
        </w:rPr>
        <w:t xml:space="preserve">Lead Infrastructure Architect for OSDU R3 Platform</w:t>
      </w:r>
      <w:r>
        <w:t xml:space="preserve"> — deployed data ingestion platform with AWS; provisioned EKS/Fargate clusters using Terraform/CloudFormation</w:t>
      </w:r>
    </w:p>
    <w:p>
      <w:pPr>
        <w:pStyle w:val="Bullet"/>
        <w:numPr>
          <w:ilvl w:val="0"/>
          <w:numId w:val="2"/>
        </w:numPr>
      </w:pPr>
      <w:r>
        <w:t xml:space="preserve">Created 50+ Terraform modules (VPC, EKS, RDS, S3, API Gateway); implemented GitOps (FluxCD), KEDA autoscaling, Istio service mesh</w:t>
      </w:r>
    </w:p>
    <w:p>
      <w:pPr>
        <w:pStyle w:val="Bullet"/>
        <w:numPr>
          <w:ilvl w:val="0"/>
          <w:numId w:val="2"/>
        </w:numPr>
      </w:pPr>
      <w:r>
        <w:t xml:space="preserve">Implemented multi-tenant AWS Landing Zones using Organizations and SCPs; achieved 35% downtime reduction and 40% scalability improvement</w:t>
      </w:r>
    </w:p>
    <w:p>
      <w:pPr>
        <w:pStyle w:val="Bullet"/>
        <w:numPr>
          <w:ilvl w:val="0"/>
          <w:numId w:val="2"/>
        </w:numPr>
      </w:pPr>
      <w:r>
        <w:t xml:space="preserve">Built Prometheus/Grafana/ELK observability; implemented DevSecOps (Snyk, SonarQube, Datadog, WAF); authored documentation improving team efficiency 30%</w:t>
      </w:r>
    </w:p>
    <w:p>
      <w:pPr>
        <w:pStyle w:val="JobHeader"/>
      </w:pPr>
      <w:r>
        <w:t xml:space="preserve">Cloud &amp; DevOps Architect → Senior Engineer</w:t>
      </w:r>
    </w:p>
    <w:p>
      <w:pPr>
        <w:pStyle w:val="CompanyLine"/>
      </w:pPr>
      <w:r>
        <w:rPr>
          <w:b/>
          <w:bCs/>
          <w:color w:val="111827"/>
        </w:rPr>
        <w:t xml:space="preserve">NTT Data &amp; Tata Consultancy Services</w:t>
      </w:r>
      <w:r>
        <w:t xml:space="preserve">  •  May 2007 – Jan 2020 (13 years)</w:t>
      </w:r>
    </w:p>
    <w:p>
      <w:pPr>
        <w:pStyle w:val="SubRole"/>
      </w:pPr>
      <w:r>
        <w:t xml:space="preserve">NTT Data — Harvard Pilgrim Healthcare (Jul 2018 – Jan 2020)</w:t>
      </w:r>
    </w:p>
    <w:p>
      <w:pPr>
        <w:pStyle w:val="Bullet"/>
        <w:numPr>
          <w:ilvl w:val="0"/>
          <w:numId w:val="2"/>
        </w:numPr>
      </w:pPr>
      <w:r>
        <w:t xml:space="preserve">Architected AWS cloud migration for healthcare applications; implemented HIPAA, PCI, GDPR, SOC2, FedRAMP compliance with WAFv2</w:t>
      </w:r>
    </w:p>
    <w:p>
      <w:pPr>
        <w:pStyle w:val="Bullet"/>
        <w:numPr>
          <w:ilvl w:val="0"/>
          <w:numId w:val="2"/>
        </w:numPr>
      </w:pPr>
      <w:r>
        <w:t xml:space="preserve">Built Jenkins/Ansible CI/CD pipelines; implemented DevSecOps (HashiCorp Vault, SonarQube, OWASP); designed DR with business continuity</w:t>
      </w:r>
    </w:p>
    <w:p>
      <w:pPr>
        <w:pStyle w:val="SubRole"/>
      </w:pPr>
      <w:r>
        <w:t xml:space="preserve">TCS — CNA Insurance, Cloud Senior Engineer (May 2015 – Jun 2018)</w:t>
      </w:r>
    </w:p>
    <w:p>
      <w:pPr>
        <w:pStyle w:val="Bullet"/>
        <w:numPr>
          <w:ilvl w:val="0"/>
          <w:numId w:val="2"/>
        </w:numPr>
      </w:pPr>
      <w:r>
        <w:t xml:space="preserve">Managed Kubernetes/Helm deployments on AWS; built reproducible K8s applications; automated provisioning with Ansible playbooks</w:t>
      </w:r>
    </w:p>
    <w:p>
      <w:pPr>
        <w:pStyle w:val="SubRole"/>
      </w:pPr>
      <w:r>
        <w:t xml:space="preserve">TCS — PwC, Solutions Architect (May 2011 – Apr 2015)</w:t>
      </w:r>
    </w:p>
    <w:p>
      <w:pPr>
        <w:pStyle w:val="Bullet"/>
        <w:numPr>
          <w:ilvl w:val="0"/>
          <w:numId w:val="2"/>
        </w:numPr>
      </w:pPr>
      <w:r>
        <w:t xml:space="preserve">Led team activities and engagement proposals; integrated Chef/Jenkins deployment pipelines; migrated VMware VMs to AWS (EC2, S3, ELB)</w:t>
      </w:r>
    </w:p>
    <w:p>
      <w:pPr>
        <w:pStyle w:val="SubRole"/>
      </w:pPr>
      <w:r>
        <w:t xml:space="preserve">TCS — Verizon &amp; Owens Corning, Middleware Engineer (May 2007 – May 2011)</w:t>
      </w:r>
    </w:p>
    <w:p>
      <w:pPr>
        <w:pStyle w:val="Bullet"/>
        <w:numPr>
          <w:ilvl w:val="0"/>
          <w:numId w:val="2"/>
        </w:numPr>
      </w:pPr>
      <w:r>
        <w:t xml:space="preserve">WebSphere/WebLogic administration, clustering, performance tuning; Linux/Solaris systems administration; SSO implementation with CA SiteMinder</w:t>
      </w:r>
    </w:p>
    <w:p>
      <w:pPr>
        <w:pStyle w:val="SectionHeader"/>
      </w:pPr>
      <w:r>
        <w:t xml:space="preserve">Certifications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AWS Solutions Architect</w:t>
      </w:r>
      <w:r>
        <w:rPr>
          <w:color w:val="9CA3AF"/>
          <w:sz w:val="19"/>
          <w:szCs w:val="19"/>
        </w:rPr>
        <w:t xml:space="preserve">  •  </w:t>
      </w:r>
      <w:r>
        <w:rPr>
          <w:b/>
          <w:bCs/>
          <w:sz w:val="19"/>
          <w:szCs w:val="19"/>
        </w:rPr>
        <w:t xml:space="preserve">Certified Kubernetes Administrator (CKA)</w:t>
      </w:r>
      <w:r>
        <w:rPr>
          <w:color w:val="9CA3AF"/>
          <w:sz w:val="19"/>
          <w:szCs w:val="19"/>
        </w:rPr>
        <w:t xml:space="preserve">  •  </w:t>
      </w:r>
      <w:r>
        <w:rPr>
          <w:b/>
          <w:bCs/>
          <w:sz w:val="19"/>
          <w:szCs w:val="19"/>
        </w:rPr>
        <w:t xml:space="preserve">ITIL v3 Foundation</w:t>
      </w:r>
    </w:p>
    <w:p>
      <w:pPr>
        <w:pStyle w:val="SectionHeader"/>
      </w:pPr>
      <w:r>
        <w:t xml:space="preserve">Education</w:t>
      </w:r>
    </w:p>
    <w:p>
      <w:pPr>
        <w:spacing w:after="40"/>
      </w:pPr>
      <w:r>
        <w:rPr>
          <w:b/>
          <w:bCs/>
          <w:color w:val="111827"/>
          <w:sz w:val="19"/>
          <w:szCs w:val="19"/>
        </w:rPr>
        <w:t xml:space="preserve">Bachelor of Engineering</w:t>
      </w:r>
      <w:r>
        <w:rPr>
          <w:color w:val="4B5563"/>
          <w:sz w:val="18"/>
          <w:szCs w:val="18"/>
        </w:rPr>
        <w:t xml:space="preserve">, Mechanical Engineering  —  Acharya Nagarjuna University, 2005</w:t>
      </w:r>
    </w:p>
    <w:sectPr>
      <w:pgSz w:w="11906" w:h="16838" w:orient="portrait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0"/>
      <w:jc w:val="left"/>
    </w:pPr>
    <w:rPr>
      <w:rFonts w:ascii="Calibri Light" w:cs="Calibri Light" w:eastAsia="Calibri Light" w:hAnsi="Calibri Light"/>
      <w:b/>
      <w:bCs/>
      <w:color w:val="111827"/>
      <w:sz w:val="48"/>
      <w:szCs w:val="48"/>
    </w:rPr>
  </w:style>
  <w:style w:type="paragraph" w:styleId="Tagline">
    <w:name w:val="Tagline"/>
    <w:basedOn w:val="Normal"/>
    <w:pPr>
      <w:spacing w:before="40" w:after="100"/>
      <w:jc w:val="left"/>
    </w:pPr>
    <w:rPr>
      <w:rFonts w:ascii="Calibri" w:cs="Calibri" w:eastAsia="Calibri" w:hAnsi="Calibri"/>
      <w:color w:val="2563EB"/>
      <w:sz w:val="23"/>
      <w:szCs w:val="23"/>
    </w:rPr>
  </w:style>
  <w:style w:type="paragraph" w:styleId="Contact">
    <w:name w:val="Contact"/>
    <w:basedOn w:val="Normal"/>
    <w:pPr>
      <w:spacing w:after="180"/>
      <w:jc w:val="left"/>
    </w:pPr>
    <w:rPr>
      <w:rFonts w:ascii="Calibri" w:cs="Calibri" w:eastAsia="Calibri" w:hAnsi="Calibri"/>
      <w:color w:val="4B5563"/>
      <w:sz w:val="19"/>
      <w:szCs w:val="19"/>
    </w:rPr>
  </w:style>
  <w:style w:type="paragraph" w:styleId="SectionHeader">
    <w:name w:val="SectionHeader"/>
    <w:basedOn w:val="Normal"/>
    <w:pPr>
      <w:spacing w:before="200" w:after="80"/>
    </w:pPr>
    <w:rPr>
      <w:rFonts w:ascii="Calibri" w:cs="Calibri" w:eastAsia="Calibri" w:hAnsi="Calibri"/>
      <w:b/>
      <w:bCs/>
      <w:caps/>
      <w:color w:val="2563EB"/>
      <w:sz w:val="21"/>
      <w:szCs w:val="21"/>
    </w:rPr>
  </w:style>
  <w:style w:type="paragraph" w:styleId="Summary">
    <w:name w:val="Summary"/>
    <w:basedOn w:val="Normal"/>
    <w:pPr>
      <w:spacing w:after="100"/>
    </w:pPr>
    <w:rPr>
      <w:rFonts w:ascii="Calibri" w:cs="Calibri" w:eastAsia="Calibri" w:hAnsi="Calibri"/>
      <w:color w:val="111827"/>
      <w:sz w:val="19"/>
      <w:szCs w:val="19"/>
    </w:rPr>
  </w:style>
  <w:style w:type="paragraph" w:styleId="JobHeader">
    <w:name w:val="JobHeader"/>
    <w:basedOn w:val="Normal"/>
    <w:pPr>
      <w:spacing w:before="120" w:after="0"/>
    </w:pPr>
    <w:rPr>
      <w:rFonts w:ascii="Calibri" w:cs="Calibri" w:eastAsia="Calibri" w:hAnsi="Calibri"/>
      <w:b/>
      <w:bCs/>
      <w:color w:val="111827"/>
      <w:sz w:val="21"/>
      <w:szCs w:val="21"/>
    </w:rPr>
  </w:style>
  <w:style w:type="paragraph" w:styleId="CompanyLine">
    <w:name w:val="CompanyLine"/>
    <w:basedOn w:val="Normal"/>
    <w:pPr>
      <w:spacing w:after="50"/>
    </w:pPr>
    <w:rPr>
      <w:rFonts w:ascii="Calibri" w:cs="Calibri" w:eastAsia="Calibri" w:hAnsi="Calibri"/>
      <w:color w:val="4B5563"/>
      <w:sz w:val="19"/>
      <w:szCs w:val="19"/>
    </w:rPr>
  </w:style>
  <w:style w:type="paragraph" w:styleId="Bullet">
    <w:name w:val="Bullet"/>
    <w:basedOn w:val="Normal"/>
    <w:pPr>
      <w:spacing w:after="40"/>
    </w:pPr>
    <w:rPr>
      <w:rFonts w:ascii="Calibri" w:cs="Calibri" w:eastAsia="Calibri" w:hAnsi="Calibri"/>
      <w:color w:val="111827"/>
      <w:sz w:val="18"/>
      <w:szCs w:val="18"/>
    </w:rPr>
  </w:style>
  <w:style w:type="paragraph" w:styleId="SkillLine">
    <w:name w:val="SkillLine"/>
    <w:basedOn w:val="Normal"/>
    <w:pPr>
      <w:spacing w:after="40"/>
    </w:pPr>
    <w:rPr>
      <w:rFonts w:ascii="Calibri" w:cs="Calibri" w:eastAsia="Calibri" w:hAnsi="Calibri"/>
      <w:color w:val="111827"/>
      <w:sz w:val="18"/>
      <w:szCs w:val="18"/>
    </w:rPr>
  </w:style>
  <w:style w:type="paragraph" w:styleId="SubRole">
    <w:name w:val="SubRole"/>
    <w:basedOn w:val="Normal"/>
    <w:pPr>
      <w:spacing w:before="60" w:after="30"/>
    </w:pPr>
    <w:rPr>
      <w:rFonts w:ascii="Calibri" w:cs="Calibri" w:eastAsia="Calibri" w:hAnsi="Calibri"/>
      <w:b/>
      <w:bCs/>
      <w:i/>
      <w:iCs/>
      <w:color w:val="4B55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7yhagl2efljib5fpogxo" Type="http://schemas.openxmlformats.org/officeDocument/2006/relationships/hyperlink" Target="https://www.linkedin.com/in/schundu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2025-12-11T19:29:20.673Z</dcterms:created>
  <dcterms:modified xsi:type="dcterms:W3CDTF">2025-12-11T19:29:20.674Z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