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ame"/>
      </w:pPr>
      <w:r>
        <w:t xml:space="preserve">SUDHAKAR CHUNDU</w:t>
      </w:r>
    </w:p>
    <w:p>
      <w:pPr>
        <w:spacing w:after="60"/>
      </w:pPr>
      <w:r>
        <w:rPr>
          <w:color w:val="333333"/>
          <w:sz w:val="20"/>
          <w:szCs w:val="20"/>
        </w:rPr>
        <w:t xml:space="preserve">San Jose, CA</w:t>
      </w:r>
      <w:r>
        <w:rPr>
          <w:color w:val="666666"/>
          <w:sz w:val="20"/>
          <w:szCs w:val="20"/>
        </w:rPr>
        <w:t xml:space="preserve">  |  </w:t>
      </w:r>
      <w:r>
        <w:rPr>
          <w:color w:val="333333"/>
          <w:sz w:val="20"/>
          <w:szCs w:val="20"/>
        </w:rPr>
        <w:t xml:space="preserve">(513) 666-0099</w:t>
      </w:r>
      <w:r>
        <w:rPr>
          <w:color w:val="666666"/>
          <w:sz w:val="20"/>
          <w:szCs w:val="20"/>
        </w:rPr>
        <w:t xml:space="preserve">  |  </w:t>
      </w:r>
      <w:r>
        <w:rPr>
          <w:color w:val="333333"/>
          <w:sz w:val="20"/>
          <w:szCs w:val="20"/>
        </w:rPr>
        <w:t xml:space="preserve">chundubabu@gmail.com</w:t>
      </w:r>
    </w:p>
    <w:p>
      <w:pPr>
        <w:spacing w:after="200"/>
      </w:pPr>
      <w:hyperlink w:history="1" r:id="rIdybfdnsrgjk9t9hg9cql4f">
        <w:r>
          <w:rPr>
            <w:color w:val="00F2EA"/>
            <w:sz w:val="20"/>
            <w:szCs w:val="20"/>
            <w:u w:val="single"/>
          </w:rPr>
          <w:t xml:space="preserve">Portfolio</w:t>
        </w:r>
      </w:hyperlink>
      <w:r>
        <w:rPr>
          <w:color w:val="666666"/>
          <w:sz w:val="20"/>
          <w:szCs w:val="20"/>
        </w:rPr>
        <w:t xml:space="preserve">  |  </w:t>
      </w:r>
      <w:hyperlink w:history="1" r:id="rIdjauw-8rq04lu-rflojmcv">
        <w:r>
          <w:rPr>
            <w:color w:val="00F2EA"/>
            <w:sz w:val="20"/>
            <w:szCs w:val="20"/>
            <w:u w:val="single"/>
          </w:rPr>
          <w:t xml:space="preserve">LinkedIn</w:t>
        </w:r>
      </w:hyperlink>
      <w:r>
        <w:rPr>
          <w:color w:val="666666"/>
          <w:sz w:val="20"/>
          <w:szCs w:val="20"/>
        </w:rPr>
        <w:t xml:space="preserve">  |  </w:t>
      </w:r>
      <w:hyperlink w:history="1" r:id="rIdcc-nsokooq7qq070ju-0j">
        <w:r>
          <w:rPr>
            <w:color w:val="00F2EA"/>
            <w:sz w:val="20"/>
            <w:szCs w:val="20"/>
            <w:u w:val="single"/>
          </w:rPr>
          <w:t xml:space="preserve">GitHub</w:t>
        </w:r>
      </w:hyperlink>
    </w:p>
    <w:p>
      <w:pPr>
        <w:pStyle w:val="SectionHeader"/>
      </w:pPr>
      <w:r>
        <w:t xml:space="preserve">PROFESSIONAL SUMMARY</w:t>
      </w:r>
    </w:p>
    <w:p>
      <w:pPr>
        <w:pStyle w:val="BodyText"/>
        <w:spacing w:after="160"/>
      </w:pPr>
      <w:r>
        <w:t xml:space="preserve">Site Reliability Engineer with </w:t>
      </w:r>
      <w:r>
        <w:rPr>
          <w:b/>
          <w:bCs/>
        </w:rPr>
        <w:t xml:space="preserve">15+ years</w:t>
      </w:r>
      <w:r>
        <w:t xml:space="preserve"> driving infrastructure automation and operational excellence across </w:t>
      </w:r>
      <w:r>
        <w:rPr>
          <w:b/>
          <w:bCs/>
        </w:rPr>
        <w:t xml:space="preserve">bare-metal and multi-cloud environments</w:t>
      </w:r>
      <w:r>
        <w:t xml:space="preserve">. Expert in </w:t>
      </w:r>
      <w:r>
        <w:rPr>
          <w:b/>
          <w:bCs/>
        </w:rPr>
        <w:t xml:space="preserve">Linux systems, networking, Kubernetes orchestration</w:t>
      </w:r>
      <w:r>
        <w:t xml:space="preserve">, and </w:t>
      </w:r>
      <w:r>
        <w:rPr>
          <w:b/>
          <w:bCs/>
        </w:rPr>
        <w:t xml:space="preserve">distributed systems at planetary scale</w:t>
      </w:r>
      <w:r>
        <w:t xml:space="preserve">. Proven track record delivering </w:t>
      </w:r>
      <w:r>
        <w:rPr>
          <w:b/>
          <w:bCs/>
        </w:rPr>
        <w:t xml:space="preserve">99.97% uptime for 10M+ users</w:t>
      </w:r>
      <w:r>
        <w:t xml:space="preserve"> while managing </w:t>
      </w:r>
      <w:r>
        <w:rPr>
          <w:b/>
          <w:bCs/>
        </w:rPr>
        <w:t xml:space="preserve">24x7 on-call operations</w:t>
      </w:r>
      <w:r>
        <w:t xml:space="preserve"> with &lt;15min response times. Passionate about </w:t>
      </w:r>
      <w:r>
        <w:rPr>
          <w:b/>
          <w:bCs/>
        </w:rPr>
        <w:t xml:space="preserve">eliminating toil through automation</w:t>
      </w:r>
      <w:r>
        <w:t xml:space="preserve">, capacity planning, disaster recovery, and SLO-driven reliability engineering.</w:t>
      </w:r>
    </w:p>
    <w:p>
      <w:pPr>
        <w:pStyle w:val="SectionHeader"/>
      </w:pPr>
      <w:r>
        <w:t xml:space="preserve">CORE TECHNICAL SKILLS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Linux &amp; Systems</w:t>
            </w:r>
          </w:p>
        </w:tc>
        <w:tc>
          <w:tcPr>
            <w:tcW w:type="dxa" w:w="720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Ubuntu, RHEL, CentOS | Performance Tuning | Shell Scripting | Systemd | Process Management | Kernel Debugging</w:t>
            </w:r>
          </w:p>
        </w:tc>
      </w:tr>
      <w:tr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Networking</w:t>
            </w:r>
          </w:p>
        </w:tc>
        <w:tc>
          <w:tcPr>
            <w:tcW w:type="dxa" w:w="720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TCP/IP, HTTP/HTTPS, DNS (Route53, BIND) | Load Balancing (ALB/NLB, HAProxy) | VPC | Service Mesh (Istio/Envoy) | Multi-Region</w:t>
            </w:r>
          </w:p>
        </w:tc>
      </w:tr>
      <w:tr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Programming</w:t>
            </w:r>
          </w:p>
        </w:tc>
        <w:tc>
          <w:tcPr>
            <w:tcW w:type="dxa" w:w="720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Python (Expert) | GoLang | Bash | Java | C++ Fundamentals</w:t>
            </w:r>
          </w:p>
        </w:tc>
      </w:tr>
      <w:tr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Containers &amp; K8s</w:t>
            </w:r>
          </w:p>
        </w:tc>
        <w:tc>
          <w:tcPr>
            <w:tcW w:type="dxa" w:w="720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Docker | Kubernetes (EKS/AKS/GKE) | Helm | Kustomize | Istio | Container Security</w:t>
            </w:r>
          </w:p>
        </w:tc>
      </w:tr>
      <w:tr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720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Prometheus | Grafana | ELK Stack | OpenTelemetry | Distributed Tracing | ClickHouse | OpenTSDB</w:t>
            </w:r>
          </w:p>
        </w:tc>
      </w:tr>
      <w:tr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CI/CD &amp; IaC</w:t>
            </w:r>
          </w:p>
        </w:tc>
        <w:tc>
          <w:tcPr>
            <w:tcW w:type="dxa" w:w="720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Jenkins | GitHub Actions | GitLab CI | ArgoCD | Terraform | Ansible | GitOps</w:t>
            </w:r>
          </w:p>
        </w:tc>
      </w:tr>
      <w:tr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SRE Practices</w:t>
            </w:r>
          </w:p>
        </w:tc>
        <w:tc>
          <w:tcPr>
            <w:tcW w:type="dxa" w:w="720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Capacity Planning | Disaster Recovery | Incident Management | Change Management | SLO/SLA | AIOps</w:t>
            </w:r>
          </w:p>
        </w:tc>
      </w:tr>
      <w:tr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Cloud &amp; Vendors</w:t>
            </w:r>
          </w:p>
        </w:tc>
        <w:tc>
          <w:tcPr>
            <w:tcW w:type="dxa" w:w="720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AWS | Azure | GCP | OCI | Akamai | Multi-Cloud Architecture</w:t>
            </w:r>
          </w:p>
        </w:tc>
      </w:tr>
    </w:tbl>
    <w:p>
      <w:pPr>
        <w:pStyle w:val="SectionHeader"/>
      </w:pPr>
      <w:r>
        <w:t xml:space="preserve">PROFESSIONAL EXPERIENCE</w:t>
      </w:r>
    </w:p>
    <w:p>
      <w:pPr>
        <w:pStyle w:val="CompanyTitle"/>
      </w:pPr>
      <w:r>
        <w:t xml:space="preserve">Staff Site Reliability Engineer | Data Platform Lead</w:t>
      </w:r>
    </w:p>
    <w:p>
      <w:pPr>
        <w:pStyle w:val="JobMeta"/>
      </w:pPr>
      <w:r>
        <w:t xml:space="preserve">Trackonomy Systems | San Jose, CA | Oct 2023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Drive infrastructure automation: Architected data platform on bare-metal and multi-cloud (AWS, Azure, OCI) processing petabytes across 200+ microservices serving 10M+ users with 99.97% uptime; achieved $8M+ cost optimization.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Collaborate on service lifecycle: Built 65-GPU compute cluster (Slurm, Kubernetes) for analytics/ML; implemented Spark, Flink, Airflow pipelines processing millions of daily jobs from design through production refinement.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Ensure reliability &amp; performance: Designed SLO-driven observability (Prometheus, Grafana, Datadog, Splunk) with intelligent alerting; achieved 60% MTTR reduction through distributed tracing and proactive monitoring.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Execute core SRE practices: Led 24x7 on-call rotation with consistent incident management; conducted Chaos Engineering, FMEA testing, capacity planning, and DR validation; authored RCAs driving systemic improvements.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Built and managed DNS infrastructure (Route53) and load balancing (ALB/NLB) for high-availability across 15+ AWS regions; deployed services via Helm and ArgoCD GitOps achieving 95% infrastructure automation.</w:t>
      </w:r>
    </w:p>
    <w:p>
      <w:pPr>
        <w:pStyle w:val="CompanyTitle"/>
      </w:pPr>
      <w:r>
        <w:t xml:space="preserve">Senior Site Reliability Engineer | Data Platform Architect</w:t>
      </w:r>
    </w:p>
    <w:p>
      <w:pPr>
        <w:pStyle w:val="JobMeta"/>
      </w:pPr>
      <w:r>
        <w:t xml:space="preserve">Wipro (OSDU Platform – AWS &amp; Azure) | Feb 2020 – Oct 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Drive infrastructure automation: Architected OSDU R3 platform processing exabytes of seismic data on GPU-accelerated Kubernetes clusters (EKS/AKS) with Spark and Hadoop/HDFS for global energy enterprises (ExxonMobil, Chevron, BP, Shell).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Collaborate on service lifecycle: Automated CI/CD with GitHub Actions, Azure DevOps, Terraform, Helm; provisioned AWS &amp; Azure Landing Zones for 5+ enterprise partners; partnered with cross-functional teams on deployments.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Ensure reliability &amp; performance: Implemented HA architecture and disaster recovery across geographically distributed data centers; achieved 55% downtime reduction via capacity planning and performance tuning.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Execute core SRE practices: Led 24x7 on-call rotation with &lt;15min response time; managed change control processes; implemented DevSecOps (Snyk, SonarQube, Veracode) and secrets management (AWS Secrets Manager, Azure Key Vault).</w:t>
      </w:r>
    </w:p>
    <w:p>
      <w:pPr>
        <w:pStyle w:val="CompanyTitle"/>
      </w:pPr>
      <w:r>
        <w:t xml:space="preserve">Site Reliability Engineer | Infrastructure Architect</w:t>
      </w:r>
    </w:p>
    <w:p>
      <w:pPr>
        <w:pStyle w:val="JobMeta"/>
      </w:pPr>
      <w:r>
        <w:t xml:space="preserve">Tata Consultancy Services (TCS) | Global | May 2007 – Feb 2020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Managed large-scale production applications on bare-metal and cloud serving millions of users; led capacity planning, performance testing, and disaster recovery initiatives across distributed systems.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Deployed Kubernetes clusters using Terraform, ARM templates, CloudFormation for multi-language applications; built CI/CD with Azure DevOps, Jenkins, Helm, Ansible; pioneered Docker/Kubernetes adoption (2013-2014).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Operated distributed systems (Java middleware, Hadoop, Oracle) on Linux infrastructure (RHEL, Ubuntu, Solaris); implemented DevSecOps, automation frameworks, and managed 24x7 operations with stringent SLA requirements.</w:t>
      </w:r>
    </w:p>
    <w:p>
      <w:pPr>
        <w:pStyle w:val="SectionHeader"/>
      </w:pPr>
      <w:r>
        <w:t xml:space="preserve">EDUCATION &amp; CERTIFICATIONS</w:t>
      </w:r>
    </w:p>
    <w:p>
      <w:pPr>
        <w:pStyle w:val="BodyText"/>
      </w:pPr>
      <w:r>
        <w:rPr>
          <w:b/>
          <w:bCs/>
        </w:rPr>
        <w:t xml:space="preserve">Bachelor of Science in Mechanical Engineering</w:t>
      </w:r>
      <w:r>
        <w:t xml:space="preserve"> | Acharya Nagarjuna University</w:t>
      </w:r>
    </w:p>
    <w:p>
      <w:pPr>
        <w:pStyle w:val="BodyText"/>
        <w:spacing w:after="200"/>
      </w:pPr>
      <w:r>
        <w:rPr>
          <w:b/>
          <w:bCs/>
        </w:rPr>
        <w:t xml:space="preserve">Certifications: </w:t>
      </w:r>
      <w:r>
        <w:t xml:space="preserve">AWS Solutions Architect Professional | Azure Solutions Architect Expert | Google Cloud Professional Architect | </w:t>
      </w:r>
      <w:r>
        <w:rPr>
          <w:b/>
          <w:bCs/>
        </w:rPr>
        <w:t xml:space="preserve">Certified Kubernetes Administrator (CKA)</w:t>
      </w:r>
      <w:r>
        <w:t xml:space="preserve"> | HashiCorp Terraform Associate | ITIL v4</w:t>
      </w:r>
    </w:p>
    <w:p>
      <w:pPr>
        <w:pStyle w:val="SectionHeader"/>
      </w:pPr>
      <w:r>
        <w:t xml:space="preserve">KEY METRICS &amp; ACHIEVEMENTS</w:t>
      </w:r>
    </w:p>
    <w:p>
      <w:pPr>
        <w:pStyle w:val="BodyText"/>
      </w:pPr>
      <w:r>
        <w:rPr>
          <w:b/>
          <w:bCs/>
          <w:color w:val="00F2EA"/>
        </w:rPr>
        <w:t xml:space="preserve">Scale: </w:t>
      </w:r>
      <w:r>
        <w:t xml:space="preserve">200+ microservices | 10M+ users | 15+ AWS regions | 50+ daily releases</w:t>
      </w:r>
      <w:r>
        <w:rPr>
          <w:b/>
          <w:bCs/>
          <w:color w:val="00F2EA"/>
        </w:rPr>
        <w:t xml:space="preserve">   Reliability: </w:t>
      </w:r>
      <w:r>
        <w:t xml:space="preserve">99.97% uptime | 65% incident reduction | &lt;15min on-call response</w:t>
      </w:r>
      <w:r>
        <w:rPr>
          <w:b/>
          <w:bCs/>
          <w:color w:val="00F2EA"/>
        </w:rPr>
        <w:t xml:space="preserve">   Automation: </w:t>
      </w:r>
      <w:r>
        <w:t xml:space="preserve">85% toil reduction | Days→15min deployments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360" w:hanging="220"/>
      </w:pPr>
      <w:rPr>
        <w:color w:val="00F2E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ame">
    <w:name w:val="Name"/>
    <w:basedOn w:val="Normal"/>
    <w:pPr>
      <w:spacing w:after="80"/>
      <w:jc w:val="left"/>
    </w:pPr>
    <w:rPr>
      <w:rFonts w:ascii="Calibri" w:cs="Calibri" w:eastAsia="Calibri" w:hAnsi="Calibri"/>
      <w:b/>
      <w:bCs/>
      <w:color w:val="000000"/>
      <w:sz w:val="52"/>
      <w:szCs w:val="52"/>
    </w:rPr>
  </w:style>
  <w:style w:type="paragraph" w:styleId="Title">
    <w:name w:val="Title"/>
    <w:basedOn w:val="Normal"/>
    <w:pPr>
      <w:spacing w:after="120"/>
    </w:pPr>
    <w:rPr>
      <w:rFonts w:ascii="Calibri" w:cs="Calibri" w:eastAsia="Calibri" w:hAnsi="Calibri"/>
      <w:color w:val="666666"/>
      <w:sz w:val="26"/>
      <w:szCs w:val="26"/>
    </w:rPr>
  </w:style>
  <w:style w:type="paragraph" w:styleId="SectionHeader">
    <w:name w:val="Section Header"/>
    <w:basedOn w:val="Normal"/>
    <w:pPr>
      <w:pBdr>
        <w:bottom w:val="single" w:color="00F2EA" w:sz="12"/>
      </w:pBdr>
      <w:spacing w:before="280" w:after="120"/>
    </w:pPr>
    <w:rPr>
      <w:rFonts w:ascii="Calibri" w:cs="Calibri" w:eastAsia="Calibri" w:hAnsi="Calibri"/>
      <w:b/>
      <w:bCs/>
      <w:caps/>
      <w:color w:val="000000"/>
      <w:sz w:val="24"/>
      <w:szCs w:val="24"/>
    </w:rPr>
  </w:style>
  <w:style w:type="paragraph" w:styleId="CompanyTitle">
    <w:name w:val="Company Title"/>
    <w:basedOn w:val="Normal"/>
    <w:pPr>
      <w:spacing w:before="160" w:after="40"/>
    </w:pPr>
    <w:rPr>
      <w:rFonts w:ascii="Calibri" w:cs="Calibri" w:eastAsia="Calibri" w:hAnsi="Calibri"/>
      <w:b/>
      <w:bCs/>
      <w:color w:val="000000"/>
      <w:sz w:val="23"/>
      <w:szCs w:val="23"/>
    </w:rPr>
  </w:style>
  <w:style w:type="paragraph" w:styleId="JobMeta">
    <w:name w:val="Job Meta"/>
    <w:basedOn w:val="Normal"/>
    <w:pPr>
      <w:spacing w:after="80"/>
    </w:pPr>
    <w:rPr>
      <w:rFonts w:ascii="Calibri" w:cs="Calibri" w:eastAsia="Calibri" w:hAnsi="Calibri"/>
      <w:i/>
      <w:iCs/>
      <w:color w:val="666666"/>
      <w:sz w:val="21"/>
      <w:szCs w:val="21"/>
    </w:rPr>
  </w:style>
  <w:style w:type="paragraph" w:styleId="BodyText">
    <w:name w:val="Body Text"/>
    <w:basedOn w:val="Normal"/>
    <w:pPr>
      <w:spacing w:after="60"/>
    </w:pPr>
    <w:rPr>
      <w:rFonts w:ascii="Calibri" w:cs="Calibri" w:eastAsia="Calibri" w:hAnsi="Calibri"/>
      <w:color w:val="333333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ybfdnsrgjk9t9hg9cql4f" Type="http://schemas.openxmlformats.org/officeDocument/2006/relationships/hyperlink" Target="https://schundu007.github.io/chundu/" TargetMode="External"/><Relationship Id="rIdjauw-8rq04lu-rflojmcv" Type="http://schemas.openxmlformats.org/officeDocument/2006/relationships/hyperlink" Target="https://www.linkedin.com/in/schundu/" TargetMode="External"/><Relationship Id="rIdcc-nsokooq7qq070ju-0j" Type="http://schemas.openxmlformats.org/officeDocument/2006/relationships/hyperlink" Target="https://github.com/schundu007/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2025-12-24T13:43:58.560Z</dcterms:created>
  <dcterms:modified xsi:type="dcterms:W3CDTF">2025-12-24T13:43:58.561Z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