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jc w:val="center"/>
      </w:pPr>
      <w:r>
        <w:rPr>
          <w:rFonts w:ascii="Calibri" w:cs="Calibri" w:eastAsia="Calibri" w:hAnsi="Calibri"/>
          <w:b/>
          <w:bCs/>
          <w:color w:val="2B579A"/>
          <w:sz w:val="32"/>
          <w:szCs w:val="32"/>
        </w:rPr>
        <w:t xml:space="preserve">SUDHAKAR CHUNDU</w:t>
      </w:r>
    </w:p>
    <w:p>
      <w:pPr>
        <w:spacing w:after="40"/>
        <w:jc w:val="center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Principal Cloud and Solutions Architect</w:t>
      </w:r>
    </w:p>
    <w:p>
      <w:pPr>
        <w:spacing w:after="40"/>
        <w:jc w:val="center"/>
      </w:pPr>
      <w:r>
        <w:rPr>
          <w:rFonts w:ascii="Calibri" w:cs="Calibri" w:eastAsia="Calibri" w:hAnsi="Calibri"/>
          <w:sz w:val="21"/>
          <w:szCs w:val="21"/>
        </w:rPr>
        <w:t xml:space="preserve">sbchundu@gmail.com | (513) 666-0099 | San Jose, CA | linkedin.com/in/schundu</w:t>
      </w:r>
    </w:p>
    <w:p>
      <w:pPr>
        <w:spacing w:after="80"/>
        <w:jc w:val="center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Multi-Cloud Architecture | Terraform IaC | System Design | FinOps and Cost Optimization</w:t>
      </w:r>
    </w:p>
    <w:p>
      <w:pPr>
        <w:pBdr>
          <w:bottom w:val="single" w:color="2B579A" w:sz="6" w:space="2"/>
        </w:pBdr>
        <w:spacing w:before="200" w:after="80"/>
      </w:pPr>
      <w:r>
        <w:rPr>
          <w:rFonts w:ascii="Calibri" w:cs="Calibri" w:eastAsia="Calibri" w:hAnsi="Calibri"/>
          <w:b/>
          <w:bCs/>
          <w:color w:val="2B579A"/>
          <w:sz w:val="24"/>
          <w:szCs w:val="24"/>
        </w:rPr>
        <w:t xml:space="preserve">PROFESSIONAL 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>Principal Cloud Architect with 12+ years of cloud/HPC expertise backed by 6 years of Linux/middleware foundations, designing and implementing enterprise-scale infrastructure across AWS, Azure, GCP, and OCI. Expert in multi-cloud architecture, Terraform IaC (5+ production modules), system design for high availability, and FinOps cost optimization - delivering 73% cloud cost reduction ($10M to $2.7M/year) and $8M+ annual savings. Proven track record architecting platforms with 99.97% uptime across 15+ regions.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Deep expertise in AWS Well-Architected designs, secure landing zones, capacity planning, compliance frameworks (SOC2, HIPAA, FedRAMP, ISO 27001), and enterprise technology roadmaps. Certified AWS Solutions Architect Professional, Azure Solutions Architect Expert, and CKA.</w:t>
      </w:r>
    </w:p>
    <w:p>
      <w:pPr>
        <w:pBdr>
          <w:bottom w:val="single" w:color="2B579A" w:sz="6" w:space="2"/>
        </w:pBdr>
        <w:spacing w:before="200" w:after="80"/>
      </w:pPr>
      <w:r>
        <w:rPr>
          <w:rFonts w:ascii="Calibri" w:cs="Calibri" w:eastAsia="Calibri" w:hAnsi="Calibri"/>
          <w:b/>
          <w:bCs/>
          <w:color w:val="2B579A"/>
          <w:sz w:val="24"/>
          <w:szCs w:val="24"/>
        </w:rPr>
        <w:t xml:space="preserve">CORE TECHNICAL COMPETENCIES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Architecture: </w:t>
      </w:r>
      <w:r>
        <w:rPr>
          <w:rFonts w:ascii="Calibri" w:cs="Calibri" w:eastAsia="Calibri" w:hAnsi="Calibri"/>
          <w:sz w:val="21"/>
          <w:szCs w:val="21"/>
        </w:rPr>
        <w:t xml:space="preserve">AWS (EC2, EKS, Lambda, S3, RDS, VPC, IAM, CloudFormation, SageMaker), Azure (AKS, DevOps, Entra ID), GCP (GKE, BigQuery), OCI, multi-cloud design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Infrastructure as Code: </w:t>
      </w:r>
      <w:r>
        <w:rPr>
          <w:rFonts w:ascii="Calibri" w:cs="Calibri" w:eastAsia="Calibri" w:hAnsi="Calibri"/>
          <w:sz w:val="21"/>
          <w:szCs w:val="21"/>
        </w:rPr>
        <w:t>Terraform (5+ modules, state management, multi-cloud providers), CloudFormation, ARM/Bicep, Ansible, Pulumi, GitOps (ArgoCD, FluxCD)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System Design: </w:t>
      </w:r>
      <w:r>
        <w:rPr>
          <w:rFonts w:ascii="Calibri" w:cs="Calibri" w:eastAsia="Calibri" w:hAnsi="Calibri"/>
          <w:sz w:val="21"/>
          <w:szCs w:val="21"/>
        </w:rPr>
        <w:t xml:space="preserve">Scalability (horizontal/vertical), high availability, fault tolerance, load balancing, caching, database sharding, microservices, event-driven architecture, API design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FinOps and Cost: </w:t>
      </w:r>
      <w:r>
        <w:rPr>
          <w:rFonts w:ascii="Calibri" w:cs="Calibri" w:eastAsia="Calibri" w:hAnsi="Calibri"/>
          <w:sz w:val="21"/>
          <w:szCs w:val="21"/>
        </w:rPr>
        <w:t xml:space="preserve">Cloud financial management, rightsizing, storage tiering, reserved instances, spot strategies, showback/chargeback, ROI-driven investments, vendor consolidation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Kubernetes and Containers: </w:t>
      </w:r>
      <w:r>
        <w:rPr>
          <w:rFonts w:ascii="Calibri" w:cs="Calibri" w:eastAsia="Calibri" w:hAnsi="Calibri"/>
          <w:sz w:val="21"/>
          <w:szCs w:val="21"/>
        </w:rPr>
        <w:t xml:space="preserve">EKS, AKS, GKE, Docker, Helm, Istio service mesh, KEDA, container security, multi-tenant clusters, GPU scheduling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Networking: </w:t>
      </w:r>
      <w:r>
        <w:rPr>
          <w:rFonts w:ascii="Calibri" w:cs="Calibri" w:eastAsia="Calibri" w:hAnsi="Calibri"/>
          <w:sz w:val="21"/>
          <w:szCs w:val="21"/>
        </w:rPr>
        <w:t xml:space="preserve">VPC/VNet design, subnets, NAT gateways, VPN, ExpressRoute/Direct Connect, DNS (Route53), CDN (CloudFront, Akamai), load balancing (ALB/NLB)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 and Compliance: </w:t>
      </w:r>
      <w:r>
        <w:rPr>
          <w:rFonts w:ascii="Calibri" w:cs="Calibri" w:eastAsia="Calibri" w:hAnsi="Calibri"/>
          <w:sz w:val="21"/>
          <w:szCs w:val="21"/>
        </w:rPr>
        <w:t xml:space="preserve">SOC2, HIPAA, FedRAMP, ISO 27001, HITRUST, IAM, KMS, secrets management (Vault), landing zones, Zero Trust, DevSecOps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Observability: </w:t>
      </w:r>
      <w:r>
        <w:rPr>
          <w:rFonts w:ascii="Calibri" w:cs="Calibri" w:eastAsia="Calibri" w:hAnsi="Calibri"/>
          <w:sz w:val="21"/>
          <w:szCs w:val="21"/>
        </w:rPr>
        <w:t xml:space="preserve">Datadog, Prometheus, Grafana, ELK Stack, CloudWatch, OpenTelemetry, distributed tracing, SLI/SLO monitoring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Programming: </w:t>
      </w:r>
      <w:r>
        <w:rPr>
          <w:rFonts w:ascii="Calibri" w:cs="Calibri" w:eastAsia="Calibri" w:hAnsi="Calibri"/>
          <w:sz w:val="21"/>
          <w:szCs w:val="21"/>
        </w:rPr>
        <w:t xml:space="preserve">Python, Go, Bash, Java, SQL, Terraform HCL - automation, API development, infrastructure tooling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DR and HA: </w:t>
      </w:r>
      <w:r>
        <w:rPr>
          <w:rFonts w:ascii="Calibri" w:cs="Calibri" w:eastAsia="Calibri" w:hAnsi="Calibri"/>
          <w:sz w:val="21"/>
          <w:szCs w:val="21"/>
        </w:rPr>
        <w:t xml:space="preserve">Disaster recovery (RPO less than 1hr, RTO less than 4hrs), multi-AZ/multi-region deployments, automated failover, capacity planning</w:t>
      </w:r>
    </w:p>
    <w:p>
      <w:pPr>
        <w:pBdr>
          <w:bottom w:val="single" w:color="2B579A" w:sz="6" w:space="2"/>
        </w:pBdr>
        <w:spacing w:before="200" w:after="80"/>
      </w:pPr>
      <w:r>
        <w:rPr>
          <w:rFonts w:ascii="Calibri" w:cs="Calibri" w:eastAsia="Calibri" w:hAnsi="Calibri"/>
          <w:b/>
          <w:bCs/>
          <w:color w:val="2B579A"/>
          <w:sz w:val="24"/>
          <w:szCs w:val="24"/>
        </w:rPr>
        <w:t xml:space="preserve">PROFESSIONAL EXPERIENCE</w:t>
      </w:r>
    </w:p>
    <w:p>
      <w:pPr>
        <w:tabs>
          <w:tab w:val="right" w:pos="9026"/>
        </w:tabs>
        <w:spacing w:before="140" w:after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Principal Cloud Architect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	Oct 2023 - Jan 2026</w:t>
      </w:r>
    </w:p>
    <w:p>
      <w:pPr>
        <w:spacing w:after="60"/>
      </w:pPr>
      <w:r>
        <w:rPr>
          <w:rFonts w:ascii="Calibri" w:cs="Calibri" w:eastAsia="Calibri" w:hAnsi="Calibri"/>
          <w:i/>
          <w:iCs/>
          <w:sz w:val="21"/>
          <w:szCs w:val="21"/>
        </w:rPr>
        <w:t xml:space="preserve">Trackonomy Systems Inc (Full-Time) | San Jose, CA</w:t>
      </w:r>
    </w:p>
    <w:p>
      <w:pPr>
        <w:spacing w:after="60"/>
      </w:pPr>
      <w:r>
        <w:rPr>
          <w:rFonts w:ascii="Calibri" w:cs="Calibri" w:eastAsia="Calibri" w:hAnsi="Calibri"/>
          <w:i/>
          <w:iCs/>
          <w:sz w:val="21"/>
          <w:szCs w:val="21"/>
        </w:rPr>
        <w:t xml:space="preserve">Led infrastructure engineering team (6 members) serving enterprise clients across Pharma, Airlines, Government, Manufacturing, Healthcare, and IoT sectors globally across 8 countries.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Architecture and System Design: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Redesigned multi-cloud architecture (AWS, Azure, GCP, OCI) reducing Azure resources from 8.7K to 1.1K (87% reduction); migrated VMs to AKS/EKS with Helm and GitOps workflows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high-availability platforms using Azure APIM, AKS, Front Door, Event Hub, and Service Bus; designed hybrid cloud with VPN and ExpressRoute connectivity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secure VPC architectures with multi-AZ deployments, private/public subnets, NAT gateways, route tables, and VPC peering achieving 99.97% uptime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Defined enterprise technology roadmap spanning AI integration, multi-cloud infrastructure, and productivity platforms aligned with business growth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FinOps and Cost Optimization: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Reduced cloud costs 73% ($10M to $2.7M/year) through GPU utilization optimization, fair-share scheduling, reserved instance planning, and vendor consolidation - delivering $8M+ annual savings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Led FinOps practice with cost transparency dashboards, showback/chargeback models, and ROI-driven infrastructure investments across multi-tenant environments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Infrastructure as Code and Automation: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>Implemented IaC using Terraform (5+ modules), ARM/Bicep, CloudFormation, Ansible with policy-as-code (OPA, Checkov, tfsec) for compliance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CI/CD pipelines for 100+ applications using GitOps (ArgoCD, FluxCD), Azure DevOps, GitHub Actions, Jenkins; enabled 50+ daily zero-downtime deployments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serverless architectures using Lambda, API Gateway, EventBridge, and Step Functions for event-driven processing, reducing costs 40%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Security, Compliance and Governance: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Led SOC2 Type II, ISO 27001, HIPAA, FedRAMP, HITRUST compliance using Vanta; implemented DevSecOps achieving zero critical findings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Established Change Advisory Board (CAB) and governance framework; drove end-to-end cloud onboarding with secure landing zones, multi-account structures, and IAM governance</w:t>
      </w:r>
    </w:p>
    <w:p>
      <w:pPr>
        <w:tabs>
          <w:tab w:val="right" w:pos="9026"/>
        </w:tabs>
        <w:spacing w:before="140" w:after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Senior Cloud Architect / SRE Lead</w:t>
      </w:r>
      <w:r>
        <w:rPr>
          <w:rFonts w:ascii="Calibri" w:cs="Calibri" w:eastAsia="Calibri" w:hAnsi="Calibri"/>
          <w:i/>
          <w:iCs/>
          <w:sz w:val="21"/>
          <w:szCs w:val="21"/>
        </w:rPr>
        <w:tab/>
        <w:t>Mar 2022 - Oct 2023</w:t>
      </w:r>
    </w:p>
    <w:p>
      <w:pPr>
        <w:spacing w:after="60"/>
      </w:pPr>
      <w:r>
        <w:rPr>
          <w:rFonts w:ascii="Calibri" w:cs="Calibri" w:eastAsia="Calibri" w:hAnsi="Calibri"/>
          <w:i/>
          <w:iCs/>
          <w:sz w:val="21"/>
          <w:szCs w:val="21"/>
        </w:rPr>
        <w:t xml:space="preserve">AWS (Contract via Tecra Systems through Wipro) - OSDU Data Platform | Seattle, WA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OSDU data platform on GPU-accelerated Kubernetes clusters (EKS/Fargate) processing exabytes of seismic data for ExxonMobil, Chevron, BP, Shell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>Created 5+ reusable Terraform modules following AWS Well-Architected Framework principles for VPC, IAM, EKS, RDS, S3, and networking components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multi-tenant AWS Landing Zones using Organizations and SCPs; achieved 99.99% availability with GitOps, KEDA autoscaling, and Istio service mesh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observability stack with Prometheus/Grafana/ELK; designed DR with RPO less than 1hr, RTO less than 4hrs; achieved 35% downtime reduction</w:t>
      </w:r>
    </w:p>
    <w:p>
      <w:pPr>
        <w:tabs>
          <w:tab w:val="right" w:pos="9026"/>
        </w:tabs>
        <w:spacing w:before="140" w:after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Cloud Infrastructure Architect - Azure Platform Engineering</w:t>
      </w:r>
      <w:r>
        <w:rPr>
          <w:rFonts w:ascii="Calibri" w:cs="Calibri" w:eastAsia="Calibri" w:hAnsi="Calibri"/>
          <w:i/>
          <w:iCs/>
          <w:sz w:val="21"/>
          <w:szCs w:val="21"/>
        </w:rPr>
        <w:tab/>
        <w:t>Feb 2020 - Mar 2022</w:t>
      </w:r>
    </w:p>
    <w:p>
      <w:pPr>
        <w:spacing w:after="60"/>
      </w:pPr>
      <w:r>
        <w:rPr>
          <w:rFonts w:ascii="Calibri" w:cs="Calibri" w:eastAsia="Calibri" w:hAnsi="Calibri"/>
          <w:i/>
          <w:iCs/>
          <w:sz w:val="21"/>
          <w:szCs w:val="21"/>
        </w:rPr>
        <w:t>Microsoft Azure (Full-Time with Wipro) - OSDU Platform | Redmond, WA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scalable infrastructure using Azure AKS with GPU node pools and ExpressRoute for hybrid connectivity to on-premise clusters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15+ microservices on AKS with Istio service mesh; built Azure DevOps pipelines with Terraform/Bicep IaC achieving 99.9% availability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compliance-as-code achieving SOC 2, HIPAA, ISO 27001 certifications across multi-tenant environments</w:t>
      </w:r>
    </w:p>
    <w:p>
      <w:pPr>
        <w:tabs>
          <w:tab w:val="right" w:pos="9026"/>
        </w:tabs>
        <w:spacing w:before="140" w:after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Cloud Architect - Healthcare Infrastructure</w:t>
      </w:r>
      <w:r>
        <w:rPr>
          <w:rFonts w:ascii="Calibri" w:cs="Calibri" w:eastAsia="Calibri" w:hAnsi="Calibri"/>
          <w:i/>
          <w:iCs/>
          <w:sz w:val="21"/>
          <w:szCs w:val="21"/>
        </w:rPr>
        <w:tab/>
        <w:t>Aug 2018 - Feb 2020</w:t>
      </w:r>
    </w:p>
    <w:p>
      <w:pPr>
        <w:spacing w:after="60"/>
      </w:pPr>
      <w:r>
        <w:rPr>
          <w:rFonts w:ascii="Calibri" w:cs="Calibri" w:eastAsia="Calibri" w:hAnsi="Calibri"/>
          <w:i/>
          <w:iCs/>
          <w:sz w:val="21"/>
          <w:szCs w:val="21"/>
        </w:rPr>
        <w:t>NTT Data Services | Hyderabad, India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AWS cloud migration for HIPAA/HITRUST-regulated applications; implemented compliant ML pipeline with encryption and audit logging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Jenkins/Ansible CI/CD pipelines; implemented DevSecOps; designed DR with business continuity planning; managed $6M infrastructure budget</w:t>
      </w:r>
    </w:p>
    <w:p>
      <w:pPr>
        <w:tabs>
          <w:tab w:val="right" w:pos="9026"/>
        </w:tabs>
        <w:spacing w:before="140" w:after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Multi-Cloud Architect / Senior Infrastructure Engineer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	May 2007 - Jun 2018</w:t>
      </w:r>
    </w:p>
    <w:p>
      <w:pPr>
        <w:spacing w:after="60"/>
      </w:pPr>
      <w:r>
        <w:rPr>
          <w:rFonts w:ascii="Calibri" w:cs="Calibri" w:eastAsia="Calibri" w:hAnsi="Calibri"/>
          <w:i/>
          <w:iCs/>
          <w:sz w:val="21"/>
          <w:szCs w:val="21"/>
        </w:rPr>
        <w:t xml:space="preserve">Tata Consultancy Services - CNA, PWC, Verizon, Owens Corning | Hyderabad, India | Florida | Maryland | Ohio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Progressive 11-year career across Fortune 500 clients: Linux/Unix administration to cloud architecture to infrastructure leadership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Led cloud migrations to AWS, Azure, OpenStack; pioneered Docker/Kubernetes adoption; implemented CI/CD with Jenkins, Ansible, Terraform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Led infrastructure deployments for 12+ facility buildouts including branch offices, call centers, and data centers</w:t>
      </w:r>
    </w:p>
    <w:p>
      <w:pPr>
        <w:pBdr>
          <w:bottom w:val="single" w:color="2B579A" w:sz="6" w:space="2"/>
        </w:pBdr>
        <w:spacing w:before="200" w:after="80"/>
      </w:pPr>
      <w:r>
        <w:rPr>
          <w:rFonts w:ascii="Calibri" w:cs="Calibri" w:eastAsia="Calibri" w:hAnsi="Calibri"/>
          <w:b/>
          <w:bCs/>
          <w:color w:val="2B579A"/>
          <w:sz w:val="24"/>
          <w:szCs w:val="24"/>
        </w:rPr>
        <w:t xml:space="preserve">KEY ACHIEVEMENTS AND METRICS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Architecture and Scale: 200+ microservices | Petabyte-scale processing | 15+ regions | Multi-cloud (AWS, Azure, GCP, OCI)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Reliability: 99.97% uptime | 99.99% availability for critical systems | Exabyte-scale data platform for Fortune 500 energy companies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Cost and Efficiency: $8M+ annual savings | 73% cloud cost reduction | 87% infrastructure sprawl elimination | 40% serverless cost reduction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Velocity: 95% deployment time reduction | 80% faster provisioning through Terraform modules | 50+ daily releases</w:t>
      </w:r>
    </w:p>
    <w:p>
      <w:pPr>
        <w:pBdr>
          <w:bottom w:val="single" w:color="2B579A" w:sz="6" w:space="2"/>
        </w:pBdr>
        <w:spacing w:before="200" w:after="80"/>
      </w:pPr>
      <w:r>
        <w:rPr>
          <w:rFonts w:ascii="Calibri" w:cs="Calibri" w:eastAsia="Calibri" w:hAnsi="Calibri"/>
          <w:b/>
          <w:bCs/>
          <w:color w:val="2B579A"/>
          <w:sz w:val="24"/>
          <w:szCs w:val="24"/>
        </w:rPr>
        <w:t xml:space="preserve">CERTIFICATIONS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Cloud: </w:t>
      </w:r>
      <w:r>
        <w:rPr>
          <w:rFonts w:ascii="Calibri" w:cs="Calibri" w:eastAsia="Calibri" w:hAnsi="Calibri"/>
          <w:sz w:val="21"/>
          <w:szCs w:val="21"/>
        </w:rPr>
        <w:t xml:space="preserve">AWS Solutions Architect Professional | Azure Solutions Architect Expert | Google Cloud Professional Cloud Architect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DevOps: </w:t>
      </w:r>
      <w:r>
        <w:rPr>
          <w:rFonts w:ascii="Calibri" w:cs="Calibri" w:eastAsia="Calibri" w:hAnsi="Calibri"/>
          <w:sz w:val="21"/>
          <w:szCs w:val="21"/>
        </w:rPr>
        <w:t xml:space="preserve">Certified Kubernetes Administrator (CKA) | HashiCorp Terraform Associate | Databricks Certified Data Engineer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Enterprise: </w:t>
      </w:r>
      <w:r>
        <w:rPr>
          <w:rFonts w:ascii="Calibri" w:cs="Calibri" w:eastAsia="Calibri" w:hAnsi="Calibri"/>
          <w:sz w:val="21"/>
          <w:szCs w:val="21"/>
        </w:rPr>
        <w:t xml:space="preserve">TOGAF 9 Foundation | ITIL v4 Foundation | VMware VCP | Cisco CCNP</w:t>
      </w:r>
    </w:p>
    <w:p>
      <w:pPr>
        <w:pBdr>
          <w:bottom w:val="single" w:color="2B579A" w:sz="6" w:space="2"/>
        </w:pBdr>
        <w:spacing w:before="200" w:after="80"/>
      </w:pPr>
      <w:r>
        <w:rPr>
          <w:rFonts w:ascii="Calibri" w:cs="Calibri" w:eastAsia="Calibri" w:hAnsi="Calibri"/>
          <w:b/>
          <w:bCs/>
          <w:color w:val="2B579A"/>
          <w:sz w:val="24"/>
          <w:szCs w:val="24"/>
        </w:rPr>
        <w:t xml:space="preserve">EDUCATION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Engineering, Mechanical Engineering</w:t>
      </w:r>
      <w:r>
        <w:rPr>
          <w:rFonts w:ascii="Calibri" w:cs="Calibri" w:eastAsia="Calibri" w:hAnsi="Calibri"/>
          <w:sz w:val="21"/>
          <w:szCs w:val="21"/>
        </w:rPr>
        <w:t xml:space="preserve"> - Acharya Nagarjuna University, 2005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2026-02-20T00:55:37.794Z</dcterms:created>
  <dcterms:modified xsi:type="dcterms:W3CDTF">2026-02-20T00:55:37.795Z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