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  <w:jc w:val="center"/>
      </w:pPr>
      <w:r>
        <w:t xml:space="preserve">SUDHAKAR CHUNDU</w:t>
      </w:r>
    </w:p>
    <w:p>
      <w:pPr>
        <w:pStyle w:val="ContactInfo"/>
        <w:jc w:val="center"/>
      </w:pPr>
      <w:r>
        <w:t xml:space="preserve">chundubabu@gmail.com | (513) 666-0099 | San Jose, CA | </w:t>
      </w:r>
      <w:r>
        <w:rPr>
          <w:color w:val="0563C1"/>
        </w:rPr>
        <w:t xml:space="preserve">linkedin.com/in/schundu</w:t>
      </w:r>
      <w:r>
        <w:t xml:space="preserve"> | </w:t>
      </w:r>
      <w:r>
        <w:rPr>
          <w:color w:val="0563C1"/>
        </w:rPr>
        <w:t xml:space="preserve">sudhakarchundu.org</w:t>
      </w:r>
    </w:p>
    <w:p>
      <w:pPr>
        <w:pStyle w:val="SectionHeader"/>
      </w:pPr>
      <w:r>
        <w:t xml:space="preserve">Professional Summary</w:t>
      </w:r>
    </w:p>
    <w:p>
      <w:pPr>
        <w:spacing w:after="100"/>
      </w:pPr>
      <w:r>
        <w:rPr>
          <w:sz w:val="20"/>
          <w:szCs w:val="20"/>
        </w:rPr>
        <w:t xml:space="preserve">Cloud Engineering and Platform Leader with 18+ years of experience designing, implementing, and operating distributed systems at global scale. Expert in AWS infrastructure, Kubernetes orchestration, and CI/CD automation with a track record of delivering $8M+ in cost savings while maintaining 99.97% uptime. Proven technical leader managing teams of 13+ engineers and $15M+ budgets. Deep hands-on experience with DevOps, SRE practices, container security, and compliance (SOC2, HIPAA, FedRAMP). Conference speaker at KubeCon, SREcon, and MLOps World.</w:t>
      </w:r>
    </w:p>
    <w:p>
      <w:pPr>
        <w:pStyle w:val="SectionHeader"/>
      </w:pPr>
      <w:r>
        <w:t xml:space="preserve">Technical Skills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6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Cloud Platforms: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AWS (EKS, EC2, Fargate, Lambda, S3, RDS, DynamoDB, SageMaker, EMR), Azure (AKS, DevOps), OCI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Containers &amp; IaC: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Kubernetes (EKS/AKS), Docker, Helm, Istio, KEDA, Terraform (50+ modules), Ansible, CloudFormation, ArgoCD, FluxCD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CI/CD &amp; DevOps: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GitHub Actions, Azure DevOps, Jenkins, GitLab CI, GitOps, blue-green/canary deployments, Pipeline-as-Code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Programming: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Python, Go, Bash, Java, SQL | Linux (RHEL/Ubuntu), kernel tuning, systemd, JVM optimization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Observability: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Prometheus, Grafana, Datadog, ELK Stack, OpenTelemetry, Splunk, SLI/SLO, chaos engineering, AIOps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19"/>
                <w:szCs w:val="19"/>
              </w:rPr>
              <w:t xml:space="preserve">DevSecOps:</w:t>
            </w:r>
          </w:p>
        </w:tc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19"/>
                <w:szCs w:val="19"/>
              </w:rPr>
              <w:t xml:space="preserve">HashiCorp Vault, Trivy, Clair, Anchore, Falco, OPA, Kube-bench, SonarQube, Sigstore | SOC2, HIPAA, FedRAMP</w:t>
            </w:r>
          </w:p>
        </w:tc>
      </w:tr>
    </w:tbl>
    <w:p>
      <w:pPr>
        <w:pStyle w:val="SectionHeader"/>
      </w:pPr>
      <w:r>
        <w:t xml:space="preserve">Professional Experience</w:t>
      </w:r>
    </w:p>
    <w:p>
      <w:pPr>
        <w:pStyle w:val="JobTitle"/>
      </w:pPr>
      <w:r>
        <w:t xml:space="preserve">Distinguished Cloud AI Architect / Director of Platform Engineering</w:t>
      </w:r>
    </w:p>
    <w:p>
      <w:pPr>
        <w:pStyle w:val="CompanyLine"/>
      </w:pPr>
      <w:r>
        <w:t xml:space="preserve">Trackonomy Systems | San Jose, CA | October 2023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Built Infrastructure Engineering team (0→6 members) serving enterprise clients across Pharma, Airlines, Government, Healthcare, and IoT sectors in 8 countries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Reduced cloud costs 73% ($10M→$2.7M/year) through optimization, fair-share scheduling, and reserved instance planning—delivering $8M+ annual savings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Built CI/CD infrastructure for 100+ applications using ArgoCD, FluxCD, Azure DevOps, and GitHub Actions enabling 50+ daily zero-downtime deployments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Redesigned multi-cloud architecture (AWS, Azure, OCI) reducing Azure resources 87% (8.7K→1.1K); migrated VMs to AKS/EKS with GitOps workflows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Led SOC2 Type II, ISO 27001, HIPAA, FedRAMP, HITRUST compliance initiatives; implemented DevSecOps achieving zero critical audit findings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Implemented AIOps for predictive monitoring and automated root cause analysis reducing incidents 65% and MTTR 60%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Unified 5 monitoring platforms into Datadog; built observability stack with Prometheus, Grafana, and OpenTelemetry</w:t>
      </w:r>
    </w:p>
    <w:p>
      <w:pPr>
        <w:pStyle w:val="JobTitle"/>
      </w:pPr>
      <w:r>
        <w:t xml:space="preserve">Cloud and SRE Architect – OSDU Data Platform (AWS)</w:t>
      </w:r>
    </w:p>
    <w:p>
      <w:pPr>
        <w:pStyle w:val="CompanyLine"/>
      </w:pPr>
      <w:r>
        <w:t xml:space="preserve">Wipro Technologies (BP, Chevron, ExxonMobil, Total) | Seattle, WA | February 2022 – October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Architected OSDU R3 data platform processing exabytes of seismic data on GPU-accelerated EKS with Spark, Kafka, and Hadoop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Created 50+ Terraform modules (VPC, EKS, RDS, S3, SageMaker); implemented GitOps with ArgoCD/FluxCD reducing deployment time 80%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Built CI/CD pipelines with Jenkins and GitHub Actions; containerized applications with Docker; managed secrets with HashiCorp Vault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Implemented container security with Trivy, Clair, Anchore, and Falco; enforced policies with OPA; ran Kube-bench for CIS benchmarks</w:t>
      </w:r>
    </w:p>
    <w:p>
      <w:pPr>
        <w:pStyle w:val="JobTitle"/>
      </w:pPr>
      <w:r>
        <w:t xml:space="preserve">Cloud and SRE Architect – OSDU Data Platform (Azure)</w:t>
      </w:r>
    </w:p>
    <w:p>
      <w:pPr>
        <w:pStyle w:val="CompanyLine"/>
      </w:pPr>
      <w:r>
        <w:t xml:space="preserve">Wipro Technologies | Redmond, WA | February 2020 – February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Deployed 15+ microservices on AKS with Istio service mesh (mTLS, distributed tracing); achieved 99.9% availability via FluxCD GitOps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Built Azure DevOps and Jenkins pipelines with Terraform/Bicep IaC; automated with Ansible; improved deployment speed 80%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Implemented DevSecOps: OWASP ZAP for DAST, Gitleaks for secret detection, DefectDojo for vulnerability management, Sigstore for artifact signing</w:t>
      </w:r>
    </w:p>
    <w:p>
      <w:pPr>
        <w:pStyle w:val="JobTitle"/>
      </w:pPr>
      <w:r>
        <w:t xml:space="preserve">Multi-Cloud Architect / Senior Infrastructure Engineer</w:t>
      </w:r>
    </w:p>
    <w:p>
      <w:pPr>
        <w:pStyle w:val="CompanyLine"/>
      </w:pPr>
      <w:r>
        <w:t xml:space="preserve">Tata Consultancy Services (Harvard Pilgrim, CNA Insurance, PwC) | Multiple Locations | May 2007 – February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Led HIPAA/HITRUST cloud modernization to AWS with GPU-enabled EKS; built CI/CD with Jenkins; IaC with Terraform and Ansible; managed $6M budget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Managed Kubernetes and Docker deployments; led migrations to AWS, Azure, OpenStack; pioneered container adoption across enterprise clients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5 years Linux/Unix administration with WebSphere/WebLogic; kernel tuning, JVM optimization, HA clustering; managed 24x7 L3 operations</w:t>
      </w:r>
    </w:p>
    <w:p>
      <w:pPr>
        <w:pStyle w:val="SectionHeader"/>
      </w:pPr>
      <w:r>
        <w:t xml:space="preserve">Key Achievements</w:t>
      </w:r>
    </w:p>
    <w:p>
      <w:pPr>
        <w:spacing w:after="40"/>
      </w:pPr>
      <w:r>
        <w:rPr>
          <w:b/>
          <w:bCs/>
          <w:sz w:val="19"/>
          <w:szCs w:val="19"/>
        </w:rPr>
        <w:t xml:space="preserve">Scale: </w:t>
      </w:r>
      <w:r>
        <w:rPr>
          <w:sz w:val="19"/>
          <w:szCs w:val="19"/>
        </w:rPr>
        <w:t xml:space="preserve">10M+ users served | Petabyte-scale data | 200+ microservices | 15+ AWS regions | 50+ daily releases</w:t>
      </w:r>
    </w:p>
    <w:p>
      <w:pPr>
        <w:spacing w:after="40"/>
      </w:pPr>
      <w:r>
        <w:rPr>
          <w:b/>
          <w:bCs/>
          <w:sz w:val="19"/>
          <w:szCs w:val="19"/>
        </w:rPr>
        <w:t xml:space="preserve">Cost &amp; Reliability: </w:t>
      </w:r>
      <w:r>
        <w:rPr>
          <w:sz w:val="19"/>
          <w:szCs w:val="19"/>
        </w:rPr>
        <w:t xml:space="preserve">$8M+ annual savings | 73% cost reduction | 99.97% uptime | 80% faster deployments | 60% MTTR improvement</w:t>
      </w:r>
    </w:p>
    <w:p>
      <w:pPr>
        <w:pStyle w:val="SectionHeader"/>
      </w:pPr>
      <w:r>
        <w:t xml:space="preserve">Certifications</w:t>
      </w:r>
    </w:p>
    <w:p>
      <w:pPr>
        <w:spacing w:after="40"/>
      </w:pPr>
      <w:r>
        <w:rPr>
          <w:sz w:val="19"/>
          <w:szCs w:val="19"/>
        </w:rPr>
        <w:t xml:space="preserve">AWS Solutions Architect Professional | AWS Machine Learning Specialty | Azure Solutions Architect Expert | Certified Kubernetes Administrator (CKA) | HashiCorp Terraform Associate | Databricks Certified | TOGAF 9 Foundation</w:t>
      </w:r>
    </w:p>
    <w:p>
      <w:pPr>
        <w:pStyle w:val="SectionHeader"/>
      </w:pPr>
      <w:r>
        <w:t xml:space="preserve">Education</w:t>
      </w:r>
    </w:p>
    <w:p>
      <w:pPr>
        <w:spacing w:after="40"/>
      </w:pPr>
      <w:r>
        <w:rPr>
          <w:b/>
          <w:bCs/>
          <w:sz w:val="19"/>
          <w:szCs w:val="19"/>
        </w:rPr>
        <w:t xml:space="preserve">Bachelor of Engineering, Mechanical Engineering</w:t>
      </w:r>
      <w:r>
        <w:rPr>
          <w:sz w:val="19"/>
          <w:szCs w:val="19"/>
        </w:rPr>
        <w:t xml:space="preserve"> – Acharya Nagarjuna University, 2005</w:t>
      </w:r>
    </w:p>
    <w:sectPr>
      <w:pgSz w:w="12240" w:h="15840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Arial" w:cs="Arial" w:eastAsia="Arial" w:hAnsi="Arial"/>
      <w:b/>
      <w:bCs/>
      <w:color w:val="1a1a1a"/>
      <w:sz w:val="44"/>
      <w:szCs w:val="44"/>
    </w:rPr>
  </w:style>
  <w:style w:type="paragraph" w:styleId="ContactInfo">
    <w:name w:val="Contact Info"/>
    <w:basedOn w:val="Normal"/>
    <w:pPr>
      <w:spacing w:after="180"/>
    </w:pPr>
    <w:rPr>
      <w:rFonts w:ascii="Arial" w:cs="Arial" w:eastAsia="Arial" w:hAnsi="Arial"/>
      <w:sz w:val="20"/>
      <w:szCs w:val="20"/>
    </w:rPr>
  </w:style>
  <w:style w:type="paragraph" w:styleId="SectionHeader">
    <w:name w:val="Section Header"/>
    <w:basedOn w:val="Normal"/>
    <w:pPr>
      <w:pBdr>
        <w:bottom w:val="single" w:color="333333" w:sz="6"/>
      </w:pBdr>
      <w:spacing w:before="200" w:after="100"/>
    </w:pPr>
    <w:rPr>
      <w:rFonts w:ascii="Arial" w:cs="Arial" w:eastAsia="Arial" w:hAnsi="Arial"/>
      <w:b/>
      <w:bCs/>
      <w:caps/>
      <w:color w:val="1a1a1a"/>
      <w:sz w:val="22"/>
      <w:szCs w:val="22"/>
    </w:rPr>
  </w:style>
  <w:style w:type="paragraph" w:styleId="JobTitle">
    <w:name w:val="Job Title"/>
    <w:basedOn w:val="Normal"/>
    <w:pPr>
      <w:spacing w:before="140" w:after="20"/>
    </w:pPr>
    <w:rPr>
      <w:rFonts w:ascii="Arial" w:cs="Arial" w:eastAsia="Arial" w:hAnsi="Arial"/>
      <w:b/>
      <w:bCs/>
      <w:sz w:val="21"/>
      <w:szCs w:val="21"/>
    </w:rPr>
  </w:style>
  <w:style w:type="paragraph" w:styleId="CompanyLine">
    <w:name w:val="Company Line"/>
    <w:basedOn w:val="Normal"/>
    <w:pPr>
      <w:spacing w:after="60"/>
    </w:pPr>
    <w:rPr>
      <w:rFonts w:ascii="Arial" w:cs="Arial" w:eastAsia="Arial" w:hAnsi="Arial"/>
      <w:color w:val="44444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2026-01-07T21:09:07.781Z</dcterms:created>
  <dcterms:modified xsi:type="dcterms:W3CDTF">2026-01-07T21:09:07.782Z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