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Build 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file reflects the current route structure generated from the repo.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Primary Navigation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`/start-here/`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`/safety-risk/`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`/neurodevelopment-learning/`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`/quizzes/`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`/all-resources/`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Public Content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`/start-here/`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`/all-resources/`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Safety &amp;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`/safety-risk/`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`/safety-risk/safety-assessment/`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`/safety-risk/safety-planning/`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Acute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`/acute-presentations/agitation/`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`/acute-presentations/delirium/`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`/acute-presentations/catatonia/`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`/acute-presentations/altered-mental-status/`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`/acute-presentations/insomnia/`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`/acute-presentations/autoimmune-encephalitis/`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`/acute-presentations/ingestion-toxidromes/`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Diagnostic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`/core-diagnostic-topics/depression/`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`/core-diagnostic-topics/anxiety/`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`/core-diagnostic-topics/bipolar-disorder/`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`/core-diagnostic-topics/psychosis/`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`/core-diagnostic-topics/adhd/`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`/core-diagnostic-topics/ptsd/`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`/core-diagnostic-topics/personality-disorder/`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`/core-diagnostic-topics/eating-disorders/`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Neurodevelopmental &amp;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`/neurodevelopment-learning/`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`/neurodevelopment-learning/developmental-disorders/`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`/neurodevelopment-learning/autism/`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`/neurodevelopment-learning/learning-disorders/`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Clinical Pearls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`/clinical-pearls/ssris/`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`/clinical-pearls/antipsychotics/`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`/clinical-pearls/sleep-treatment/`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`/clinical-pearls/four-pillars/`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`/clinical-pearls/diagnosis-framework/`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Quizzes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`/quizzes/`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`/quizzes/start-of-rotation/`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`/quizzes/end-of-rotation/`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Resource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`/resources/safety-assessment-summary/`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`/resources/agitation-management-slides/`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`/resources/ssri-handout/`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`/resources/autism-consult-pdf/`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`/resources/diagnosis-framework-link/`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Design / Preview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`/design-lab/`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`/theme-previews/`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`/theme-previews/theme-1/`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`/theme-previews/theme-2/`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`/theme-previews/theme-3/`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Generated Utility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`/search-index.json`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