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632545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High power d</w:t>
      </w:r>
      <w:bookmarkStart w:id="0" w:name="_GoBack"/>
      <w:bookmarkEnd w:id="0"/>
      <w:r w:rsidR="00DF492D">
        <w:rPr>
          <w:rFonts w:ascii="Times New Roman" w:hAnsi="Times New Roman" w:cs="Times New Roman"/>
          <w:b/>
          <w:noProof/>
          <w:sz w:val="36"/>
          <w:szCs w:val="36"/>
        </w:rPr>
        <w:t>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02729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02729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r w:rsidR="00BD1838">
        <w:rPr>
          <w:rFonts w:ascii="Times New Roman" w:hAnsi="Times New Roman" w:cs="Times New Roman"/>
          <w:sz w:val="24"/>
          <w:szCs w:val="24"/>
        </w:rPr>
        <w:t>cw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>808 f</w:t>
      </w:r>
      <w:r w:rsidR="000D1224" w:rsidRPr="00D1544E">
        <w:rPr>
          <w:rFonts w:ascii="Times New Roman" w:hAnsi="Times New Roman"/>
          <w:sz w:val="24"/>
        </w:rPr>
        <w:t>s</w:t>
      </w:r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</w:t>
      </w:r>
      <w:r w:rsidR="0009506E" w:rsidRPr="00DA2290">
        <w:rPr>
          <w:rFonts w:ascii="Times New Roman" w:hAnsi="Times New Roman"/>
          <w:sz w:val="24"/>
        </w:rPr>
        <w:lastRenderedPageBreak/>
        <w:t>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5C148C">
        <w:rPr>
          <w:rFonts w:ascii="Times New Roman" w:hAnsi="Times New Roman" w:hint="eastAsia"/>
          <w:sz w:val="24"/>
        </w:rPr>
        <w:t>LD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</w:t>
      </w:r>
      <w:r w:rsidRPr="00B96915">
        <w:rPr>
          <w:rFonts w:ascii="Times New Roman" w:hAnsi="Times New Roman" w:cs="Times New Roman"/>
          <w:sz w:val="24"/>
          <w:szCs w:val="24"/>
        </w:rPr>
        <w:lastRenderedPageBreak/>
        <w:t xml:space="preserve">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f</w:t>
      </w:r>
      <w:r w:rsidR="00D1544E" w:rsidRPr="00D1544E">
        <w:rPr>
          <w:rFonts w:ascii="Times New Roman" w:hAnsi="Times New Roman"/>
          <w:sz w:val="24"/>
        </w:rPr>
        <w:t>s</w:t>
      </w:r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 xml:space="preserve">Tektronix MSO </w:t>
      </w:r>
      <w:r w:rsidRPr="008A62C0">
        <w:rPr>
          <w:rFonts w:ascii="Times New Roman" w:hAnsi="Times New Roman"/>
          <w:sz w:val="24"/>
        </w:rPr>
        <w:lastRenderedPageBreak/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</w:t>
      </w:r>
      <w:r w:rsidR="001C10F5">
        <w:rPr>
          <w:rFonts w:ascii="Times New Roman" w:hAnsi="Times New Roman"/>
          <w:sz w:val="24"/>
        </w:rPr>
        <w:lastRenderedPageBreak/>
        <w:t>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027298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838574" cy="2651602"/>
            <wp:effectExtent l="0" t="0" r="0" b="0"/>
            <wp:docPr id="2" name="图片 1" descr="F:\Saiyu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iyu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4" cy="265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rf spectrum analyzer </w:t>
      </w:r>
      <w:r w:rsidRPr="002739AE">
        <w:rPr>
          <w:rFonts w:ascii="Times New Roman" w:hAnsi="Times New Roman"/>
          <w:sz w:val="24"/>
        </w:rPr>
        <w:lastRenderedPageBreak/>
        <w:t>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multiplets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fs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lastRenderedPageBreak/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cw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>than 0.68 W average output power operating in the cw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 xml:space="preserve">cavity </w:t>
      </w:r>
      <w:r w:rsidR="00F74A40">
        <w:rPr>
          <w:rFonts w:ascii="Times New Roman" w:hAnsi="Times New Roman"/>
          <w:sz w:val="24"/>
        </w:rPr>
        <w:lastRenderedPageBreak/>
        <w:t>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>808 f</w:t>
      </w:r>
      <w:r w:rsidR="007F7741" w:rsidRPr="00D1544E">
        <w:rPr>
          <w:rFonts w:ascii="Times New Roman" w:hAnsi="Times New Roman"/>
          <w:sz w:val="24"/>
        </w:rPr>
        <w:t>s</w:t>
      </w:r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027298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</w:t>
      </w:r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>Opt. Lett.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>pumped by InGaN-diode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 w:rsidSect="004D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99" w:rsidRDefault="00AE1399" w:rsidP="00AB4FCB">
      <w:r>
        <w:separator/>
      </w:r>
    </w:p>
  </w:endnote>
  <w:endnote w:type="continuationSeparator" w:id="0">
    <w:p w:rsidR="00AE1399" w:rsidRDefault="00AE1399" w:rsidP="00AB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99" w:rsidRDefault="00AE1399" w:rsidP="00AB4FCB">
      <w:r>
        <w:separator/>
      </w:r>
    </w:p>
  </w:footnote>
  <w:footnote w:type="continuationSeparator" w:id="0">
    <w:p w:rsidR="00AE1399" w:rsidRDefault="00AE1399" w:rsidP="00AB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27298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38D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33F9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0AE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D02B2"/>
    <w:rsid w:val="004D0634"/>
    <w:rsid w:val="004D0819"/>
    <w:rsid w:val="004D5EF7"/>
    <w:rsid w:val="004D68B8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E60"/>
    <w:rsid w:val="005763F3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148C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176D0"/>
    <w:rsid w:val="0062124D"/>
    <w:rsid w:val="0062258C"/>
    <w:rsid w:val="00622EC4"/>
    <w:rsid w:val="006316C5"/>
    <w:rsid w:val="0063254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1399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3441C"/>
    <w:rsid w:val="00B37AE2"/>
    <w:rsid w:val="00B40162"/>
    <w:rsid w:val="00B405EA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3914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06E15"/>
    <w:rsid w:val="00D10350"/>
    <w:rsid w:val="00D121C8"/>
    <w:rsid w:val="00D12641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B61B2"/>
    <w:rsid w:val="00FC088D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46E0E"/>
  <w15:docId w15:val="{A96A985B-3C81-43A4-A881-5B05D79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F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FC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2729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27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2720</Words>
  <Characters>15508</Characters>
  <Application>Microsoft Office Word</Application>
  <DocSecurity>0</DocSecurity>
  <Lines>129</Lines>
  <Paragraphs>36</Paragraphs>
  <ScaleCrop>false</ScaleCrop>
  <Company>XMU</Company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769</cp:revision>
  <dcterms:created xsi:type="dcterms:W3CDTF">2017-01-03T01:23:00Z</dcterms:created>
  <dcterms:modified xsi:type="dcterms:W3CDTF">2017-01-19T06:17:00Z</dcterms:modified>
</cp:coreProperties>
</file>