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</w:t>
      </w:r>
      <w:r w:rsidR="008C4523" w:rsidRPr="00DA2290">
        <w:rPr>
          <w:rFonts w:ascii="Times New Roman" w:hAnsi="Times New Roman"/>
          <w:sz w:val="24"/>
        </w:rPr>
        <w:lastRenderedPageBreak/>
        <w:t>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 to make the cavity longer. Both IM1 and IM2 had high transmission </w:t>
      </w:r>
      <w:r w:rsidR="00B66337">
        <w:rPr>
          <w:rFonts w:ascii="Times New Roman" w:hAnsi="Times New Roman"/>
          <w:sz w:val="24"/>
        </w:rPr>
        <w:t xml:space="preserve">(&gt;95%) </w:t>
      </w:r>
      <w:r w:rsidR="00B66337">
        <w:rPr>
          <w:rFonts w:ascii="Times New Roman" w:hAnsi="Times New Roman"/>
          <w:sz w:val="24"/>
        </w:rPr>
        <w:t xml:space="preserve">at ~444 nm </w:t>
      </w:r>
      <w:r w:rsidR="00B66337">
        <w:rPr>
          <w:rFonts w:ascii="Times New Roman" w:hAnsi="Times New Roman"/>
          <w:sz w:val="24"/>
        </w:rPr>
        <w:t>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between HR3 and OC was ~300 mm. </w:t>
      </w:r>
      <w:r w:rsidR="0062258C">
        <w:rPr>
          <w:rFonts w:ascii="Times New Roman" w:hAnsi="Times New Roman"/>
          <w:sz w:val="24"/>
        </w:rPr>
        <w:t>So the total cavity length was ~1.8 m</w:t>
      </w:r>
      <w:r w:rsidR="00634CE1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>-locked Pr:YLF red laser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9F5C44" w:rsidRPr="0062258C" w:rsidRDefault="00424F4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(&gt;9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9F5C44" w:rsidRDefault="009F5C44" w:rsidP="00DA2290">
      <w:pPr>
        <w:spacing w:line="360" w:lineRule="auto"/>
        <w:rPr>
          <w:rFonts w:ascii="Times New Roman" w:hAnsi="Times New Roman"/>
          <w:sz w:val="24"/>
        </w:rPr>
      </w:pPr>
    </w:p>
    <w:p w:rsidR="00633CB7" w:rsidRDefault="00633CB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5F0D1D" w:rsidRDefault="005F0D1D" w:rsidP="005F0D1D">
      <w:pPr>
        <w:spacing w:line="360" w:lineRule="auto"/>
        <w:rPr>
          <w:rFonts w:ascii="Times New Roman" w:hAnsi="Times New Roman"/>
          <w:sz w:val="24"/>
        </w:rPr>
      </w:pPr>
      <w:r w:rsidRPr="002739AE">
        <w:rPr>
          <w:rFonts w:ascii="Times New Roman" w:hAnsi="Times New Roman"/>
          <w:sz w:val="24"/>
        </w:rPr>
        <w:t>The corresponding power spectrum is measured by an rf spectrum analyzer (</w:t>
      </w:r>
      <w:r>
        <w:rPr>
          <w:rFonts w:ascii="Times New Roman" w:hAnsi="Times New Roman"/>
          <w:sz w:val="24"/>
        </w:rPr>
        <w:t>GωINSTEK</w:t>
      </w:r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 xml:space="preserve">) with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</w:p>
    <w:p w:rsidR="005F0D1D" w:rsidRPr="005F0D1D" w:rsidRDefault="005F0D1D" w:rsidP="00DA2290">
      <w:pPr>
        <w:spacing w:line="36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633CB7" w:rsidRDefault="00633CB7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402A91" w:rsidRDefault="00402A91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By using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OC with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 radius of curvature of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300 mm and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of </w:t>
      </w:r>
      <w:r w:rsidRPr="00CF7F2B">
        <w:rPr>
          <w:rFonts w:ascii="Times New Roman" w:eastAsia="宋体" w:hAnsi="Times New Roman" w:cs="Times New Roman"/>
          <w:kern w:val="0"/>
          <w:sz w:val="24"/>
          <w:szCs w:val="24"/>
        </w:rPr>
        <w:t>1.9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% at 523 nm,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~0.68 W self-mode-locked green laser was achieved.</w:t>
      </w:r>
    </w:p>
    <w:p w:rsidR="00402A91" w:rsidRDefault="00402A91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repetition rate of ~500 MHz was also obtained with a cavity length of ~0.3 m by using a V-type cavity and OC with radius of curvature of 300 mm.</w:t>
      </w:r>
    </w:p>
    <w:p w:rsidR="009D4B39" w:rsidRDefault="009D4B39" w:rsidP="00DA2290">
      <w:pPr>
        <w:spacing w:line="360" w:lineRule="auto"/>
        <w:rPr>
          <w:rFonts w:ascii="Times New Roman" w:hAnsi="Times New Roman"/>
          <w:sz w:val="24"/>
        </w:rPr>
      </w:pPr>
    </w:p>
    <w:p w:rsidR="009D4B39" w:rsidRDefault="009D4B39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cavity length of ~0.3 m was also used to generate 522 nm self-mode-locked laser with a repetition rate of approximately 500MHz.</w:t>
      </w:r>
    </w:p>
    <w:p w:rsidR="00741CFC" w:rsidRDefault="00741CFC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3312D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>
        <w:rPr>
          <w:rFonts w:ascii="Times New Roman" w:hAnsi="Times New Roman"/>
          <w:sz w:val="24"/>
        </w:rPr>
        <w:t>,</w:t>
      </w:r>
      <w:r w:rsidR="000F7183">
        <w:rPr>
          <w:rFonts w:ascii="Times New Roman" w:hAnsi="Times New Roman"/>
          <w:sz w:val="24"/>
        </w:rPr>
        <w:t xml:space="preserve"> </w:t>
      </w:r>
      <w:r w:rsidR="006D55A8">
        <w:rPr>
          <w:rFonts w:ascii="Times New Roman" w:hAnsi="Times New Roman"/>
          <w:sz w:val="24"/>
        </w:rPr>
        <w:t xml:space="preserve">OC with a transmission of </w:t>
      </w:r>
      <w:r w:rsidR="004C2E60">
        <w:rPr>
          <w:rFonts w:ascii="Times New Roman" w:hAnsi="Times New Roman"/>
          <w:sz w:val="24"/>
        </w:rPr>
        <w:t>3.5</w:t>
      </w:r>
      <w:r w:rsidR="006D55A8">
        <w:rPr>
          <w:rFonts w:ascii="Times New Roman" w:hAnsi="Times New Roman"/>
          <w:sz w:val="24"/>
        </w:rPr>
        <w:t>% at 639 nm was used.</w:t>
      </w:r>
      <w:r w:rsidR="000A12C2">
        <w:rPr>
          <w:rFonts w:ascii="Times New Roman" w:hAnsi="Times New Roman"/>
          <w:sz w:val="24"/>
        </w:rPr>
        <w:t xml:space="preserve"> </w:t>
      </w:r>
      <w:r w:rsidR="009044CA">
        <w:rPr>
          <w:rFonts w:ascii="Times New Roman" w:hAnsi="Times New Roman"/>
          <w:sz w:val="24"/>
        </w:rPr>
        <w:t>By</w:t>
      </w:r>
      <w:r w:rsidR="009044CA" w:rsidRPr="00A16879">
        <w:rPr>
          <w:rFonts w:ascii="Times New Roman" w:hAnsi="Times New Roman"/>
          <w:sz w:val="24"/>
        </w:rPr>
        <w:t xml:space="preserve"> finely</w:t>
      </w:r>
      <w:r w:rsidR="009044CA">
        <w:rPr>
          <w:rFonts w:ascii="Times New Roman" w:hAnsi="Times New Roman"/>
          <w:sz w:val="24"/>
        </w:rPr>
        <w:t xml:space="preserve"> tuning</w:t>
      </w:r>
      <w:r w:rsidR="009044CA" w:rsidRPr="00A16879">
        <w:rPr>
          <w:rFonts w:ascii="Times New Roman" w:hAnsi="Times New Roman"/>
          <w:sz w:val="24"/>
        </w:rPr>
        <w:t xml:space="preserve"> the cavity, the laser output display</w:t>
      </w:r>
      <w:r w:rsidR="009044CA">
        <w:rPr>
          <w:rFonts w:ascii="Times New Roman" w:hAnsi="Times New Roman"/>
          <w:sz w:val="24"/>
        </w:rPr>
        <w:t>ed</w:t>
      </w:r>
      <w:r w:rsidR="009044CA" w:rsidRPr="00A16879">
        <w:rPr>
          <w:rFonts w:ascii="Times New Roman" w:hAnsi="Times New Roman"/>
          <w:sz w:val="24"/>
        </w:rPr>
        <w:t xml:space="preserve"> a stable self-mode-locking operation</w:t>
      </w:r>
      <w:r w:rsidR="0073312D">
        <w:rPr>
          <w:rFonts w:ascii="Times New Roman" w:hAnsi="Times New Roman"/>
          <w:sz w:val="24"/>
        </w:rPr>
        <w:t xml:space="preserve">, </w:t>
      </w:r>
    </w:p>
    <w:p w:rsidR="0073312D" w:rsidRDefault="0073312D" w:rsidP="00D363B6">
      <w:pPr>
        <w:spacing w:line="360" w:lineRule="auto"/>
        <w:rPr>
          <w:rFonts w:ascii="Times New Roman" w:hAnsi="Times New Roman"/>
          <w:sz w:val="24"/>
        </w:rPr>
      </w:pPr>
    </w:p>
    <w:p w:rsidR="007A4A93" w:rsidRDefault="00650F6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self-mode-locked lasing performance was shown by the red dots and line depicted in Figure 2.</w:t>
      </w:r>
    </w:p>
    <w:p w:rsidR="007A4A93" w:rsidRDefault="007A4A93" w:rsidP="00D363B6">
      <w:pPr>
        <w:spacing w:line="360" w:lineRule="auto"/>
        <w:rPr>
          <w:rFonts w:ascii="Times New Roman" w:hAnsi="Times New Roman"/>
          <w:sz w:val="24"/>
        </w:rPr>
      </w:pP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lastRenderedPageBreak/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 the locking process. Bai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CC58D6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651476" cy="2700640"/>
            <wp:effectExtent l="0" t="0" r="0" b="5080"/>
            <wp:docPr id="2" name="图片 2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50" cy="270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result, the total cavity length was ~1.8 m, which coincides well with the repetition rate measured to be ~85 MHz shown in Figure 5(c).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other with</w:t>
      </w:r>
      <w:r w:rsidR="001F51EF">
        <w:rPr>
          <w:rFonts w:ascii="Times New Roman" w:hAnsi="Times New Roman"/>
          <w:sz w:val="24"/>
        </w:rPr>
        <w:t xml:space="preserve"> time span of 5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81660" cy="2549866"/>
            <wp:effectExtent l="0" t="0" r="0" b="317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11" cy="25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cw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dBm.</w:t>
      </w:r>
    </w:p>
    <w:p w:rsidR="002D6027" w:rsidRPr="00FA1E65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Reference</w:t>
      </w:r>
    </w:p>
    <w:p w:rsidR="002D6027" w:rsidRPr="00DA2290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sectPr w:rsidR="002D6027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5592"/>
    <w:rsid w:val="000162C3"/>
    <w:rsid w:val="00020093"/>
    <w:rsid w:val="00021904"/>
    <w:rsid w:val="0002667E"/>
    <w:rsid w:val="000355C2"/>
    <w:rsid w:val="00051ED7"/>
    <w:rsid w:val="000554D0"/>
    <w:rsid w:val="00070171"/>
    <w:rsid w:val="000845DB"/>
    <w:rsid w:val="00086E33"/>
    <w:rsid w:val="0009506E"/>
    <w:rsid w:val="000A12C2"/>
    <w:rsid w:val="000D3A9D"/>
    <w:rsid w:val="000E141D"/>
    <w:rsid w:val="000E39DE"/>
    <w:rsid w:val="000F7183"/>
    <w:rsid w:val="000F747C"/>
    <w:rsid w:val="000F7D97"/>
    <w:rsid w:val="0010065F"/>
    <w:rsid w:val="001412FB"/>
    <w:rsid w:val="00143348"/>
    <w:rsid w:val="00147274"/>
    <w:rsid w:val="00181B9C"/>
    <w:rsid w:val="001865A6"/>
    <w:rsid w:val="001A1DFA"/>
    <w:rsid w:val="001A2B1E"/>
    <w:rsid w:val="001A4FFA"/>
    <w:rsid w:val="001B3183"/>
    <w:rsid w:val="001B7F38"/>
    <w:rsid w:val="001C5DC8"/>
    <w:rsid w:val="001D77F5"/>
    <w:rsid w:val="001F51EF"/>
    <w:rsid w:val="001F7D6B"/>
    <w:rsid w:val="00203A37"/>
    <w:rsid w:val="0021003D"/>
    <w:rsid w:val="00217150"/>
    <w:rsid w:val="00217D66"/>
    <w:rsid w:val="00252ACD"/>
    <w:rsid w:val="002577B0"/>
    <w:rsid w:val="002739AE"/>
    <w:rsid w:val="00281214"/>
    <w:rsid w:val="00283239"/>
    <w:rsid w:val="002865D4"/>
    <w:rsid w:val="00287CA2"/>
    <w:rsid w:val="002A04B4"/>
    <w:rsid w:val="002A0A26"/>
    <w:rsid w:val="002A4DA9"/>
    <w:rsid w:val="002A760E"/>
    <w:rsid w:val="002D6027"/>
    <w:rsid w:val="002E2116"/>
    <w:rsid w:val="002F165A"/>
    <w:rsid w:val="002F7750"/>
    <w:rsid w:val="003264FF"/>
    <w:rsid w:val="0035040E"/>
    <w:rsid w:val="00350A8E"/>
    <w:rsid w:val="003560ED"/>
    <w:rsid w:val="0036616E"/>
    <w:rsid w:val="003738EB"/>
    <w:rsid w:val="0038297A"/>
    <w:rsid w:val="00385CFC"/>
    <w:rsid w:val="00393EA5"/>
    <w:rsid w:val="003A12B0"/>
    <w:rsid w:val="003C1544"/>
    <w:rsid w:val="003D7F4A"/>
    <w:rsid w:val="00402A91"/>
    <w:rsid w:val="00410834"/>
    <w:rsid w:val="00412E91"/>
    <w:rsid w:val="00424F45"/>
    <w:rsid w:val="00426649"/>
    <w:rsid w:val="00434A60"/>
    <w:rsid w:val="0044269E"/>
    <w:rsid w:val="00453D78"/>
    <w:rsid w:val="00464A21"/>
    <w:rsid w:val="004800C0"/>
    <w:rsid w:val="0049310E"/>
    <w:rsid w:val="004A3777"/>
    <w:rsid w:val="004B3B0B"/>
    <w:rsid w:val="004C2E60"/>
    <w:rsid w:val="004D0819"/>
    <w:rsid w:val="004D5EF7"/>
    <w:rsid w:val="004E0BB2"/>
    <w:rsid w:val="004E440D"/>
    <w:rsid w:val="00512E0C"/>
    <w:rsid w:val="00522086"/>
    <w:rsid w:val="00522BD1"/>
    <w:rsid w:val="00532222"/>
    <w:rsid w:val="00567037"/>
    <w:rsid w:val="00577DCF"/>
    <w:rsid w:val="00586B6D"/>
    <w:rsid w:val="005A6A64"/>
    <w:rsid w:val="005A6EA0"/>
    <w:rsid w:val="005A77A6"/>
    <w:rsid w:val="005F0D1D"/>
    <w:rsid w:val="006124F8"/>
    <w:rsid w:val="0062258C"/>
    <w:rsid w:val="006326E5"/>
    <w:rsid w:val="00633CB7"/>
    <w:rsid w:val="00634CE1"/>
    <w:rsid w:val="00650F6C"/>
    <w:rsid w:val="00656462"/>
    <w:rsid w:val="006800EE"/>
    <w:rsid w:val="00683A48"/>
    <w:rsid w:val="00687923"/>
    <w:rsid w:val="00687DE5"/>
    <w:rsid w:val="00692CF6"/>
    <w:rsid w:val="006B44C3"/>
    <w:rsid w:val="006B4FC5"/>
    <w:rsid w:val="006D49AC"/>
    <w:rsid w:val="006D55A8"/>
    <w:rsid w:val="006E37CC"/>
    <w:rsid w:val="006F17A0"/>
    <w:rsid w:val="006F25E5"/>
    <w:rsid w:val="006F4151"/>
    <w:rsid w:val="00702AAF"/>
    <w:rsid w:val="007062AA"/>
    <w:rsid w:val="007241C6"/>
    <w:rsid w:val="007311F6"/>
    <w:rsid w:val="0073312D"/>
    <w:rsid w:val="00740B7E"/>
    <w:rsid w:val="00741CFC"/>
    <w:rsid w:val="007812B9"/>
    <w:rsid w:val="007928E0"/>
    <w:rsid w:val="007A4A93"/>
    <w:rsid w:val="007E0867"/>
    <w:rsid w:val="007E5DB0"/>
    <w:rsid w:val="007F0B49"/>
    <w:rsid w:val="00807568"/>
    <w:rsid w:val="0081356E"/>
    <w:rsid w:val="00817FF3"/>
    <w:rsid w:val="008221DB"/>
    <w:rsid w:val="00835150"/>
    <w:rsid w:val="0083546F"/>
    <w:rsid w:val="00835AB6"/>
    <w:rsid w:val="00843A56"/>
    <w:rsid w:val="00844981"/>
    <w:rsid w:val="00854A4A"/>
    <w:rsid w:val="00866C02"/>
    <w:rsid w:val="0087234D"/>
    <w:rsid w:val="008A62C0"/>
    <w:rsid w:val="008A7359"/>
    <w:rsid w:val="008B1D30"/>
    <w:rsid w:val="008C4523"/>
    <w:rsid w:val="008C5D05"/>
    <w:rsid w:val="008E67D3"/>
    <w:rsid w:val="008F0928"/>
    <w:rsid w:val="00900DE4"/>
    <w:rsid w:val="009044CA"/>
    <w:rsid w:val="00935E04"/>
    <w:rsid w:val="00947D67"/>
    <w:rsid w:val="009721A8"/>
    <w:rsid w:val="00995A67"/>
    <w:rsid w:val="00996E28"/>
    <w:rsid w:val="009D4B39"/>
    <w:rsid w:val="009E323B"/>
    <w:rsid w:val="009E799B"/>
    <w:rsid w:val="009F1FBA"/>
    <w:rsid w:val="009F5C44"/>
    <w:rsid w:val="00A0385D"/>
    <w:rsid w:val="00A038C6"/>
    <w:rsid w:val="00A154E9"/>
    <w:rsid w:val="00A16879"/>
    <w:rsid w:val="00A16A6F"/>
    <w:rsid w:val="00A20443"/>
    <w:rsid w:val="00A34190"/>
    <w:rsid w:val="00A557D8"/>
    <w:rsid w:val="00A55F3C"/>
    <w:rsid w:val="00A63C4D"/>
    <w:rsid w:val="00A64354"/>
    <w:rsid w:val="00A82C33"/>
    <w:rsid w:val="00AA52D1"/>
    <w:rsid w:val="00AB2105"/>
    <w:rsid w:val="00AE12C8"/>
    <w:rsid w:val="00B06281"/>
    <w:rsid w:val="00B15289"/>
    <w:rsid w:val="00B37AE2"/>
    <w:rsid w:val="00B405EA"/>
    <w:rsid w:val="00B45C3F"/>
    <w:rsid w:val="00B66337"/>
    <w:rsid w:val="00B670D3"/>
    <w:rsid w:val="00B7106A"/>
    <w:rsid w:val="00B7183F"/>
    <w:rsid w:val="00B832E6"/>
    <w:rsid w:val="00B85BF5"/>
    <w:rsid w:val="00B934EE"/>
    <w:rsid w:val="00BC04BF"/>
    <w:rsid w:val="00BC29C8"/>
    <w:rsid w:val="00BE79F9"/>
    <w:rsid w:val="00C109B6"/>
    <w:rsid w:val="00C16BBC"/>
    <w:rsid w:val="00C20346"/>
    <w:rsid w:val="00C237CF"/>
    <w:rsid w:val="00C3291C"/>
    <w:rsid w:val="00C42521"/>
    <w:rsid w:val="00C51A77"/>
    <w:rsid w:val="00C71C7E"/>
    <w:rsid w:val="00C76CA2"/>
    <w:rsid w:val="00CA0D35"/>
    <w:rsid w:val="00CB3172"/>
    <w:rsid w:val="00CB6D93"/>
    <w:rsid w:val="00CB72B1"/>
    <w:rsid w:val="00CC58D6"/>
    <w:rsid w:val="00CE3CC3"/>
    <w:rsid w:val="00CE48EE"/>
    <w:rsid w:val="00D10350"/>
    <w:rsid w:val="00D12641"/>
    <w:rsid w:val="00D33F92"/>
    <w:rsid w:val="00D35B94"/>
    <w:rsid w:val="00D363B6"/>
    <w:rsid w:val="00D3674C"/>
    <w:rsid w:val="00D420EE"/>
    <w:rsid w:val="00D51EA3"/>
    <w:rsid w:val="00D714C8"/>
    <w:rsid w:val="00D91296"/>
    <w:rsid w:val="00DA2290"/>
    <w:rsid w:val="00DA4FF2"/>
    <w:rsid w:val="00DA5FCD"/>
    <w:rsid w:val="00DA6765"/>
    <w:rsid w:val="00DB34CB"/>
    <w:rsid w:val="00DE530C"/>
    <w:rsid w:val="00DF492D"/>
    <w:rsid w:val="00E43079"/>
    <w:rsid w:val="00E50D0F"/>
    <w:rsid w:val="00E80F61"/>
    <w:rsid w:val="00E93379"/>
    <w:rsid w:val="00E94F16"/>
    <w:rsid w:val="00E94F4B"/>
    <w:rsid w:val="00EB458E"/>
    <w:rsid w:val="00EC0DBB"/>
    <w:rsid w:val="00ED3F50"/>
    <w:rsid w:val="00EF017D"/>
    <w:rsid w:val="00EF1F5F"/>
    <w:rsid w:val="00EF38A8"/>
    <w:rsid w:val="00F03D31"/>
    <w:rsid w:val="00F230CD"/>
    <w:rsid w:val="00F33B2C"/>
    <w:rsid w:val="00F40A9D"/>
    <w:rsid w:val="00F40DD0"/>
    <w:rsid w:val="00F66C52"/>
    <w:rsid w:val="00FA1D70"/>
    <w:rsid w:val="00FA1E65"/>
    <w:rsid w:val="00FC4DBC"/>
    <w:rsid w:val="00FC5B9A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1006</Words>
  <Characters>5739</Characters>
  <Application>Microsoft Office Word</Application>
  <DocSecurity>0</DocSecurity>
  <Lines>47</Lines>
  <Paragraphs>13</Paragraphs>
  <ScaleCrop>false</ScaleCrop>
  <Company>XMU</Company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233</cp:revision>
  <dcterms:created xsi:type="dcterms:W3CDTF">2017-01-03T01:23:00Z</dcterms:created>
  <dcterms:modified xsi:type="dcterms:W3CDTF">2017-01-09T03:10:00Z</dcterms:modified>
</cp:coreProperties>
</file>