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Tables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Table 1. Papers with data included in this study.</w:t>
      </w:r>
      <w:r/>
    </w:p>
    <w:p>
      <w:pPr>
        <w:pStyle w:val="Normal"/>
      </w:pPr>
      <w:r>
        <w:rPr/>
      </w:r>
      <w:r/>
    </w:p>
    <w:tbl>
      <w:tblPr>
        <w:tblStyle w:val="TableGrid"/>
        <w:tblW w:w="10189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456"/>
        <w:gridCol w:w="954"/>
        <w:gridCol w:w="1224"/>
        <w:gridCol w:w="974"/>
        <w:gridCol w:w="874"/>
        <w:gridCol w:w="795"/>
        <w:gridCol w:w="860"/>
        <w:gridCol w:w="730"/>
        <w:gridCol w:w="800"/>
        <w:gridCol w:w="802"/>
        <w:gridCol w:w="904"/>
      </w:tblGrid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Paper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Year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Journal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Location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Measurements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Fire Intensity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State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Type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Fuel Type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Years Since Treatment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Latitude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Longitude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Collins et al 2007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2007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Blodgett Forest Research Station, California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California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Conifer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38.88629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-120.648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Dodson et al 2007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2007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Restoration Ecology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Lubrecht Experimental Forest, Montana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Montana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Pine/Douglas Fir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3.5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46.8916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-113.434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Dodson 2004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2004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Dissertation at University of Montana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Lubrecht Experimental Forest, Montana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Montana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2.5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46.8916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-113.434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Fornwalt et al 2010 (RL)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2010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Biological Invasions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Pike National Forest, Colorado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Colorado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Pine/Douglas Fir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39.1833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-105.317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Fornwalt et al 2010 (UH)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2010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Biological Invasions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Pike National Forest, Colorado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High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Colorado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Pine/Douglas Fir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39.1833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-105.317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Fornwalt et al 2010 (UL)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2010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Biological Invasions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Pike National Forest, Colorado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Colorado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Pine/Douglas Fir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39.1833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-105.317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Fornwalt et al 2010 (UM)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2010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Biological Invasions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Pike National Forest, Colorado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Colorado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Pine/Douglas Fir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39.1833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-105.317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Fornwalt et al 2014 (R)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2014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Journal of Vegetation Science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Pike National Forest, Colorado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Colorado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Pine/Douglas Fir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39.1833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-105.317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Fornwalt et al 2014 (U)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2014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Journal of Vegetation Science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Pike National Forest, Colorado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Colorado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Pine/Douglas Fir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39.1833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-105.317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FulÃ© et al 2005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2005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and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Kaibab National Forest, Arizona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Arizona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Pine-Oak Forest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35.2432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-112.19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Huffman et al 2013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2013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and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Kaibab NF, Arizona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Arizona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Pinyon Juniper Woodlands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35.2432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-112.19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Kane et al 2010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2010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Applied Vegetation Science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Challenge Experimental Forest, California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California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39.29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-121.13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Kerns et al 2006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2006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Ecoscience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Malheur NF, Oregon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Oregon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44.10444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-118.656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Knapp et al 2006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2006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Canadian Journal of Forest Research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Sequoia National Park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California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Conifer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36.43345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-118.685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Laughlin et al 2008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2008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Plant Ecology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Coconino National Forest, Arizona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NA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Arizona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34.9249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-111.736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Mason et al 2009 (BA)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2009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Lincoln National Forest, New Mexico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NA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New Mexico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Conifer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32.88638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-105.688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Mason et al 2009 (CO)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2009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Lincoln National Forest, New Mexico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NA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New Mexico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Conifer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32.88638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-105.688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Mason et al 2009 (SL)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2009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Lincoln National Forest, New Mexico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NA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New Mexico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Conifer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32.88638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-105.688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Metlen and Fiedler 2006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2006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Lubrecht Experimental Forest, Montana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Montana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Pine/Douglas Fir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46.8916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-113.434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Nelson et al 2008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2008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Ecological Applications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Colville, Okanogan, Wenatchee National Forests, Washington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Washington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48.67507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-119.855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O'Connor et al 2013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2013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Environmental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High Desert Ecological Province, Oregon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NA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Oregon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Pinyon Juniper Woodlands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43.75361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-118.918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Phillips and Hutchinson 2007 (OH)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2007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USDA Forest Service Proceedings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Central Appalachian Plateau in Ohio and Southern Appalachian Mountains in North Carolina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Ohio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Oak Forests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38.94118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-82.2546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Phillips and Hutchinson 2007 (SA)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2007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USDA Forest Service Proceedings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Central Appalachian Plateau in Ohio and Southern Appalachian Mountains in North Carolina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Ohio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Oak Forests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39.1773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-82.9795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Phillips and Waldrop 2007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2008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Clemson Experimental Forest, South Carolina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South Carolina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Pinus taeda/Pinus echinata forests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35.0276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-82.4194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Provencher and Thompson 2014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2014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Rangeland Ecology and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Smith Valley, Utah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NA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Nevada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Pinyon Juniper Woodlands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39.26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-114.575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Scudieri and Sieg 2010 (CH)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2010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Fort Valley EF and Long Valley EF in Coconino NF, Arizona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Arizona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34.9249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-111.736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Scudieri and Sieg 2010 (LI)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2010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Fort Valley EF and Long Valley EF in Coconino NF, Arizona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Arizona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34.9249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-111.736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Waldrop et al 2010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2010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science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Southern Appalachian Mountain, North Carolina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North Carolina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Oak Forests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35.29536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-83.9795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Waldrop et al 2008 (GR)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2008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Green River Site, North Carolina and Ohio Hills, Ohio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North Carolina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Oak Forests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35.28333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-82.2833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Waldrop et al 2008 (OH)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2008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Green River Site, North Carolina and Ohio Hills, Ohio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Ohio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Oak Forests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39.2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-82.3833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Weekley et al 2013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2013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Southern Appalachian Botanical Society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Lake Wales Ridge State Forest, Florida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Florida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Longleaf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27.67972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-81.4361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Wienk et al 2004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2004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Badger Game Production Area, South Dakota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South Dakota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44.44485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-103.903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Wolk and Rocca 2009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2009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Heil Valley Ranch, Colorado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Cover, Species Richness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NA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Colorado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40.14941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-105.3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Youngblood et al 2006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2006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Blue Mountains, Oregon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Low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Oregon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Pine/Douglas Fir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45.72738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-117.273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Zald et al 2008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2008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Forest Ecology &amp; Management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Teakettle Experimental Forest, California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Medium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California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Mixed Conifer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litter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1.5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36.96667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-119.017</w:t>
            </w:r>
            <w:r/>
          </w:p>
        </w:tc>
      </w:tr>
      <w:tr>
        <w:trPr>
          <w:trHeight w:val="285" w:hRule="atLeast"/>
        </w:trPr>
        <w:tc>
          <w:tcPr>
            <w:tcW w:w="8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Zhang et al 2008</w:t>
            </w:r>
            <w:r/>
          </w:p>
        </w:tc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2008</w:t>
            </w:r>
            <w:r/>
          </w:p>
        </w:tc>
        <w:tc>
          <w:tcPr>
            <w:tcW w:w="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Canadian Journal of Forestry</w:t>
            </w:r>
            <w:r/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Blacks Mountain Experimental Forest, California</w:t>
            </w:r>
            <w:r/>
          </w:p>
        </w:tc>
        <w:tc>
          <w:tcPr>
            <w:tcW w:w="9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Percent Cover</w:t>
            </w:r>
            <w:r/>
          </w:p>
        </w:tc>
        <w:tc>
          <w:tcPr>
            <w:tcW w:w="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NA</w:t>
            </w:r>
            <w:r/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California</w:t>
            </w:r>
            <w:r/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Ponderosa Pine</w:t>
            </w:r>
            <w:r/>
          </w:p>
        </w:tc>
        <w:tc>
          <w:tcPr>
            <w:tcW w:w="7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grass</w:t>
            </w:r>
            <w:r/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  <w:r/>
          </w:p>
        </w:tc>
        <w:tc>
          <w:tcPr>
            <w:tcW w:w="8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40.73027</w:t>
            </w:r>
            <w:r/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2"/>
                <w:sz w:val="12"/>
                <w:szCs w:val="12"/>
              </w:rPr>
            </w:pPr>
            <w:r>
              <w:rPr>
                <w:sz w:val="12"/>
                <w:szCs w:val="12"/>
              </w:rPr>
              <w:t>-121.15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/>
      </w:pPr>
      <w:r>
        <w:rPr/>
        <w:t>Table 2. Contrast coefficient estimates (b), z-values (z) and adjusted p-values (p) for treatment contrasts.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Style w:val="TableGrid"/>
        <w:tblW w:w="10800" w:type="dxa"/>
        <w:jc w:val="center"/>
        <w:tblInd w:w="0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>
          <w:trHeight w:val="368" w:hRule="atLeast"/>
        </w:trPr>
        <w:tc>
          <w:tcPr>
            <w:tcW w:w="1080" w:type="dxa"/>
            <w:tcBorders>
              <w:top w:val="nil"/>
              <w:left w:val="nil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fldChar w:fldCharType="begin"/>
            </w:r>
            <w:r>
              <w:instrText>LINK Excel.Sheet.12 "C:\\Users\\Josh\\Documents\\Schwilk\\Contrast Coefficient estimates.xlsx" "Sheet1!R1C1:R6C10" \a \f 5 \h  \* MERGEFORMAT</w:instrText>
            </w:r>
            <w:r>
              <w:fldChar w:fldCharType="separate"/>
            </w:r>
            <w:bookmarkStart w:id="0" w:name="__Fieldmark__1503_1746558236"/>
            <w:r>
              <w:rPr/>
            </w:r>
            <w:r>
              <w:rPr/>
            </w:r>
            <w:r>
              <w:fldChar w:fldCharType="end"/>
            </w:r>
            <w:bookmarkEnd w:id="0"/>
            <w:r>
              <w:rPr>
                <w:sz w:val="16"/>
                <w:szCs w:val="16"/>
              </w:rPr>
              <w:t>Response</w:t>
            </w:r>
            <w:r/>
          </w:p>
        </w:tc>
        <w:tc>
          <w:tcPr>
            <w:tcW w:w="3240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  <w:vAlign w:val="center"/>
          </w:tcPr>
          <w:p>
            <w:pPr>
              <w:pStyle w:val="Normal"/>
            </w:pPr>
            <w:r>
              <w:rPr>
                <w:sz w:val="16"/>
                <w:szCs w:val="16"/>
              </w:rPr>
              <w:t>Burn vs Control</w:t>
            </w:r>
            <w:r/>
          </w:p>
        </w:tc>
        <w:tc>
          <w:tcPr>
            <w:tcW w:w="3240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  <w:vAlign w:val="center"/>
          </w:tcPr>
          <w:p>
            <w:pPr>
              <w:pStyle w:val="Normal"/>
            </w:pPr>
            <w:r>
              <w:rPr>
                <w:sz w:val="16"/>
                <w:szCs w:val="16"/>
              </w:rPr>
              <w:t>Burn vs Thin</w:t>
            </w:r>
            <w:r/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  <w:vAlign w:val="center"/>
          </w:tcPr>
          <w:p>
            <w:pPr>
              <w:pStyle w:val="Normal"/>
            </w:pPr>
            <w:r>
              <w:rPr>
                <w:sz w:val="16"/>
                <w:szCs w:val="16"/>
              </w:rPr>
              <w:t>Thin vs Control</w:t>
            </w:r>
            <w:r/>
          </w:p>
        </w:tc>
      </w:tr>
      <w:tr>
        <w:trPr>
          <w:trHeight w:val="36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08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b</w:t>
            </w:r>
            <w:r/>
          </w:p>
        </w:tc>
        <w:tc>
          <w:tcPr>
            <w:tcW w:w="108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z</w:t>
            </w:r>
            <w:r/>
          </w:p>
        </w:tc>
        <w:tc>
          <w:tcPr>
            <w:tcW w:w="108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</w:t>
            </w:r>
            <w:r/>
          </w:p>
        </w:tc>
        <w:tc>
          <w:tcPr>
            <w:tcW w:w="108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b</w:t>
            </w:r>
            <w:r/>
          </w:p>
        </w:tc>
        <w:tc>
          <w:tcPr>
            <w:tcW w:w="108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z</w:t>
            </w:r>
            <w:r/>
          </w:p>
        </w:tc>
        <w:tc>
          <w:tcPr>
            <w:tcW w:w="108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</w:t>
            </w:r>
            <w:r/>
          </w:p>
        </w:tc>
        <w:tc>
          <w:tcPr>
            <w:tcW w:w="108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b</w:t>
            </w:r>
            <w:r/>
          </w:p>
        </w:tc>
        <w:tc>
          <w:tcPr>
            <w:tcW w:w="108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z</w:t>
            </w:r>
            <w:r/>
          </w:p>
        </w:tc>
        <w:tc>
          <w:tcPr>
            <w:tcW w:w="107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</w:t>
            </w:r>
            <w:r/>
          </w:p>
        </w:tc>
      </w:tr>
      <w:tr>
        <w:trPr>
          <w:trHeight w:val="36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exotic-richness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0.646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2.61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0.0626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-0.449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-1.71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0.434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0.912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3.97</w:t>
            </w:r>
            <w:r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0.000543</w:t>
            </w:r>
            <w:r/>
          </w:p>
        </w:tc>
      </w:tr>
      <w:tr>
        <w:trPr>
          <w:trHeight w:val="36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herb-cover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0.237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0.784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0.845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-0.374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-0.972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0.845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1.32</w:t>
            </w:r>
            <w:r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0.787</w:t>
            </w:r>
            <w:r/>
          </w:p>
        </w:tc>
      </w:tr>
      <w:tr>
        <w:trPr>
          <w:trHeight w:val="36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s-cover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-0.914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-1.98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0.31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-1.3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-1.36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0.787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0.473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  <w:r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0.845</w:t>
            </w:r>
            <w:r/>
          </w:p>
        </w:tc>
      </w:tr>
      <w:tr>
        <w:trPr>
          <w:trHeight w:val="36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total-cover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-0.223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-1.19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0.817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-1.87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-1.94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0.31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0.551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1.97</w:t>
            </w:r>
            <w:r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0.31</w:t>
            </w:r>
            <w:r/>
          </w:p>
        </w:tc>
      </w:tr>
      <w:tr>
        <w:trPr>
          <w:trHeight w:val="36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total-richness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0.0521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0.207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0.845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-0.154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-0.237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0.845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0.284</w:t>
            </w: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0.961</w:t>
            </w:r>
            <w:r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sz w:val="16"/>
                <w:szCs w:val="16"/>
              </w:rPr>
              <w:t>0.845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</w:pPr>
      <w:r>
        <w:rPr/>
      </w:r>
      <w:r/>
    </w:p>
    <w:p>
      <w:pPr>
        <w:pStyle w:val="Normal"/>
        <w:rPr/>
      </w:pPr>
      <w:r>
        <w:rPr/>
        <w:t>Figure Captions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Figure 1: Geographic distribution of data sources. Each triangle represents a study site.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Figure 2: Thinning treatments caused an increase in exotic species richness compared with control treatments (p=0.0005).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Figure 3: Burning treatments caused a decrease in shrub cover when compared with control treatments (p=0.0344).</w:t>
      </w:r>
      <w:r/>
    </w:p>
    <w:p>
      <w:pPr>
        <w:pStyle w:val="Normal"/>
        <w:rPr/>
      </w:pPr>
      <w:r>
        <w:rPr/>
      </w:r>
      <w:r>
        <w:br w:type="page"/>
      </w:r>
      <w:r/>
    </w:p>
    <w:p>
      <w:pPr>
        <w:pStyle w:val="Normal"/>
        <w:rPr/>
      </w:pPr>
      <w:r>
        <w:rPr/>
        <w:t>Figure 1. Geographic distribution of data sources. Each triangle represents a study site.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6324600" cy="40386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Figure 2. Thinning treatments caused an increase in exotic species richness compared with control treatments (p=0.0005).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6324600" cy="48672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Figure 3. Burning treatments caused a decrease in shrub cover when compared with control treatments (p=0.0344).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6324600" cy="481901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81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latentStyles w:defUnhideWhenUsed="1" w:defSemiHidden="1" w:defQFormat="0" w:defUIPriority="99" w:count="267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Andale Sans UI" w:cs="Tahoma"/>
      <w:color w:val="auto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20b1d"/>
    <w:rPr>
      <w:rFonts w:ascii="Tahoma" w:hAnsi="Tahoma"/>
      <w:sz w:val="16"/>
      <w:szCs w:val="16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b1d"/>
    <w:pPr/>
    <w:rPr>
      <w:rFonts w:ascii="Tahoma" w:hAnsi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b1d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LibreOffice/4.3.7.2$Linux_X86_64 LibreOffice_project/430m0$Build-2</Application>
  <Paragraphs>520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language>en-US</dc:language>
  <cp:lastModifiedBy>Dylan Schwilk</cp:lastModifiedBy>
  <dcterms:modified xsi:type="dcterms:W3CDTF">2015-08-05T12:11:55Z</dcterms:modified>
  <cp:revision>8</cp:revision>
</cp:coreProperties>
</file>