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D8542" w14:textId="77777777" w:rsidR="00AE4203" w:rsidRDefault="00AE4203" w:rsidP="001E6889">
      <w:pPr>
        <w:pStyle w:val="Title"/>
        <w:spacing w:before="0" w:after="0" w:line="480" w:lineRule="auto"/>
        <w:rPr>
          <w:color w:val="000000" w:themeColor="text1"/>
          <w:sz w:val="24"/>
          <w:szCs w:val="24"/>
        </w:rPr>
      </w:pPr>
    </w:p>
    <w:p w14:paraId="629875B8" w14:textId="77777777" w:rsidR="00AE4203" w:rsidRDefault="00AE4203" w:rsidP="00AE4203">
      <w:pPr>
        <w:pStyle w:val="BodyText"/>
      </w:pPr>
    </w:p>
    <w:p w14:paraId="3E0F8BEF" w14:textId="77777777" w:rsidR="00AE4203" w:rsidRDefault="00AE4203" w:rsidP="00AE4203">
      <w:pPr>
        <w:pStyle w:val="BodyText"/>
      </w:pPr>
    </w:p>
    <w:p w14:paraId="1CB27E24" w14:textId="77777777" w:rsidR="00AE4203" w:rsidRDefault="00AE4203" w:rsidP="00AE4203">
      <w:pPr>
        <w:pStyle w:val="BodyText"/>
        <w:jc w:val="center"/>
      </w:pPr>
    </w:p>
    <w:p w14:paraId="7A6FDE64" w14:textId="27F49020" w:rsidR="00AE4203" w:rsidRDefault="00AE4203" w:rsidP="00AE4203">
      <w:pPr>
        <w:pStyle w:val="BodyText"/>
        <w:jc w:val="center"/>
        <w:rPr>
          <w:b/>
          <w:bCs/>
        </w:rPr>
      </w:pPr>
      <w:r>
        <w:rPr>
          <w:b/>
          <w:bCs/>
        </w:rPr>
        <w:t>Hip Hypermobility Analysis Final Report</w:t>
      </w:r>
    </w:p>
    <w:p w14:paraId="6C4C488C" w14:textId="77777777" w:rsidR="00AE4203" w:rsidRDefault="00AE4203" w:rsidP="00AE4203">
      <w:pPr>
        <w:pStyle w:val="BodyText"/>
        <w:jc w:val="center"/>
        <w:rPr>
          <w:b/>
          <w:bCs/>
        </w:rPr>
      </w:pPr>
    </w:p>
    <w:p w14:paraId="0FFE4DDC" w14:textId="1B7C8796" w:rsidR="00AE4203" w:rsidRDefault="00AE4203" w:rsidP="00AE4203">
      <w:pPr>
        <w:pStyle w:val="BodyText"/>
        <w:jc w:val="center"/>
      </w:pPr>
      <w:r>
        <w:t>Ellen Taylor and Will Schneider</w:t>
      </w:r>
    </w:p>
    <w:p w14:paraId="72917E6E" w14:textId="12658662" w:rsidR="00AE4203" w:rsidRDefault="00AE4203" w:rsidP="00AE4203">
      <w:pPr>
        <w:pStyle w:val="BodyText"/>
        <w:jc w:val="center"/>
      </w:pPr>
      <w:r>
        <w:t>Southern Methodist University</w:t>
      </w:r>
    </w:p>
    <w:p w14:paraId="6E7CC3BA" w14:textId="3CC9DDBE" w:rsidR="00AE4203" w:rsidRPr="00AE4203" w:rsidRDefault="00AE4203" w:rsidP="00AE4203">
      <w:pPr>
        <w:pStyle w:val="BodyText"/>
        <w:jc w:val="center"/>
      </w:pPr>
      <w:r>
        <w:t>December 1</w:t>
      </w:r>
      <w:r w:rsidR="001B7228">
        <w:t>8</w:t>
      </w:r>
      <w:r>
        <w:t>, 2024</w:t>
      </w:r>
    </w:p>
    <w:p w14:paraId="7DD1100A" w14:textId="77777777" w:rsidR="00AE4203" w:rsidRDefault="00AE4203" w:rsidP="00AE4203">
      <w:pPr>
        <w:jc w:val="both"/>
        <w:rPr>
          <w:rFonts w:asciiTheme="majorHAnsi" w:eastAsiaTheme="majorEastAsia" w:hAnsiTheme="majorHAnsi" w:cstheme="majorBidi"/>
          <w:b/>
          <w:bCs/>
          <w:color w:val="000000" w:themeColor="text1"/>
        </w:rPr>
      </w:pPr>
      <w:r>
        <w:rPr>
          <w:color w:val="000000" w:themeColor="text1"/>
        </w:rPr>
        <w:br w:type="page"/>
      </w:r>
    </w:p>
    <w:p w14:paraId="05420F39" w14:textId="59FDEF45" w:rsidR="005546F0" w:rsidRPr="001E6889" w:rsidRDefault="007705ED" w:rsidP="001E6889">
      <w:pPr>
        <w:pStyle w:val="Title"/>
        <w:spacing w:before="0" w:after="0" w:line="480" w:lineRule="auto"/>
        <w:rPr>
          <w:color w:val="000000" w:themeColor="text1"/>
          <w:sz w:val="24"/>
          <w:szCs w:val="24"/>
        </w:rPr>
      </w:pPr>
      <w:r w:rsidRPr="001E6889">
        <w:rPr>
          <w:color w:val="000000" w:themeColor="text1"/>
          <w:sz w:val="24"/>
          <w:szCs w:val="24"/>
        </w:rPr>
        <w:lastRenderedPageBreak/>
        <w:t>Hip Hypermobility Analysis Final Report</w:t>
      </w:r>
    </w:p>
    <w:p w14:paraId="524EA68B" w14:textId="77777777" w:rsidR="005546F0" w:rsidRPr="001E6889" w:rsidRDefault="007705ED" w:rsidP="001E6889">
      <w:pPr>
        <w:pStyle w:val="Heading1"/>
        <w:spacing w:before="0" w:line="480" w:lineRule="auto"/>
        <w:jc w:val="center"/>
        <w:rPr>
          <w:color w:val="000000" w:themeColor="text1"/>
          <w:sz w:val="24"/>
          <w:szCs w:val="24"/>
        </w:rPr>
      </w:pPr>
      <w:bookmarkStart w:id="0" w:name="executive-summary"/>
      <w:r w:rsidRPr="001E6889">
        <w:rPr>
          <w:color w:val="000000" w:themeColor="text1"/>
          <w:sz w:val="24"/>
          <w:szCs w:val="24"/>
        </w:rPr>
        <w:t>Executive Summary</w:t>
      </w:r>
    </w:p>
    <w:p w14:paraId="006FA14E" w14:textId="231F9548" w:rsidR="005546F0" w:rsidRPr="001E6889" w:rsidRDefault="7EADD69A" w:rsidP="001E6889">
      <w:pPr>
        <w:pStyle w:val="FirstParagraph"/>
        <w:spacing w:before="0" w:after="0" w:line="480" w:lineRule="auto"/>
        <w:ind w:firstLine="720"/>
        <w:rPr>
          <w:color w:val="000000" w:themeColor="text1"/>
        </w:rPr>
      </w:pPr>
      <w:bookmarkStart w:id="1" w:name="background-and-introduction"/>
      <w:r w:rsidRPr="7EADD69A">
        <w:rPr>
          <w:color w:val="000000" w:themeColor="text1"/>
        </w:rPr>
        <w:t xml:space="preserve">Joint hypermobility refers to the excessive movement of joints beyond the typical range observed in the general population. </w:t>
      </w:r>
      <w:r w:rsidR="007705ED" w:rsidRPr="001E6889">
        <w:rPr>
          <w:color w:val="000000" w:themeColor="text1"/>
        </w:rPr>
        <w:t>Previous research in hypermobility suggests hypermobility may be associated with greater incidence of injury which may in turn be associated with elevated psychosocial outcomes. While prior literature has made the connection between hypermobility and injury-risk, as well as the connection between physical injury and psychosocial symptoms, no research has investigated the interplay between hypermobility and psychosocial outcomes directly. This study focuses on examining the association between hypermobility (measured by Beighton Score), and various psychosocial measures, including pain catastrophizing, pain interference, and pain self-efficacy.</w:t>
      </w:r>
    </w:p>
    <w:p w14:paraId="740568AB" w14:textId="77777777" w:rsidR="005546F0" w:rsidRPr="001E6889" w:rsidRDefault="007705ED" w:rsidP="001E6889">
      <w:pPr>
        <w:pStyle w:val="FirstParagraph"/>
        <w:spacing w:before="0" w:after="0" w:line="480" w:lineRule="auto"/>
        <w:ind w:firstLine="720"/>
        <w:rPr>
          <w:color w:val="000000" w:themeColor="text1"/>
        </w:rPr>
      </w:pPr>
      <w:bookmarkStart w:id="2" w:name="methodology"/>
      <w:bookmarkEnd w:id="1"/>
      <w:r w:rsidRPr="001E6889">
        <w:rPr>
          <w:color w:val="000000" w:themeColor="text1"/>
        </w:rPr>
        <w:t>Data were gathered prospectively from a Baylor Scott and White hip clinic from 445 patients. The data were primarily analyzed using a multiple linear regression (MLR) with Beighton Score as the outcome variable of interest. An MLR was conducted on both complete cases and using multiple-imputation approaches to harness the full spectrum of available data. A post-hoc analysis utilizing a logistic regression was also performed on imputed data where Beighton Score was dichotomized with &lt;4 indicating no hypermobility and &gt;=4 indicating hypermobility. The logistic regression was included since prior research often dichotomized Beighton Score when conducting regression analyses.</w:t>
      </w:r>
    </w:p>
    <w:p w14:paraId="6318BC30" w14:textId="17EC155C" w:rsidR="005546F0" w:rsidRPr="001E6889" w:rsidRDefault="007705ED" w:rsidP="001E6889">
      <w:pPr>
        <w:pStyle w:val="FirstParagraph"/>
        <w:spacing w:before="0" w:after="0" w:line="480" w:lineRule="auto"/>
        <w:ind w:firstLine="720"/>
        <w:rPr>
          <w:color w:val="000000" w:themeColor="text1"/>
        </w:rPr>
      </w:pPr>
      <w:bookmarkStart w:id="3" w:name="results"/>
      <w:bookmarkEnd w:id="2"/>
      <w:r w:rsidRPr="001E6889">
        <w:rPr>
          <w:color w:val="000000" w:themeColor="text1"/>
        </w:rPr>
        <w:t xml:space="preserve">Contrary to initial expectations, the psychosocial variables </w:t>
      </w:r>
      <w:r w:rsidR="0039228C">
        <w:rPr>
          <w:color w:val="000000" w:themeColor="text1"/>
        </w:rPr>
        <w:t xml:space="preserve">in this data set </w:t>
      </w:r>
      <w:r w:rsidRPr="001E6889">
        <w:rPr>
          <w:color w:val="000000" w:themeColor="text1"/>
        </w:rPr>
        <w:t xml:space="preserve">exhibit minimal influence on hypermobility in the MLR. Instead, the MLR identifies age and gender as the primary predictors, with younger females demonstrating higher hypermobility </w:t>
      </w:r>
      <w:r w:rsidRPr="001E6889">
        <w:rPr>
          <w:color w:val="000000" w:themeColor="text1"/>
        </w:rPr>
        <w:lastRenderedPageBreak/>
        <w:t>scores. These results hold robustly across the complete cases MLR, the MLR with multiple imputation, and the logistic regression.</w:t>
      </w:r>
    </w:p>
    <w:p w14:paraId="44B9BC9B" w14:textId="48E27FE0" w:rsidR="005546F0" w:rsidRPr="001E6889" w:rsidRDefault="007705ED" w:rsidP="001E6889">
      <w:pPr>
        <w:pStyle w:val="FirstParagraph"/>
        <w:spacing w:before="0" w:after="0" w:line="480" w:lineRule="auto"/>
        <w:ind w:firstLine="720"/>
        <w:rPr>
          <w:color w:val="000000" w:themeColor="text1"/>
        </w:rPr>
      </w:pPr>
      <w:bookmarkStart w:id="4" w:name="conclusion"/>
      <w:bookmarkEnd w:id="3"/>
      <w:r w:rsidRPr="001E6889">
        <w:rPr>
          <w:color w:val="000000" w:themeColor="text1"/>
        </w:rPr>
        <w:t xml:space="preserve">This investigation, </w:t>
      </w:r>
      <w:r w:rsidR="7EADD69A" w:rsidRPr="7EADD69A">
        <w:rPr>
          <w:color w:val="000000" w:themeColor="text1"/>
        </w:rPr>
        <w:t xml:space="preserve">while </w:t>
      </w:r>
      <w:r w:rsidRPr="001E6889">
        <w:rPr>
          <w:color w:val="000000" w:themeColor="text1"/>
        </w:rPr>
        <w:t xml:space="preserve">finding no evidence of </w:t>
      </w:r>
      <w:r w:rsidR="7EADD69A" w:rsidRPr="7EADD69A">
        <w:rPr>
          <w:color w:val="000000" w:themeColor="text1"/>
        </w:rPr>
        <w:t xml:space="preserve">an </w:t>
      </w:r>
      <w:r w:rsidRPr="001E6889">
        <w:rPr>
          <w:color w:val="000000" w:themeColor="text1"/>
        </w:rPr>
        <w:t xml:space="preserve">association between hypermobility and psychosocial outcomes, </w:t>
      </w:r>
      <w:r w:rsidR="7EADD69A" w:rsidRPr="7EADD69A">
        <w:rPr>
          <w:color w:val="000000" w:themeColor="text1"/>
        </w:rPr>
        <w:t>must be interpreted with caution. The data were limited by substantial missingness and may not be representative</w:t>
      </w:r>
      <w:r w:rsidRPr="001E6889">
        <w:rPr>
          <w:color w:val="000000" w:themeColor="text1"/>
        </w:rPr>
        <w:t xml:space="preserve"> of </w:t>
      </w:r>
      <w:r w:rsidR="7EADD69A" w:rsidRPr="7EADD69A">
        <w:rPr>
          <w:color w:val="000000" w:themeColor="text1"/>
        </w:rPr>
        <w:t xml:space="preserve">the broader population, indicating that the absence of evidence in this analysis should not be taken as definitive proof that no true association exists. </w:t>
      </w:r>
      <w:r w:rsidRPr="001E6889">
        <w:rPr>
          <w:color w:val="000000" w:themeColor="text1"/>
        </w:rPr>
        <w:t xml:space="preserve"> Similar future research might inform more holistic diagnostic and treatment strategies that integrate both physical and psychological dimensions of patient care. Since this research uses data gathered from a single hip clinic, this population limits how broadly medical professionals can apply these findings. Future research ought to conduct surveys of a broader population who have not already reported to a clinic to more fully investigate psychosocial symptoms in hypermobile patients prior to any incidence of injury.</w:t>
      </w:r>
    </w:p>
    <w:p w14:paraId="3F099524" w14:textId="77777777" w:rsidR="00EC3EB8" w:rsidRDefault="00EC3EB8" w:rsidP="00EC3EB8">
      <w:pPr>
        <w:pStyle w:val="BodyText"/>
        <w:spacing w:before="0" w:after="0" w:line="480" w:lineRule="auto"/>
        <w:rPr>
          <w:b/>
          <w:bCs/>
          <w:color w:val="000000" w:themeColor="text1"/>
        </w:rPr>
      </w:pPr>
    </w:p>
    <w:p w14:paraId="24855CC7" w14:textId="7C03F637" w:rsidR="005546F0" w:rsidRPr="001E6889" w:rsidRDefault="007705ED" w:rsidP="001E6889">
      <w:pPr>
        <w:pStyle w:val="BodyText"/>
        <w:spacing w:before="0" w:after="0" w:line="480" w:lineRule="auto"/>
        <w:rPr>
          <w:color w:val="000000" w:themeColor="text1"/>
        </w:rPr>
      </w:pPr>
      <w:r w:rsidRPr="001E6889">
        <w:rPr>
          <w:b/>
          <w:bCs/>
          <w:color w:val="000000" w:themeColor="text1"/>
        </w:rPr>
        <w:t>Keywords:</w:t>
      </w:r>
      <w:r w:rsidRPr="001E6889">
        <w:rPr>
          <w:color w:val="000000" w:themeColor="text1"/>
        </w:rPr>
        <w:t xml:space="preserve"> Beighton Score, Hypermobility, Hip Dysplasia, Pain Catastrophizing, Pain Interference Pain Self-Efficacy</w:t>
      </w:r>
    </w:p>
    <w:p w14:paraId="2B45094C" w14:textId="77777777" w:rsidR="005546F0" w:rsidRPr="001E6889" w:rsidRDefault="007705ED" w:rsidP="001E6889">
      <w:pPr>
        <w:spacing w:after="0" w:line="480" w:lineRule="auto"/>
        <w:rPr>
          <w:color w:val="000000" w:themeColor="text1"/>
        </w:rPr>
      </w:pPr>
      <w:r w:rsidRPr="001E6889">
        <w:rPr>
          <w:color w:val="000000" w:themeColor="text1"/>
        </w:rPr>
        <w:br w:type="page"/>
      </w:r>
    </w:p>
    <w:p w14:paraId="65AA64E4" w14:textId="77777777" w:rsidR="00EC3EB8" w:rsidRPr="00AB24F8" w:rsidRDefault="00EC3EB8" w:rsidP="00EC3EB8">
      <w:pPr>
        <w:pStyle w:val="Title"/>
        <w:spacing w:before="0" w:after="0" w:line="480" w:lineRule="auto"/>
        <w:rPr>
          <w:color w:val="000000" w:themeColor="text1"/>
          <w:sz w:val="24"/>
          <w:szCs w:val="24"/>
        </w:rPr>
      </w:pPr>
      <w:bookmarkStart w:id="5" w:name="introduction"/>
      <w:bookmarkEnd w:id="0"/>
      <w:bookmarkEnd w:id="4"/>
      <w:r w:rsidRPr="00AB24F8">
        <w:rPr>
          <w:color w:val="000000" w:themeColor="text1"/>
          <w:sz w:val="24"/>
          <w:szCs w:val="24"/>
        </w:rPr>
        <w:lastRenderedPageBreak/>
        <w:t>Hip Hypermobility Analysis Final Report</w:t>
      </w:r>
    </w:p>
    <w:p w14:paraId="12827BA2" w14:textId="525185EA" w:rsidR="005546F0" w:rsidRPr="001E6889" w:rsidRDefault="007705ED" w:rsidP="001E6889">
      <w:pPr>
        <w:pStyle w:val="Heading1"/>
        <w:spacing w:before="0" w:line="480" w:lineRule="auto"/>
        <w:jc w:val="center"/>
        <w:rPr>
          <w:color w:val="000000" w:themeColor="text1"/>
          <w:sz w:val="24"/>
          <w:szCs w:val="24"/>
        </w:rPr>
      </w:pPr>
      <w:r w:rsidRPr="001E6889">
        <w:rPr>
          <w:color w:val="000000" w:themeColor="text1"/>
          <w:sz w:val="24"/>
          <w:szCs w:val="24"/>
        </w:rPr>
        <w:t>Introduction</w:t>
      </w:r>
    </w:p>
    <w:p w14:paraId="24F56EEA" w14:textId="1E257948" w:rsidR="00463357" w:rsidRDefault="7EADD69A" w:rsidP="007705ED">
      <w:pPr>
        <w:pStyle w:val="FirstParagraph"/>
        <w:spacing w:before="0" w:after="0" w:line="480" w:lineRule="auto"/>
        <w:ind w:firstLine="720"/>
      </w:pPr>
      <w:r w:rsidRPr="7EADD69A">
        <w:t xml:space="preserve">Joint hypermobility (JHM) is characterized by an increased range of motion in joints beyond the average limits observed in the general population. This condition arises from various anatomical factors, including the health of articular surfaces, bone structure, muscle tone, and the integrity of surrounding soft tissues such as ligaments, tendons, and entheses. The variability in range of motion is influenced by nonmodifiable factors like sex, age, and ethnicity, as well as modifiable factors including nutritional status, body weight, physical training, and history of trauma or surgery. Synonymous terms for JHM in medical literature include 'joint laxity' and 'joint hyperlaxity' (Castori et al., </w:t>
      </w:r>
      <w:r w:rsidR="195D25ED">
        <w:t xml:space="preserve">2017; Micale et al., 2021). </w:t>
      </w:r>
    </w:p>
    <w:p w14:paraId="32CDB338" w14:textId="7E22819F" w:rsidR="005546F0" w:rsidRPr="001E6889" w:rsidRDefault="1A4E9D11" w:rsidP="001E6889">
      <w:pPr>
        <w:pStyle w:val="FirstParagraph"/>
        <w:spacing w:before="0" w:after="0" w:line="480" w:lineRule="auto"/>
        <w:ind w:firstLine="720"/>
        <w:rPr>
          <w:color w:val="000000" w:themeColor="text1"/>
        </w:rPr>
      </w:pPr>
      <w:r w:rsidRPr="1A4E9D11">
        <w:rPr>
          <w:color w:val="000000" w:themeColor="text1"/>
        </w:rPr>
        <w:t>The Beighton Score is a widely used nine-point clinical assessment for quantifying joint hypermobility (Amtmann et al., 2010). This scoring system, which evaluates hyperextensibility across multiple joints, has demonstrated substantial inter- and intra-rater reliability despite variability in test administration (Bockhorn et al. 2021). Historically, researchers and clinicians have often identified individuals as hypermobile using a Beighton Score threshold (e.g., ≥4) to distinguish between “hypermobile” and “non-hypermobile” groups. However, this practice of dichotomizing a naturally continuous measure has been broadly criticized within the field, as it can diminish statistical power and obscure important nuances in the data. In fact, health practitioners have suggested using this metric in conjunction with other factors rather than as a single decision assessment metric (Bukva et al., 2018; Crijns et al., 2019).</w:t>
      </w:r>
    </w:p>
    <w:p w14:paraId="18613C1F" w14:textId="664EFBA0" w:rsidR="005546F0" w:rsidRPr="001E6889" w:rsidRDefault="007705ED" w:rsidP="001E6889">
      <w:pPr>
        <w:pStyle w:val="BodyText"/>
        <w:spacing w:before="0" w:after="0" w:line="480" w:lineRule="auto"/>
        <w:ind w:firstLine="720"/>
        <w:rPr>
          <w:color w:val="000000" w:themeColor="text1"/>
        </w:rPr>
      </w:pPr>
      <w:r w:rsidRPr="001E6889">
        <w:rPr>
          <w:color w:val="000000" w:themeColor="text1"/>
        </w:rPr>
        <w:lastRenderedPageBreak/>
        <w:t>In recent years, attention has shifted towards understanding the broader clinical implications of hypermobility. Evidence suggests joint hypermobility may be associated with a heightened risk for musculoskeletal conditions, particularly among adolescents (Hampton et al.</w:t>
      </w:r>
      <w:r w:rsidR="00C72C1B">
        <w:rPr>
          <w:color w:val="000000" w:themeColor="text1"/>
        </w:rPr>
        <w:t>,</w:t>
      </w:r>
      <w:r w:rsidRPr="001E6889">
        <w:rPr>
          <w:color w:val="000000" w:themeColor="text1"/>
        </w:rPr>
        <w:t xml:space="preserve"> 2019</w:t>
      </w:r>
      <w:r w:rsidR="00C72C1B">
        <w:rPr>
          <w:color w:val="000000" w:themeColor="text1"/>
        </w:rPr>
        <w:t xml:space="preserve">; </w:t>
      </w:r>
      <w:r w:rsidRPr="001E6889">
        <w:rPr>
          <w:color w:val="000000" w:themeColor="text1"/>
        </w:rPr>
        <w:t>Jochimsen et al.</w:t>
      </w:r>
      <w:r w:rsidR="00C72C1B">
        <w:rPr>
          <w:color w:val="000000" w:themeColor="text1"/>
        </w:rPr>
        <w:t>,</w:t>
      </w:r>
      <w:r w:rsidRPr="001E6889">
        <w:rPr>
          <w:color w:val="000000" w:themeColor="text1"/>
        </w:rPr>
        <w:t xml:space="preserve"> 2021</w:t>
      </w:r>
      <w:r w:rsidR="00C72C1B">
        <w:rPr>
          <w:color w:val="000000" w:themeColor="text1"/>
        </w:rPr>
        <w:t xml:space="preserve">; </w:t>
      </w:r>
      <w:r w:rsidRPr="001E6889">
        <w:rPr>
          <w:color w:val="000000" w:themeColor="text1"/>
        </w:rPr>
        <w:t>Naal et al.</w:t>
      </w:r>
      <w:r w:rsidR="00C72C1B">
        <w:rPr>
          <w:color w:val="000000" w:themeColor="text1"/>
        </w:rPr>
        <w:t>,</w:t>
      </w:r>
      <w:r w:rsidRPr="001E6889">
        <w:rPr>
          <w:color w:val="000000" w:themeColor="text1"/>
        </w:rPr>
        <w:t xml:space="preserve"> 2014). </w:t>
      </w:r>
      <w:r w:rsidR="00C72C1B">
        <w:rPr>
          <w:color w:val="000000" w:themeColor="text1"/>
        </w:rPr>
        <w:t>Although</w:t>
      </w:r>
      <w:r w:rsidR="00C72C1B" w:rsidRPr="001E6889">
        <w:rPr>
          <w:color w:val="000000" w:themeColor="text1"/>
        </w:rPr>
        <w:t xml:space="preserve"> </w:t>
      </w:r>
      <w:r w:rsidRPr="001E6889">
        <w:rPr>
          <w:color w:val="000000" w:themeColor="text1"/>
        </w:rPr>
        <w:t xml:space="preserve">these findings underscore the significance of structural and biomechanical factors, emerging research increasingly </w:t>
      </w:r>
      <w:r w:rsidR="00C72C1B">
        <w:rPr>
          <w:color w:val="000000" w:themeColor="text1"/>
        </w:rPr>
        <w:t>demonstrates</w:t>
      </w:r>
      <w:r w:rsidR="00C72C1B" w:rsidRPr="001E6889">
        <w:rPr>
          <w:color w:val="000000" w:themeColor="text1"/>
        </w:rPr>
        <w:t xml:space="preserve"> </w:t>
      </w:r>
      <w:r w:rsidRPr="001E6889">
        <w:rPr>
          <w:color w:val="000000" w:themeColor="text1"/>
        </w:rPr>
        <w:t>that patient outcomes, including pain perception and functional limitations, may also be influenced by psychological factors. In orthopedic contexts, a growing body of literature correlates patient-reported psychological measures with clinical outcomes, yet the interplay between hypermobility and psychosocial constructs remains underexplored.</w:t>
      </w:r>
    </w:p>
    <w:p w14:paraId="05C11B75" w14:textId="751E9D19" w:rsidR="00C72C1B" w:rsidRDefault="007705ED" w:rsidP="00C72C1B">
      <w:pPr>
        <w:pStyle w:val="BodyText"/>
        <w:spacing w:before="0" w:after="0" w:line="480" w:lineRule="auto"/>
        <w:ind w:firstLine="720"/>
        <w:rPr>
          <w:color w:val="000000" w:themeColor="text1"/>
        </w:rPr>
      </w:pPr>
      <w:r w:rsidRPr="001E6889">
        <w:rPr>
          <w:color w:val="000000" w:themeColor="text1"/>
        </w:rPr>
        <w:t>Given the scarce evidence linking Beighton-defined hypermobility to psychological components, this study aims to examine whether individuals with higher Beighton Scores—specifically those with hip dysplasia—exhibit distinct profiles in three key domains: pain catastrophizing, pain interference, and pain self-efficacy. Pain catastrophizing, commonly assessed using the Pain Catastrophizing Scale (PCS), reflects an exaggerated negative mental set related to pain perception and emotional distress</w:t>
      </w:r>
      <w:r w:rsidR="7EADD69A" w:rsidRPr="7EADD69A">
        <w:rPr>
          <w:color w:val="000000" w:themeColor="text1"/>
        </w:rPr>
        <w:t xml:space="preserve"> (Sullivan et al., 1995).</w:t>
      </w:r>
      <w:r w:rsidRPr="001E6889">
        <w:rPr>
          <w:color w:val="000000" w:themeColor="text1"/>
        </w:rPr>
        <w:t xml:space="preserve"> Pain interference, measured through the Patient-Reported Outcomes Measurement Information System Pain Interference (PROMIS-PI), evaluates the extent to which pain hinders engagement in social, cognitive, and physical activities</w:t>
      </w:r>
      <w:r w:rsidR="7EADD69A" w:rsidRPr="7EADD69A">
        <w:rPr>
          <w:color w:val="000000" w:themeColor="text1"/>
        </w:rPr>
        <w:t xml:space="preserve"> (Amtmann et al., 2010).</w:t>
      </w:r>
      <w:r w:rsidRPr="001E6889">
        <w:rPr>
          <w:color w:val="000000" w:themeColor="text1"/>
        </w:rPr>
        <w:t xml:space="preserve"> Finally, the Pain Self-Efficacy Questionnaire (PSEQ) assesses an individual’s confidence in performing tasks despite pain</w:t>
      </w:r>
      <w:r w:rsidR="7EADD69A" w:rsidRPr="7EADD69A">
        <w:rPr>
          <w:color w:val="000000" w:themeColor="text1"/>
        </w:rPr>
        <w:t xml:space="preserve"> (Nicholas, 2007). </w:t>
      </w:r>
    </w:p>
    <w:p w14:paraId="654C1D64" w14:textId="670F4BF6" w:rsidR="005546F0" w:rsidRPr="001E6889" w:rsidRDefault="18B8F564" w:rsidP="001E6889">
      <w:pPr>
        <w:pStyle w:val="BodyText"/>
        <w:spacing w:before="0" w:after="0" w:line="480" w:lineRule="auto"/>
        <w:ind w:firstLine="720"/>
        <w:rPr>
          <w:color w:val="000000" w:themeColor="text1"/>
        </w:rPr>
      </w:pPr>
      <w:r w:rsidRPr="18B8F564">
        <w:rPr>
          <w:color w:val="000000" w:themeColor="text1"/>
        </w:rPr>
        <w:t xml:space="preserve">Using data gathered from a single </w:t>
      </w:r>
      <w:r w:rsidR="55640C0A" w:rsidRPr="55640C0A">
        <w:rPr>
          <w:color w:val="000000" w:themeColor="text1"/>
        </w:rPr>
        <w:t>physician’s</w:t>
      </w:r>
      <w:r w:rsidRPr="18B8F564">
        <w:rPr>
          <w:color w:val="000000" w:themeColor="text1"/>
        </w:rPr>
        <w:t xml:space="preserve"> patient panel </w:t>
      </w:r>
      <w:r w:rsidR="55640C0A" w:rsidRPr="55640C0A">
        <w:rPr>
          <w:color w:val="000000" w:themeColor="text1"/>
        </w:rPr>
        <w:t>at</w:t>
      </w:r>
      <w:r w:rsidRPr="18B8F564">
        <w:rPr>
          <w:color w:val="000000" w:themeColor="text1"/>
        </w:rPr>
        <w:t xml:space="preserve"> a Baylor Scott &amp; White orthopedic clinic, this study aims to explore the following hypotheses:</w:t>
      </w:r>
    </w:p>
    <w:p w14:paraId="34108502" w14:textId="77777777" w:rsidR="005546F0" w:rsidRPr="001E6889" w:rsidRDefault="007705ED" w:rsidP="001E6889">
      <w:pPr>
        <w:pStyle w:val="Compact"/>
        <w:numPr>
          <w:ilvl w:val="0"/>
          <w:numId w:val="3"/>
        </w:numPr>
        <w:spacing w:before="0" w:after="0" w:line="480" w:lineRule="auto"/>
        <w:rPr>
          <w:color w:val="000000" w:themeColor="text1"/>
        </w:rPr>
      </w:pPr>
      <w:r w:rsidRPr="001E6889">
        <w:rPr>
          <w:color w:val="000000" w:themeColor="text1"/>
        </w:rPr>
        <w:lastRenderedPageBreak/>
        <w:t>Patients with greater hypermobility (as indicated by higher Beighton Scores) will exhibit higher levels of pain catastrophizing (PCS) and pain interference (PROMIS-PI).</w:t>
      </w:r>
    </w:p>
    <w:p w14:paraId="78CB64FB" w14:textId="77777777" w:rsidR="005546F0" w:rsidRPr="001E6889" w:rsidRDefault="007705ED" w:rsidP="001E6889">
      <w:pPr>
        <w:pStyle w:val="Compact"/>
        <w:numPr>
          <w:ilvl w:val="0"/>
          <w:numId w:val="3"/>
        </w:numPr>
        <w:spacing w:before="0" w:after="0" w:line="480" w:lineRule="auto"/>
        <w:rPr>
          <w:color w:val="000000" w:themeColor="text1"/>
        </w:rPr>
      </w:pPr>
      <w:r w:rsidRPr="001E6889">
        <w:rPr>
          <w:color w:val="000000" w:themeColor="text1"/>
        </w:rPr>
        <w:t>Patients with greater hypermobility will report lower pain self-efficacy (PSEQ).</w:t>
      </w:r>
    </w:p>
    <w:p w14:paraId="2DEDE76C" w14:textId="77777777" w:rsidR="005546F0" w:rsidRPr="001E6889" w:rsidRDefault="007705ED" w:rsidP="001E6889">
      <w:pPr>
        <w:pStyle w:val="FirstParagraph"/>
        <w:spacing w:before="0" w:after="0" w:line="480" w:lineRule="auto"/>
        <w:rPr>
          <w:color w:val="000000" w:themeColor="text1"/>
        </w:rPr>
      </w:pPr>
      <w:r w:rsidRPr="001E6889">
        <w:rPr>
          <w:color w:val="000000" w:themeColor="text1"/>
        </w:rPr>
        <w:t>By examining these relationships, the current study seeks to fill a critical gap in the literature and offer a more comprehensive understanding of how joint hypermobility, beyond its mechanical implications, may influence psychosocial factors. This approach contributes a new perspective on patient care, potentially informing more holistic assessment strategies and tailored interventions for individuals presenting with hypermobility-related conditions.</w:t>
      </w:r>
    </w:p>
    <w:p w14:paraId="1AD3E5FD" w14:textId="77777777" w:rsidR="005546F0" w:rsidRDefault="007705ED" w:rsidP="001E6889">
      <w:pPr>
        <w:pStyle w:val="Heading1"/>
        <w:spacing w:before="0" w:line="480" w:lineRule="auto"/>
        <w:jc w:val="center"/>
        <w:rPr>
          <w:color w:val="000000" w:themeColor="text1"/>
          <w:sz w:val="24"/>
          <w:szCs w:val="24"/>
        </w:rPr>
      </w:pPr>
      <w:bookmarkStart w:id="6" w:name="methodology-1"/>
      <w:bookmarkEnd w:id="5"/>
      <w:r w:rsidRPr="001E6889">
        <w:rPr>
          <w:color w:val="000000" w:themeColor="text1"/>
          <w:sz w:val="24"/>
          <w:szCs w:val="24"/>
        </w:rPr>
        <w:t>Methodology</w:t>
      </w:r>
    </w:p>
    <w:p w14:paraId="398A4416" w14:textId="6010D92B" w:rsidR="00AE4203" w:rsidRPr="00AE4203" w:rsidRDefault="00AE4203" w:rsidP="00AE4203">
      <w:pPr>
        <w:pStyle w:val="BodyText"/>
        <w:spacing w:before="0" w:after="0" w:line="480" w:lineRule="auto"/>
        <w:ind w:firstLine="720"/>
      </w:pPr>
      <w:r>
        <w:t xml:space="preserve">All </w:t>
      </w:r>
      <w:r w:rsidR="00CE1F32">
        <w:t xml:space="preserve">data </w:t>
      </w:r>
      <w:r>
        <w:t>w</w:t>
      </w:r>
      <w:r w:rsidR="009A2FFF">
        <w:t>ere</w:t>
      </w:r>
      <w:r>
        <w:t xml:space="preserve"> visually explored, and assumptions were verified before completing any analyses. The participant characteristics and analyses methods are described in the subsections below. Any tools used to perform the analyses or verify assumptions are also mentioned in the corresponding subsection.</w:t>
      </w:r>
    </w:p>
    <w:p w14:paraId="4E2AE6E3" w14:textId="77777777" w:rsidR="005546F0" w:rsidRPr="001E6889" w:rsidRDefault="007705ED" w:rsidP="001E6889">
      <w:pPr>
        <w:pStyle w:val="Heading2"/>
        <w:spacing w:before="0" w:line="480" w:lineRule="auto"/>
        <w:rPr>
          <w:color w:val="000000" w:themeColor="text1"/>
          <w:sz w:val="24"/>
          <w:szCs w:val="24"/>
        </w:rPr>
      </w:pPr>
      <w:bookmarkStart w:id="7" w:name="participants"/>
      <w:r w:rsidRPr="001E6889">
        <w:rPr>
          <w:color w:val="000000" w:themeColor="text1"/>
          <w:sz w:val="24"/>
          <w:szCs w:val="24"/>
        </w:rPr>
        <w:t>Participants</w:t>
      </w:r>
    </w:p>
    <w:p w14:paraId="5EE87358" w14:textId="77777777" w:rsidR="005546F0" w:rsidRPr="001E6889" w:rsidRDefault="007705ED" w:rsidP="001E6889">
      <w:pPr>
        <w:pStyle w:val="FirstParagraph"/>
        <w:spacing w:before="0" w:after="0" w:line="480" w:lineRule="auto"/>
        <w:ind w:firstLine="720"/>
        <w:rPr>
          <w:color w:val="000000" w:themeColor="text1"/>
        </w:rPr>
      </w:pPr>
      <w:r w:rsidRPr="001E6889">
        <w:rPr>
          <w:color w:val="000000" w:themeColor="text1"/>
        </w:rPr>
        <w:t>Patient data were obtained from a single specialty hip clinic. Patients completed a hypermobility test and several brief psychosocial surveys. Hypermobility was measured via a Beighton Score assigned at the completion of the test. The three main psychosocial surveys consisted of the Patient Self Efficacy Questionnaire, the Pain Catastrophizing Survey, and the Pain Interference Survey. All patient data were analyzed retrospectively.</w:t>
      </w:r>
    </w:p>
    <w:p w14:paraId="55294108" w14:textId="6EC008DB" w:rsidR="002A11EE" w:rsidRPr="001E6889" w:rsidRDefault="007705ED" w:rsidP="00AA6666">
      <w:pPr>
        <w:pStyle w:val="BodyText"/>
        <w:spacing w:before="0" w:after="0" w:line="480" w:lineRule="auto"/>
        <w:rPr>
          <w:color w:val="000000" w:themeColor="text1"/>
        </w:rPr>
      </w:pPr>
      <w:r w:rsidRPr="001E6889">
        <w:rPr>
          <w:color w:val="000000" w:themeColor="text1"/>
        </w:rPr>
        <w:t xml:space="preserve">The full sample consisted of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445</m:t>
        </m:r>
      </m:oMath>
      <w:r w:rsidRPr="001E6889">
        <w:rPr>
          <w:color w:val="000000" w:themeColor="text1"/>
        </w:rPr>
        <w:t xml:space="preserve"> individuals of which the majority (77%) were female. </w:t>
      </w:r>
      <w:bookmarkStart w:id="8" w:name="data-analysis"/>
      <w:bookmarkEnd w:id="7"/>
    </w:p>
    <w:p w14:paraId="684DF5AA" w14:textId="5A7EFFD4" w:rsidR="005546F0" w:rsidRPr="001E6889" w:rsidRDefault="007705ED" w:rsidP="001E6889">
      <w:pPr>
        <w:pStyle w:val="Heading2"/>
        <w:spacing w:before="0" w:line="480" w:lineRule="auto"/>
        <w:rPr>
          <w:color w:val="000000" w:themeColor="text1"/>
          <w:sz w:val="24"/>
          <w:szCs w:val="24"/>
        </w:rPr>
      </w:pPr>
      <w:r w:rsidRPr="001E6889">
        <w:rPr>
          <w:color w:val="000000" w:themeColor="text1"/>
          <w:sz w:val="24"/>
          <w:szCs w:val="24"/>
        </w:rPr>
        <w:lastRenderedPageBreak/>
        <w:t>Data Analysis</w:t>
      </w:r>
    </w:p>
    <w:p w14:paraId="11D658A5" w14:textId="5DF63F49" w:rsidR="005546F0" w:rsidRPr="001E6889" w:rsidRDefault="00C72C1B" w:rsidP="001E6889">
      <w:pPr>
        <w:pStyle w:val="FirstParagraph"/>
        <w:spacing w:before="0" w:after="0" w:line="480" w:lineRule="auto"/>
        <w:ind w:firstLine="720"/>
        <w:rPr>
          <w:color w:val="000000" w:themeColor="text1"/>
        </w:rPr>
      </w:pPr>
      <w:r>
        <w:rPr>
          <w:color w:val="000000" w:themeColor="text1"/>
        </w:rPr>
        <w:t>Because</w:t>
      </w:r>
      <w:r w:rsidRPr="001E6889">
        <w:rPr>
          <w:color w:val="000000" w:themeColor="text1"/>
        </w:rPr>
        <w:t xml:space="preserve"> </w:t>
      </w:r>
      <w:r w:rsidR="007705ED" w:rsidRPr="001E6889">
        <w:rPr>
          <w:color w:val="000000" w:themeColor="text1"/>
        </w:rPr>
        <w:t xml:space="preserve">the goal of the study was to explore the relationship between hypermobility and </w:t>
      </w:r>
      <w:r w:rsidR="00FF3E23" w:rsidRPr="001E6889">
        <w:rPr>
          <w:color w:val="000000" w:themeColor="text1"/>
        </w:rPr>
        <w:t>psychosocial</w:t>
      </w:r>
      <w:r w:rsidR="007705ED" w:rsidRPr="001E6889">
        <w:rPr>
          <w:color w:val="000000" w:themeColor="text1"/>
        </w:rPr>
        <w:t xml:space="preserve"> outcome, we utilized a multiple linear regression (MLR) model with Beighton Score treated as a continuous outcome variable. The full model included the three psychosocial scores as continuous predictor variables. Age and gender were further included in the model as covariate adjustments.</w:t>
      </w:r>
    </w:p>
    <w:p w14:paraId="67137C45" w14:textId="01683FC9" w:rsidR="005546F0" w:rsidRPr="001E6889" w:rsidRDefault="007705ED" w:rsidP="001E6889">
      <w:pPr>
        <w:pStyle w:val="BodyText"/>
        <w:spacing w:before="0" w:after="0" w:line="480" w:lineRule="auto"/>
        <w:ind w:firstLine="720"/>
        <w:rPr>
          <w:color w:val="000000" w:themeColor="text1"/>
        </w:rPr>
      </w:pPr>
      <w:r w:rsidRPr="001E6889">
        <w:rPr>
          <w:color w:val="000000" w:themeColor="text1"/>
        </w:rPr>
        <w:t>Several primary assumptions were required to justify fitting an MLR. Each of these assumptions w</w:t>
      </w:r>
      <w:r w:rsidR="00D93DA2" w:rsidRPr="001E6889">
        <w:rPr>
          <w:color w:val="000000" w:themeColor="text1"/>
        </w:rPr>
        <w:t>ere</w:t>
      </w:r>
      <w:r w:rsidRPr="001E6889">
        <w:rPr>
          <w:color w:val="000000" w:themeColor="text1"/>
        </w:rPr>
        <w:t xml:space="preserve"> verified analytically or through prior research before proceeding. First, the three psychosocial scores were examined for multicollinearity using Pearson’s </w:t>
      </w:r>
      <w:r w:rsidR="00FF3E23">
        <w:rPr>
          <w:color w:val="000000" w:themeColor="text1"/>
        </w:rPr>
        <w:t>ρ</w:t>
      </w:r>
      <w:r w:rsidRPr="001E6889">
        <w:rPr>
          <w:color w:val="000000" w:themeColor="text1"/>
        </w:rPr>
        <w:t>, and Variance Inflation Factor (VIF) scores were checked post-model construction to confirm the assumption of independence between the predictors. A VIF score less than 10 indicated sufficient independence (Kleinbaum et al.</w:t>
      </w:r>
      <w:r w:rsidR="00C72C1B">
        <w:rPr>
          <w:color w:val="000000" w:themeColor="text1"/>
        </w:rPr>
        <w:t>,</w:t>
      </w:r>
      <w:r w:rsidRPr="001E6889">
        <w:rPr>
          <w:color w:val="000000" w:themeColor="text1"/>
        </w:rPr>
        <w:t xml:space="preserve"> 1988). Second, we also assumed the normality of the error terms and verified this assumption through constructing a QQ-plot. Third, we assumed treating the Beighton Score and psychosocial outcomes as continuous would appropriately approximate their true ordinal nature. Treating an ordinal variable as continuous implies the distance between two scores is equivalent across the spectrum (i.e.</w:t>
      </w:r>
      <w:r w:rsidR="00C72C1B">
        <w:rPr>
          <w:color w:val="000000" w:themeColor="text1"/>
        </w:rPr>
        <w:t>,</w:t>
      </w:r>
      <w:r w:rsidRPr="001E6889">
        <w:rPr>
          <w:color w:val="000000" w:themeColor="text1"/>
        </w:rPr>
        <w:t xml:space="preserve"> the difference between a score of 1 and a score of 2 is equivalent to the difference between a score of 2 and a score of 3). This equal spacing assumption is commonly used in psychometrics and tends to hold when ordinal variables have greater than 5 categories (Rhemtulla, Brosseau-Liard, </w:t>
      </w:r>
      <w:r w:rsidR="00C72C1B">
        <w:rPr>
          <w:color w:val="000000" w:themeColor="text1"/>
        </w:rPr>
        <w:t>&amp;</w:t>
      </w:r>
      <w:r w:rsidR="00C72C1B" w:rsidRPr="001E6889">
        <w:rPr>
          <w:color w:val="000000" w:themeColor="text1"/>
        </w:rPr>
        <w:t xml:space="preserve"> </w:t>
      </w:r>
      <w:r w:rsidRPr="001E6889">
        <w:rPr>
          <w:color w:val="000000" w:themeColor="text1"/>
        </w:rPr>
        <w:t>Savalei</w:t>
      </w:r>
      <w:r w:rsidR="00C72C1B">
        <w:rPr>
          <w:color w:val="000000" w:themeColor="text1"/>
        </w:rPr>
        <w:t>,</w:t>
      </w:r>
      <w:r w:rsidRPr="001E6889">
        <w:rPr>
          <w:color w:val="000000" w:themeColor="text1"/>
        </w:rPr>
        <w:t xml:space="preserve"> 2012).</w:t>
      </w:r>
    </w:p>
    <w:p w14:paraId="71934419" w14:textId="4FCBB95E" w:rsidR="005546F0" w:rsidRPr="001E6889" w:rsidRDefault="007705ED" w:rsidP="001E6889">
      <w:pPr>
        <w:pStyle w:val="BodyText"/>
        <w:spacing w:before="0" w:after="0" w:line="480" w:lineRule="auto"/>
        <w:ind w:firstLine="720"/>
        <w:rPr>
          <w:color w:val="000000" w:themeColor="text1"/>
        </w:rPr>
      </w:pPr>
      <w:r w:rsidRPr="001E6889">
        <w:rPr>
          <w:color w:val="000000" w:themeColor="text1"/>
        </w:rPr>
        <w:t>Two multiple linear regression models were constructed. The first model utilized only complete cases (i.e.</w:t>
      </w:r>
      <w:r w:rsidR="00C72C1B">
        <w:rPr>
          <w:color w:val="000000" w:themeColor="text1"/>
        </w:rPr>
        <w:t>,</w:t>
      </w:r>
      <w:r w:rsidRPr="001E6889">
        <w:rPr>
          <w:color w:val="000000" w:themeColor="text1"/>
        </w:rPr>
        <w:t> rows with no missing data). The second model pooled results</w:t>
      </w:r>
      <w:r w:rsidR="00FD33BC">
        <w:rPr>
          <w:color w:val="000000" w:themeColor="text1"/>
        </w:rPr>
        <w:t xml:space="preserve"> via Rubin’s Rules</w:t>
      </w:r>
      <w:r w:rsidRPr="001E6889">
        <w:rPr>
          <w:color w:val="000000" w:themeColor="text1"/>
        </w:rPr>
        <w:t xml:space="preserve"> from a multiple imputation analysis with </w:t>
      </w:r>
      <m:oMath>
        <m:r>
          <w:rPr>
            <w:rFonts w:ascii="Cambria Math" w:hAnsi="Cambria Math"/>
            <w:color w:val="000000" w:themeColor="text1"/>
          </w:rPr>
          <m:t>m</m:t>
        </m:r>
        <m:r>
          <m:rPr>
            <m:sty m:val="p"/>
          </m:rPr>
          <w:rPr>
            <w:rFonts w:ascii="Cambria Math" w:hAnsi="Cambria Math"/>
            <w:color w:val="000000" w:themeColor="text1"/>
          </w:rPr>
          <m:t>=</m:t>
        </m:r>
        <m:r>
          <w:rPr>
            <w:rFonts w:ascii="Cambria Math" w:hAnsi="Cambria Math"/>
            <w:color w:val="000000" w:themeColor="text1"/>
          </w:rPr>
          <m:t>100</m:t>
        </m:r>
      </m:oMath>
      <w:r w:rsidRPr="001E6889">
        <w:rPr>
          <w:color w:val="000000" w:themeColor="text1"/>
        </w:rPr>
        <w:t xml:space="preserve"> to use the full data set. To </w:t>
      </w:r>
      <w:r w:rsidRPr="001E6889">
        <w:rPr>
          <w:color w:val="000000" w:themeColor="text1"/>
        </w:rPr>
        <w:lastRenderedPageBreak/>
        <w:t xml:space="preserve">determine the appropriate number of imputations, the fraction of missing information (FMI) was calculated for each variable and the number of imputations was set at a level equal to or greater than the highest FMI in accordance with standard practice (White, Royston, </w:t>
      </w:r>
      <w:r w:rsidR="00C72C1B">
        <w:rPr>
          <w:color w:val="000000" w:themeColor="text1"/>
        </w:rPr>
        <w:t>&amp;</w:t>
      </w:r>
      <w:r w:rsidR="00C72C1B" w:rsidRPr="001E6889">
        <w:rPr>
          <w:color w:val="000000" w:themeColor="text1"/>
        </w:rPr>
        <w:t xml:space="preserve"> </w:t>
      </w:r>
      <w:r w:rsidRPr="001E6889">
        <w:rPr>
          <w:color w:val="000000" w:themeColor="text1"/>
        </w:rPr>
        <w:t>Wood</w:t>
      </w:r>
      <w:r w:rsidR="00C72C1B">
        <w:rPr>
          <w:color w:val="000000" w:themeColor="text1"/>
        </w:rPr>
        <w:t>,</w:t>
      </w:r>
      <w:r w:rsidRPr="001E6889">
        <w:rPr>
          <w:color w:val="000000" w:themeColor="text1"/>
        </w:rPr>
        <w:t xml:space="preserve"> 2011). The regressions for both the complete case scenario and the imputation scenario can be represented by the following equation:</w:t>
      </w:r>
    </w:p>
    <w:p w14:paraId="39A8558A" w14:textId="77777777" w:rsidR="005546F0" w:rsidRPr="001E6889" w:rsidRDefault="00000000" w:rsidP="001E6889">
      <w:pPr>
        <w:pStyle w:val="BodyText"/>
        <w:spacing w:before="0" w:after="0" w:line="480" w:lineRule="auto"/>
        <w:rPr>
          <w:color w:val="000000" w:themeColor="text1"/>
        </w:rPr>
      </w:pPr>
      <m:oMathPara>
        <m:oMathParaPr>
          <m:jc m:val="center"/>
        </m:oMathParaPr>
        <m:oMath>
          <m:acc>
            <m:accPr>
              <m:ctrlPr>
                <w:rPr>
                  <w:rFonts w:ascii="Cambria Math" w:hAnsi="Cambria Math"/>
                  <w:color w:val="000000" w:themeColor="text1"/>
                </w:rPr>
              </m:ctrlPr>
            </m:accPr>
            <m:e>
              <m:r>
                <m:rPr>
                  <m:nor/>
                </m:rPr>
                <w:rPr>
                  <w:color w:val="000000" w:themeColor="text1"/>
                </w:rPr>
                <m:t>Beighton Score</m:t>
              </m:r>
            </m:e>
          </m:acc>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Gender</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w:rPr>
              <w:rFonts w:ascii="Cambria Math" w:hAnsi="Cambria Math"/>
              <w:color w:val="000000" w:themeColor="text1"/>
            </w:rPr>
            <m:t>Age</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3</m:t>
              </m:r>
            </m:sub>
          </m:sSub>
          <m:r>
            <w:rPr>
              <w:rFonts w:ascii="Cambria Math" w:hAnsi="Cambria Math"/>
              <w:color w:val="000000" w:themeColor="text1"/>
            </w:rPr>
            <m:t>PCS</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4</m:t>
              </m:r>
            </m:sub>
          </m:sSub>
          <m:r>
            <w:rPr>
              <w:rFonts w:ascii="Cambria Math" w:hAnsi="Cambria Math"/>
              <w:color w:val="000000" w:themeColor="text1"/>
            </w:rPr>
            <m:t>PROMIS</m:t>
          </m:r>
          <m:r>
            <m:rPr>
              <m:sty m:val="p"/>
            </m:rPr>
            <w:rPr>
              <w:rFonts w:ascii="Cambria Math" w:hAnsi="Cambria Math"/>
              <w:color w:val="000000" w:themeColor="text1"/>
            </w:rPr>
            <m:t>.</m:t>
          </m:r>
          <m:r>
            <w:rPr>
              <w:rFonts w:ascii="Cambria Math" w:hAnsi="Cambria Math"/>
              <w:color w:val="000000" w:themeColor="text1"/>
            </w:rPr>
            <m:t>PI</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5</m:t>
              </m:r>
            </m:sub>
          </m:sSub>
          <m:r>
            <w:rPr>
              <w:rFonts w:ascii="Cambria Math" w:hAnsi="Cambria Math"/>
              <w:color w:val="000000" w:themeColor="text1"/>
            </w:rPr>
            <m:t>PSEQ</m:t>
          </m:r>
        </m:oMath>
      </m:oMathPara>
    </w:p>
    <w:p w14:paraId="09E65CB0" w14:textId="11932501" w:rsidR="005546F0" w:rsidRPr="001E6889" w:rsidRDefault="1137E1EF" w:rsidP="001E6889">
      <w:pPr>
        <w:pStyle w:val="FirstParagraph"/>
        <w:spacing w:before="0" w:after="0" w:line="480" w:lineRule="auto"/>
        <w:rPr>
          <w:color w:val="000000" w:themeColor="text1"/>
        </w:rPr>
      </w:pPr>
      <w:r w:rsidRPr="1137E1EF">
        <w:rPr>
          <w:color w:val="000000" w:themeColor="text1"/>
        </w:rPr>
        <w:t>Because medical professionals commonly consider a Beighton Score of ≥4 indicative of hypermobility, an additional post-hoc analysis was also performed through dichotomizing Beighton Score into two categories (≥4 and &lt;4) and constructing a logistic regression. Similar to the multiple linear regression, the logistic regression is as follows:</w:t>
      </w:r>
    </w:p>
    <w:p w14:paraId="657E7F56" w14:textId="77777777" w:rsidR="005546F0" w:rsidRPr="001E6889" w:rsidRDefault="00000000" w:rsidP="001E6889">
      <w:pPr>
        <w:pStyle w:val="BodyText"/>
        <w:spacing w:before="0" w:after="0" w:line="480" w:lineRule="auto"/>
        <w:rPr>
          <w:color w:val="000000" w:themeColor="text1"/>
        </w:rPr>
      </w:pPr>
      <m:oMathPara>
        <m:oMathParaPr>
          <m:jc m:val="center"/>
        </m:oMathParaPr>
        <m:oMath>
          <m:acc>
            <m:accPr>
              <m:ctrlPr>
                <w:rPr>
                  <w:rFonts w:ascii="Cambria Math" w:hAnsi="Cambria Math"/>
                  <w:color w:val="000000" w:themeColor="text1"/>
                </w:rPr>
              </m:ctrlPr>
            </m:accPr>
            <m:e>
              <m:r>
                <m:rPr>
                  <m:nor/>
                </m:rPr>
                <w:rPr>
                  <w:color w:val="000000" w:themeColor="text1"/>
                </w:rPr>
                <m:t>log</m:t>
              </m:r>
              <m:d>
                <m:dPr>
                  <m:ctrlPr>
                    <w:rPr>
                      <w:rFonts w:ascii="Cambria Math" w:hAnsi="Cambria Math"/>
                      <w:color w:val="000000" w:themeColor="text1"/>
                    </w:rPr>
                  </m:ctrlPr>
                </m:dPr>
                <m:e>
                  <m:r>
                    <m:rPr>
                      <m:nor/>
                    </m:rPr>
                    <w:rPr>
                      <w:color w:val="000000" w:themeColor="text1"/>
                    </w:rPr>
                    <m:t>Beighton Score</m:t>
                  </m:r>
                  <m:r>
                    <m:rPr>
                      <m:sty m:val="p"/>
                    </m:rPr>
                    <w:rPr>
                      <w:rFonts w:ascii="Cambria Math" w:hAnsi="Cambria Math"/>
                      <w:color w:val="000000" w:themeColor="text1"/>
                    </w:rPr>
                    <m:t>≥</m:t>
                  </m:r>
                  <m:r>
                    <w:rPr>
                      <w:rFonts w:ascii="Cambria Math" w:hAnsi="Cambria Math"/>
                      <w:color w:val="000000" w:themeColor="text1"/>
                    </w:rPr>
                    <m:t>4</m:t>
                  </m:r>
                </m:e>
              </m:d>
            </m:e>
          </m:acc>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Gender</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w:rPr>
              <w:rFonts w:ascii="Cambria Math" w:hAnsi="Cambria Math"/>
              <w:color w:val="000000" w:themeColor="text1"/>
            </w:rPr>
            <m:t>Age</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3</m:t>
              </m:r>
            </m:sub>
          </m:sSub>
          <m:r>
            <w:rPr>
              <w:rFonts w:ascii="Cambria Math" w:hAnsi="Cambria Math"/>
              <w:color w:val="000000" w:themeColor="text1"/>
            </w:rPr>
            <m:t>PCS</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4</m:t>
              </m:r>
            </m:sub>
          </m:sSub>
          <m:r>
            <w:rPr>
              <w:rFonts w:ascii="Cambria Math" w:hAnsi="Cambria Math"/>
              <w:color w:val="000000" w:themeColor="text1"/>
            </w:rPr>
            <m:t>PROMIS</m:t>
          </m:r>
          <m:r>
            <m:rPr>
              <m:sty m:val="p"/>
            </m:rPr>
            <w:rPr>
              <w:rFonts w:ascii="Cambria Math" w:hAnsi="Cambria Math"/>
              <w:color w:val="000000" w:themeColor="text1"/>
            </w:rPr>
            <m:t>.</m:t>
          </m:r>
          <m:r>
            <w:rPr>
              <w:rFonts w:ascii="Cambria Math" w:hAnsi="Cambria Math"/>
              <w:color w:val="000000" w:themeColor="text1"/>
            </w:rPr>
            <m:t>PI</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5</m:t>
              </m:r>
            </m:sub>
          </m:sSub>
          <m:r>
            <w:rPr>
              <w:rFonts w:ascii="Cambria Math" w:hAnsi="Cambria Math"/>
              <w:color w:val="000000" w:themeColor="text1"/>
            </w:rPr>
            <m:t>PSEQ</m:t>
          </m:r>
        </m:oMath>
      </m:oMathPara>
    </w:p>
    <w:p w14:paraId="40E7F74F" w14:textId="77777777" w:rsidR="005546F0" w:rsidRDefault="007705ED" w:rsidP="001E6889">
      <w:pPr>
        <w:pStyle w:val="FirstParagraph"/>
        <w:spacing w:before="0" w:after="0" w:line="480" w:lineRule="auto"/>
        <w:rPr>
          <w:color w:val="000000" w:themeColor="text1"/>
        </w:rPr>
      </w:pPr>
      <w:r w:rsidRPr="001E6889">
        <w:rPr>
          <w:color w:val="000000" w:themeColor="text1"/>
        </w:rPr>
        <w:t>All analyses and pre-processing steps were conducted using R statistical software.</w:t>
      </w:r>
    </w:p>
    <w:p w14:paraId="228E1353" w14:textId="1F7459EF" w:rsidR="00FF3E23" w:rsidRPr="00AE4203" w:rsidRDefault="00FF3E23" w:rsidP="00AE4203">
      <w:pPr>
        <w:pStyle w:val="Heading2"/>
        <w:spacing w:before="0"/>
        <w:rPr>
          <w:color w:val="auto"/>
          <w:sz w:val="24"/>
          <w:szCs w:val="24"/>
        </w:rPr>
      </w:pPr>
      <w:r w:rsidRPr="00AE4203">
        <w:rPr>
          <w:color w:val="auto"/>
          <w:sz w:val="24"/>
          <w:szCs w:val="24"/>
        </w:rPr>
        <w:t>Shiny App</w:t>
      </w:r>
    </w:p>
    <w:p w14:paraId="31059220" w14:textId="42C11A7B" w:rsidR="00FF3E23" w:rsidRPr="00FF3E23" w:rsidRDefault="00FF3E23" w:rsidP="00FF3E23">
      <w:pPr>
        <w:pStyle w:val="BodyText"/>
        <w:spacing w:line="480" w:lineRule="auto"/>
      </w:pPr>
      <w:r>
        <w:tab/>
        <w:t xml:space="preserve">A Shiny application was included as a component in this analysis. A Shiny app is a web-based interface for visualizing statistical results </w:t>
      </w:r>
      <w:r w:rsidR="00AB5E3A">
        <w:t>coded in</w:t>
      </w:r>
      <w:r>
        <w:t xml:space="preserve"> R. The app included tabs for exploratory visualizations of variable distributions and relationships, imputation comparisons, and regression results. All results reported below can also be accessed via the app. Furthermore, the app was created with the purpose of allowing users to also upload new data sets to perform new analyses if desired via an </w:t>
      </w:r>
      <w:r>
        <w:rPr>
          <w:i/>
          <w:iCs/>
        </w:rPr>
        <w:t xml:space="preserve">Upload </w:t>
      </w:r>
      <w:r>
        <w:t xml:space="preserve">tab. </w:t>
      </w:r>
    </w:p>
    <w:p w14:paraId="1E076F36" w14:textId="77777777" w:rsidR="005546F0" w:rsidRPr="001E6889" w:rsidRDefault="007705ED" w:rsidP="001E6889">
      <w:pPr>
        <w:pStyle w:val="Heading1"/>
        <w:spacing w:before="0" w:line="480" w:lineRule="auto"/>
        <w:jc w:val="center"/>
        <w:rPr>
          <w:color w:val="000000" w:themeColor="text1"/>
          <w:sz w:val="24"/>
          <w:szCs w:val="24"/>
        </w:rPr>
      </w:pPr>
      <w:bookmarkStart w:id="9" w:name="results-1"/>
      <w:bookmarkEnd w:id="6"/>
      <w:bookmarkEnd w:id="8"/>
      <w:r w:rsidRPr="001E6889">
        <w:rPr>
          <w:color w:val="000000" w:themeColor="text1"/>
          <w:sz w:val="24"/>
          <w:szCs w:val="24"/>
        </w:rPr>
        <w:t>Results</w:t>
      </w:r>
    </w:p>
    <w:p w14:paraId="147F72B4" w14:textId="79B71FCF" w:rsidR="00AA6666" w:rsidRPr="001E6889" w:rsidRDefault="007705ED" w:rsidP="00AA6666">
      <w:pPr>
        <w:pStyle w:val="FirstParagraph"/>
        <w:spacing w:before="0" w:after="0" w:line="480" w:lineRule="auto"/>
        <w:ind w:firstLine="720"/>
        <w:rPr>
          <w:color w:val="000000" w:themeColor="text1"/>
        </w:rPr>
      </w:pPr>
      <w:r w:rsidRPr="001E6889">
        <w:rPr>
          <w:color w:val="000000" w:themeColor="text1"/>
        </w:rPr>
        <w:t xml:space="preserve">The patient cohort was predominantly female, </w:t>
      </w:r>
      <w:r w:rsidR="0072720C">
        <w:rPr>
          <w:color w:val="000000" w:themeColor="text1"/>
        </w:rPr>
        <w:t xml:space="preserve">with females </w:t>
      </w:r>
      <w:r w:rsidRPr="001E6889">
        <w:rPr>
          <w:color w:val="000000" w:themeColor="text1"/>
        </w:rPr>
        <w:t xml:space="preserve">comprising 77% of the sample. The mean age of participants was 40.9 years. The average Beighton Score recorded was approximately 3.8, consistent with baseline hypermobility expectations for individuals </w:t>
      </w:r>
      <w:r w:rsidRPr="001E6889">
        <w:rPr>
          <w:color w:val="000000" w:themeColor="text1"/>
        </w:rPr>
        <w:lastRenderedPageBreak/>
        <w:t>attending a hip mobility clinic</w:t>
      </w:r>
      <w:r w:rsidR="00AA6666">
        <w:rPr>
          <w:color w:val="000000" w:themeColor="text1"/>
        </w:rPr>
        <w:t xml:space="preserve">. </w:t>
      </w:r>
      <w:r w:rsidR="00AA6666" w:rsidRPr="001E6889">
        <w:rPr>
          <w:color w:val="000000" w:themeColor="text1"/>
        </w:rPr>
        <w:t>Table 1 provides an overview of the sample’s demographics and characteristics prior to any imputation.</w:t>
      </w:r>
    </w:p>
    <w:p w14:paraId="78601C8F" w14:textId="77777777" w:rsidR="00AA6666" w:rsidRPr="001E6889" w:rsidRDefault="00AA6666" w:rsidP="00AA6666">
      <w:pPr>
        <w:pStyle w:val="BodyText"/>
        <w:spacing w:before="0" w:after="0" w:line="480" w:lineRule="auto"/>
        <w:rPr>
          <w:color w:val="000000" w:themeColor="text1"/>
        </w:rPr>
      </w:pPr>
    </w:p>
    <w:p w14:paraId="1A348A7F" w14:textId="77777777" w:rsidR="00AA6666" w:rsidRPr="001E6889" w:rsidRDefault="00AA6666" w:rsidP="00AA6666">
      <w:pPr>
        <w:pStyle w:val="TableCaption"/>
        <w:spacing w:after="0" w:line="480" w:lineRule="auto"/>
        <w:rPr>
          <w:color w:val="000000" w:themeColor="text1"/>
        </w:rPr>
      </w:pPr>
      <w:r w:rsidRPr="001E6889">
        <w:rPr>
          <w:color w:val="000000" w:themeColor="text1"/>
        </w:rPr>
        <w:t>Table 1: Patient Characteristics (N=445)</w:t>
      </w:r>
    </w:p>
    <w:tbl>
      <w:tblPr>
        <w:tblStyle w:val="Table"/>
        <w:tblW w:w="5000" w:type="pct"/>
        <w:tblLook w:val="0060" w:firstRow="1" w:lastRow="1" w:firstColumn="0" w:lastColumn="0" w:noHBand="0" w:noVBand="0"/>
      </w:tblPr>
      <w:tblGrid>
        <w:gridCol w:w="6318"/>
        <w:gridCol w:w="3042"/>
      </w:tblGrid>
      <w:tr w:rsidR="00AA6666" w:rsidRPr="00EC3EB8" w14:paraId="7F070FE9"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14:paraId="6CB1D704" w14:textId="77777777" w:rsidR="00AA6666" w:rsidRPr="001E6889" w:rsidRDefault="00AA6666">
            <w:pPr>
              <w:pStyle w:val="Compact"/>
              <w:spacing w:before="0" w:after="0" w:line="480" w:lineRule="auto"/>
              <w:rPr>
                <w:color w:val="000000" w:themeColor="text1"/>
              </w:rPr>
            </w:pPr>
            <w:r w:rsidRPr="001E6889">
              <w:rPr>
                <w:color w:val="000000" w:themeColor="text1"/>
              </w:rPr>
              <w:t>Variable</w:t>
            </w:r>
          </w:p>
        </w:tc>
        <w:tc>
          <w:tcPr>
            <w:tcW w:w="0" w:type="auto"/>
          </w:tcPr>
          <w:p w14:paraId="7D92AD16" w14:textId="77777777" w:rsidR="00AA6666" w:rsidRPr="001E6889" w:rsidRDefault="00AA6666">
            <w:pPr>
              <w:pStyle w:val="Compact"/>
              <w:spacing w:before="0" w:after="0" w:line="480" w:lineRule="auto"/>
              <w:rPr>
                <w:color w:val="000000" w:themeColor="text1"/>
              </w:rPr>
            </w:pPr>
          </w:p>
        </w:tc>
      </w:tr>
      <w:tr w:rsidR="00AA6666" w:rsidRPr="00EC3EB8" w14:paraId="2C3655C1" w14:textId="77777777">
        <w:tc>
          <w:tcPr>
            <w:tcW w:w="0" w:type="auto"/>
          </w:tcPr>
          <w:p w14:paraId="4CFA65A4" w14:textId="77777777" w:rsidR="00AA6666" w:rsidRPr="001E6889" w:rsidRDefault="00AA6666">
            <w:pPr>
              <w:pStyle w:val="Compact"/>
              <w:spacing w:before="0" w:after="0" w:line="480" w:lineRule="auto"/>
              <w:rPr>
                <w:color w:val="000000" w:themeColor="text1"/>
              </w:rPr>
            </w:pPr>
            <w:r w:rsidRPr="001E6889">
              <w:rPr>
                <w:color w:val="000000" w:themeColor="text1"/>
              </w:rPr>
              <w:t>Female n(%)</w:t>
            </w:r>
          </w:p>
        </w:tc>
        <w:tc>
          <w:tcPr>
            <w:tcW w:w="0" w:type="auto"/>
          </w:tcPr>
          <w:p w14:paraId="3D1A1221" w14:textId="77777777" w:rsidR="00AA6666" w:rsidRPr="001E6889" w:rsidRDefault="00AA6666">
            <w:pPr>
              <w:pStyle w:val="Compact"/>
              <w:spacing w:before="0" w:after="0" w:line="480" w:lineRule="auto"/>
              <w:rPr>
                <w:color w:val="000000" w:themeColor="text1"/>
              </w:rPr>
            </w:pPr>
            <w:r w:rsidRPr="001E6889">
              <w:rPr>
                <w:color w:val="000000" w:themeColor="text1"/>
              </w:rPr>
              <w:t>343(0.77)</w:t>
            </w:r>
          </w:p>
        </w:tc>
      </w:tr>
      <w:tr w:rsidR="00AA6666" w:rsidRPr="00EC3EB8" w14:paraId="50BA388A" w14:textId="77777777">
        <w:tc>
          <w:tcPr>
            <w:tcW w:w="0" w:type="auto"/>
          </w:tcPr>
          <w:p w14:paraId="3B8497D1" w14:textId="77777777" w:rsidR="00AA6666" w:rsidRPr="001E6889" w:rsidRDefault="00AA6666">
            <w:pPr>
              <w:pStyle w:val="Compact"/>
              <w:spacing w:before="0" w:after="0" w:line="480" w:lineRule="auto"/>
              <w:rPr>
                <w:color w:val="000000" w:themeColor="text1"/>
              </w:rPr>
            </w:pPr>
            <w:r w:rsidRPr="001E6889">
              <w:rPr>
                <w:color w:val="000000" w:themeColor="text1"/>
              </w:rPr>
              <w:t>Age</w:t>
            </w:r>
          </w:p>
        </w:tc>
        <w:tc>
          <w:tcPr>
            <w:tcW w:w="0" w:type="auto"/>
          </w:tcPr>
          <w:p w14:paraId="68C10A6F" w14:textId="77777777" w:rsidR="00AA6666" w:rsidRPr="001E6889" w:rsidRDefault="00AA6666">
            <w:pPr>
              <w:pStyle w:val="Compact"/>
              <w:spacing w:before="0" w:after="0" w:line="480" w:lineRule="auto"/>
              <w:rPr>
                <w:color w:val="000000" w:themeColor="text1"/>
              </w:rPr>
            </w:pPr>
            <w:r w:rsidRPr="001E6889">
              <w:rPr>
                <w:color w:val="000000" w:themeColor="text1"/>
              </w:rPr>
              <w:t>40.9(16.47)</w:t>
            </w:r>
          </w:p>
        </w:tc>
      </w:tr>
      <w:tr w:rsidR="00AA6666" w:rsidRPr="00EC3EB8" w14:paraId="2EECE9CC" w14:textId="77777777">
        <w:tc>
          <w:tcPr>
            <w:tcW w:w="0" w:type="auto"/>
          </w:tcPr>
          <w:p w14:paraId="1317D569" w14:textId="77777777" w:rsidR="00AA6666" w:rsidRPr="001E6889" w:rsidRDefault="00AA6666">
            <w:pPr>
              <w:pStyle w:val="Compact"/>
              <w:spacing w:before="0" w:after="0" w:line="480" w:lineRule="auto"/>
              <w:rPr>
                <w:color w:val="000000" w:themeColor="text1"/>
              </w:rPr>
            </w:pPr>
            <w:r w:rsidRPr="001E6889">
              <w:rPr>
                <w:color w:val="000000" w:themeColor="text1"/>
              </w:rPr>
              <w:t>Beighton Score</w:t>
            </w:r>
          </w:p>
        </w:tc>
        <w:tc>
          <w:tcPr>
            <w:tcW w:w="0" w:type="auto"/>
          </w:tcPr>
          <w:p w14:paraId="1462D75E" w14:textId="77777777" w:rsidR="00AA6666" w:rsidRPr="001E6889" w:rsidRDefault="00AA6666">
            <w:pPr>
              <w:pStyle w:val="Compact"/>
              <w:spacing w:before="0" w:after="0" w:line="480" w:lineRule="auto"/>
              <w:rPr>
                <w:color w:val="000000" w:themeColor="text1"/>
              </w:rPr>
            </w:pPr>
            <w:r w:rsidRPr="001E6889">
              <w:rPr>
                <w:color w:val="000000" w:themeColor="text1"/>
              </w:rPr>
              <w:t>3.8(3.2)</w:t>
            </w:r>
          </w:p>
        </w:tc>
      </w:tr>
      <w:tr w:rsidR="00AA6666" w:rsidRPr="00EC3EB8" w14:paraId="26DC50B8" w14:textId="77777777">
        <w:tc>
          <w:tcPr>
            <w:tcW w:w="0" w:type="auto"/>
          </w:tcPr>
          <w:p w14:paraId="51D1F6DF" w14:textId="77777777" w:rsidR="00AA6666" w:rsidRPr="001E6889" w:rsidRDefault="00AA6666">
            <w:pPr>
              <w:pStyle w:val="Compact"/>
              <w:spacing w:before="0" w:after="0" w:line="480" w:lineRule="auto"/>
              <w:rPr>
                <w:color w:val="000000" w:themeColor="text1"/>
              </w:rPr>
            </w:pPr>
            <w:r w:rsidRPr="001E6889">
              <w:rPr>
                <w:color w:val="000000" w:themeColor="text1"/>
              </w:rPr>
              <w:t>Pain Catastrophizing Score</w:t>
            </w:r>
          </w:p>
        </w:tc>
        <w:tc>
          <w:tcPr>
            <w:tcW w:w="0" w:type="auto"/>
          </w:tcPr>
          <w:p w14:paraId="7EF8B8F3" w14:textId="77777777" w:rsidR="00AA6666" w:rsidRPr="001E6889" w:rsidRDefault="00AA6666">
            <w:pPr>
              <w:pStyle w:val="Compact"/>
              <w:spacing w:before="0" w:after="0" w:line="480" w:lineRule="auto"/>
              <w:rPr>
                <w:color w:val="000000" w:themeColor="text1"/>
              </w:rPr>
            </w:pPr>
            <w:r w:rsidRPr="001E6889">
              <w:rPr>
                <w:color w:val="000000" w:themeColor="text1"/>
              </w:rPr>
              <w:t>20.3(13.5)</w:t>
            </w:r>
          </w:p>
        </w:tc>
      </w:tr>
      <w:tr w:rsidR="00AA6666" w:rsidRPr="00EC3EB8" w14:paraId="1CB5906C" w14:textId="77777777">
        <w:tc>
          <w:tcPr>
            <w:tcW w:w="0" w:type="auto"/>
          </w:tcPr>
          <w:p w14:paraId="6D1161DB" w14:textId="77777777" w:rsidR="00AA6666" w:rsidRPr="001E6889" w:rsidRDefault="00AA6666">
            <w:pPr>
              <w:pStyle w:val="Compact"/>
              <w:spacing w:before="0" w:after="0" w:line="480" w:lineRule="auto"/>
              <w:rPr>
                <w:color w:val="000000" w:themeColor="text1"/>
              </w:rPr>
            </w:pPr>
            <w:r w:rsidRPr="001E6889">
              <w:rPr>
                <w:color w:val="000000" w:themeColor="text1"/>
              </w:rPr>
              <w:t>Pain Interference Score</w:t>
            </w:r>
          </w:p>
        </w:tc>
        <w:tc>
          <w:tcPr>
            <w:tcW w:w="0" w:type="auto"/>
          </w:tcPr>
          <w:p w14:paraId="4EE4058B" w14:textId="77777777" w:rsidR="00AA6666" w:rsidRPr="001E6889" w:rsidRDefault="00AA6666">
            <w:pPr>
              <w:pStyle w:val="Compact"/>
              <w:spacing w:before="0" w:after="0" w:line="480" w:lineRule="auto"/>
              <w:rPr>
                <w:color w:val="000000" w:themeColor="text1"/>
              </w:rPr>
            </w:pPr>
            <w:r w:rsidRPr="001E6889">
              <w:rPr>
                <w:color w:val="000000" w:themeColor="text1"/>
              </w:rPr>
              <w:t>63.0(70.2)</w:t>
            </w:r>
          </w:p>
        </w:tc>
      </w:tr>
      <w:tr w:rsidR="00AA6666" w:rsidRPr="00EC3EB8" w14:paraId="1D0D5697" w14:textId="77777777">
        <w:tc>
          <w:tcPr>
            <w:tcW w:w="0" w:type="auto"/>
          </w:tcPr>
          <w:p w14:paraId="7C723A6D" w14:textId="77777777" w:rsidR="00AA6666" w:rsidRPr="001E6889" w:rsidRDefault="00AA6666">
            <w:pPr>
              <w:pStyle w:val="Compact"/>
              <w:spacing w:before="0" w:after="0" w:line="480" w:lineRule="auto"/>
              <w:rPr>
                <w:color w:val="000000" w:themeColor="text1"/>
              </w:rPr>
            </w:pPr>
            <w:r w:rsidRPr="001E6889">
              <w:rPr>
                <w:color w:val="000000" w:themeColor="text1"/>
              </w:rPr>
              <w:t>Pain Self-efficacy Score</w:t>
            </w:r>
          </w:p>
        </w:tc>
        <w:tc>
          <w:tcPr>
            <w:tcW w:w="0" w:type="auto"/>
          </w:tcPr>
          <w:p w14:paraId="45385478" w14:textId="77777777" w:rsidR="00AA6666" w:rsidRPr="001E6889" w:rsidRDefault="00AA6666">
            <w:pPr>
              <w:pStyle w:val="Compact"/>
              <w:spacing w:before="0" w:after="0" w:line="480" w:lineRule="auto"/>
              <w:rPr>
                <w:color w:val="000000" w:themeColor="text1"/>
              </w:rPr>
            </w:pPr>
            <w:r w:rsidRPr="001E6889">
              <w:rPr>
                <w:color w:val="000000" w:themeColor="text1"/>
              </w:rPr>
              <w:t>6.0(3.5)</w:t>
            </w:r>
          </w:p>
        </w:tc>
      </w:tr>
      <w:tr w:rsidR="00AA6666" w:rsidRPr="00EC3EB8" w14:paraId="06B4002F" w14:textId="77777777">
        <w:tc>
          <w:tcPr>
            <w:tcW w:w="0" w:type="auto"/>
            <w:gridSpan w:val="2"/>
          </w:tcPr>
          <w:p w14:paraId="23BF8DEA" w14:textId="77777777" w:rsidR="00AA6666" w:rsidRPr="001E6889" w:rsidRDefault="00AA6666">
            <w:pPr>
              <w:pStyle w:val="Compact"/>
              <w:spacing w:before="0" w:after="0" w:line="480" w:lineRule="auto"/>
              <w:rPr>
                <w:color w:val="000000" w:themeColor="text1"/>
              </w:rPr>
            </w:pPr>
            <w:r w:rsidRPr="001E6889">
              <w:rPr>
                <w:color w:val="000000" w:themeColor="text1"/>
                <w:vertAlign w:val="superscript"/>
              </w:rPr>
              <w:t>a</w:t>
            </w:r>
            <w:r w:rsidRPr="001E6889">
              <w:rPr>
                <w:color w:val="000000" w:themeColor="text1"/>
              </w:rPr>
              <w:t xml:space="preserve"> All variables are mean (SD) unless otherwise noted.</w:t>
            </w:r>
          </w:p>
        </w:tc>
      </w:tr>
    </w:tbl>
    <w:p w14:paraId="78F97160" w14:textId="77777777" w:rsidR="00AA6666" w:rsidRPr="00AA6666" w:rsidRDefault="00AA6666" w:rsidP="00AA6666">
      <w:pPr>
        <w:pStyle w:val="BodyText"/>
      </w:pPr>
    </w:p>
    <w:p w14:paraId="3FCA0320" w14:textId="6F8B57E6" w:rsidR="00FE4E53" w:rsidRPr="005B241C" w:rsidRDefault="00FE4E53" w:rsidP="00FE4E53">
      <w:pPr>
        <w:pStyle w:val="BodyText"/>
        <w:spacing w:before="0" w:after="0" w:line="480" w:lineRule="auto"/>
        <w:ind w:firstLine="720"/>
        <w:rPr>
          <w:color w:val="000000" w:themeColor="text1"/>
        </w:rPr>
      </w:pPr>
      <w:r w:rsidRPr="005B241C">
        <w:rPr>
          <w:color w:val="000000" w:themeColor="text1"/>
        </w:rPr>
        <w:t xml:space="preserve">Table 2 presents the correlation coefficients among the variables examined in this study. The analysis revealed minimal associations between the Beighton Score and the three pain-related measures: Pain Catastrophizing Score (PCS Total Score; </w:t>
      </w:r>
      <m:oMath>
        <m:r>
          <w:rPr>
            <w:rFonts w:ascii="Cambria Math" w:hAnsi="Cambria Math"/>
            <w:color w:val="000000" w:themeColor="text1"/>
          </w:rPr>
          <m:t>ρ</m:t>
        </m:r>
        <m:r>
          <m:rPr>
            <m:sty m:val="p"/>
          </m:rPr>
          <w:rPr>
            <w:rFonts w:ascii="Cambria Math" w:hAnsi="Cambria Math"/>
            <w:color w:val="000000" w:themeColor="text1"/>
          </w:rPr>
          <m:t>=</m:t>
        </m:r>
        <m:r>
          <w:rPr>
            <w:rFonts w:ascii="Cambria Math" w:hAnsi="Cambria Math"/>
            <w:color w:val="000000" w:themeColor="text1"/>
          </w:rPr>
          <m:t>0.005</m:t>
        </m:r>
      </m:oMath>
      <w:r w:rsidRPr="005B241C">
        <w:rPr>
          <w:color w:val="000000" w:themeColor="text1"/>
        </w:rPr>
        <w:t xml:space="preserve">), Pain Interference (PROMIS.PI; </w:t>
      </w:r>
      <m:oMath>
        <m:r>
          <w:rPr>
            <w:rFonts w:ascii="Cambria Math" w:hAnsi="Cambria Math"/>
            <w:color w:val="000000" w:themeColor="text1"/>
          </w:rPr>
          <m:t>ρ</m:t>
        </m:r>
        <m:r>
          <m:rPr>
            <m:sty m:val="p"/>
          </m:rPr>
          <w:rPr>
            <w:rFonts w:ascii="Cambria Math" w:hAnsi="Cambria Math"/>
            <w:color w:val="000000" w:themeColor="text1"/>
          </w:rPr>
          <m:t>=</m:t>
        </m:r>
        <m:r>
          <w:rPr>
            <w:rFonts w:ascii="Cambria Math" w:hAnsi="Cambria Math"/>
            <w:color w:val="000000" w:themeColor="text1"/>
          </w:rPr>
          <m:t>0.02</m:t>
        </m:r>
      </m:oMath>
      <w:r w:rsidRPr="005B241C">
        <w:rPr>
          <w:color w:val="000000" w:themeColor="text1"/>
        </w:rPr>
        <w:t xml:space="preserve">), and Pain Self-Efficacy (PSEQ; </w:t>
      </w:r>
      <m:oMath>
        <m:r>
          <w:rPr>
            <w:rFonts w:ascii="Cambria Math" w:hAnsi="Cambria Math"/>
            <w:color w:val="000000" w:themeColor="text1"/>
          </w:rPr>
          <m:t>ρ</m:t>
        </m:r>
        <m:r>
          <m:rPr>
            <m:sty m:val="p"/>
          </m:rPr>
          <w:rPr>
            <w:rFonts w:ascii="Cambria Math" w:hAnsi="Cambria Math"/>
            <w:color w:val="000000" w:themeColor="text1"/>
          </w:rPr>
          <m:t>=</m:t>
        </m:r>
        <m:r>
          <w:rPr>
            <w:rFonts w:ascii="Cambria Math" w:hAnsi="Cambria Math"/>
            <w:color w:val="000000" w:themeColor="text1"/>
          </w:rPr>
          <m:t>0.11</m:t>
        </m:r>
      </m:oMath>
      <w:r w:rsidRPr="005B241C">
        <w:rPr>
          <w:color w:val="000000" w:themeColor="text1"/>
        </w:rPr>
        <w:t xml:space="preserve">). In contrast, significant correlations were observed among the pain-related variables themselves. Specifically, a moderately positive correlation </w:t>
      </w:r>
      <w:r>
        <w:rPr>
          <w:color w:val="000000" w:themeColor="text1"/>
        </w:rPr>
        <w:t xml:space="preserve">was identified </w:t>
      </w:r>
      <w:r w:rsidRPr="005B241C">
        <w:rPr>
          <w:color w:val="000000" w:themeColor="text1"/>
        </w:rPr>
        <w:t>between PCS and PROMIS.PI (</w:t>
      </w:r>
      <m:oMath>
        <m:r>
          <w:rPr>
            <w:rFonts w:ascii="Cambria Math" w:hAnsi="Cambria Math"/>
            <w:color w:val="000000" w:themeColor="text1"/>
          </w:rPr>
          <m:t>ρ</m:t>
        </m:r>
        <m:r>
          <m:rPr>
            <m:sty m:val="p"/>
          </m:rPr>
          <w:rPr>
            <w:rFonts w:ascii="Cambria Math" w:hAnsi="Cambria Math"/>
            <w:color w:val="000000" w:themeColor="text1"/>
          </w:rPr>
          <m:t>=</m:t>
        </m:r>
        <m:r>
          <w:rPr>
            <w:rFonts w:ascii="Cambria Math" w:hAnsi="Cambria Math"/>
            <w:color w:val="000000" w:themeColor="text1"/>
          </w:rPr>
          <m:t>0.51</m:t>
        </m:r>
      </m:oMath>
      <w:r w:rsidRPr="005B241C">
        <w:rPr>
          <w:color w:val="000000" w:themeColor="text1"/>
        </w:rPr>
        <w:t>), a slightly weaker negative correlation between PSEQ and PCS (</w:t>
      </w:r>
      <m:oMath>
        <m:r>
          <w:rPr>
            <w:rFonts w:ascii="Cambria Math" w:hAnsi="Cambria Math"/>
            <w:color w:val="000000" w:themeColor="text1"/>
          </w:rPr>
          <m:t>ρ</m:t>
        </m:r>
        <m:r>
          <m:rPr>
            <m:sty m:val="p"/>
          </m:rPr>
          <w:rPr>
            <w:rFonts w:ascii="Cambria Math" w:hAnsi="Cambria Math"/>
            <w:color w:val="000000" w:themeColor="text1"/>
          </w:rPr>
          <m:t>=-</m:t>
        </m:r>
        <m:r>
          <w:rPr>
            <w:rFonts w:ascii="Cambria Math" w:hAnsi="Cambria Math"/>
            <w:color w:val="000000" w:themeColor="text1"/>
          </w:rPr>
          <m:t>0.42</m:t>
        </m:r>
      </m:oMath>
      <w:r w:rsidRPr="005B241C">
        <w:rPr>
          <w:color w:val="000000" w:themeColor="text1"/>
        </w:rPr>
        <w:t>), and a stronger negative correlation between PROMIS.PI and PSEQ (</w:t>
      </w:r>
      <m:oMath>
        <m:r>
          <w:rPr>
            <w:rFonts w:ascii="Cambria Math" w:hAnsi="Cambria Math"/>
            <w:color w:val="000000" w:themeColor="text1"/>
          </w:rPr>
          <m:t>ρ</m:t>
        </m:r>
        <m:r>
          <m:rPr>
            <m:sty m:val="p"/>
          </m:rPr>
          <w:rPr>
            <w:rFonts w:ascii="Cambria Math" w:hAnsi="Cambria Math"/>
            <w:color w:val="000000" w:themeColor="text1"/>
          </w:rPr>
          <m:t>=-</m:t>
        </m:r>
        <m:r>
          <w:rPr>
            <w:rFonts w:ascii="Cambria Math" w:hAnsi="Cambria Math"/>
            <w:color w:val="000000" w:themeColor="text1"/>
          </w:rPr>
          <m:t>0.59</m:t>
        </m:r>
      </m:oMath>
      <w:r w:rsidRPr="005B241C">
        <w:rPr>
          <w:color w:val="000000" w:themeColor="text1"/>
        </w:rPr>
        <w:t>).</w:t>
      </w:r>
    </w:p>
    <w:p w14:paraId="7FAAE132" w14:textId="77777777" w:rsidR="002A11EE" w:rsidRPr="001E6889" w:rsidRDefault="002A11EE" w:rsidP="001E6889">
      <w:pPr>
        <w:pStyle w:val="BodyText"/>
        <w:spacing w:before="0" w:after="0" w:line="480" w:lineRule="auto"/>
        <w:rPr>
          <w:color w:val="000000" w:themeColor="text1"/>
        </w:rPr>
      </w:pPr>
    </w:p>
    <w:p w14:paraId="6D7D22DE" w14:textId="77777777" w:rsidR="005546F0" w:rsidRPr="001E6889" w:rsidRDefault="007705ED" w:rsidP="001E6889">
      <w:pPr>
        <w:pStyle w:val="TableCaption"/>
        <w:spacing w:after="0" w:line="480" w:lineRule="auto"/>
        <w:rPr>
          <w:color w:val="000000" w:themeColor="text1"/>
        </w:rPr>
      </w:pPr>
      <w:r w:rsidRPr="001E6889">
        <w:rPr>
          <w:color w:val="000000" w:themeColor="text1"/>
        </w:rPr>
        <w:lastRenderedPageBreak/>
        <w:t>Table 2: Correlation Matrix</w:t>
      </w:r>
    </w:p>
    <w:tbl>
      <w:tblPr>
        <w:tblStyle w:val="Table"/>
        <w:tblW w:w="5000" w:type="pct"/>
        <w:tblLook w:val="0020" w:firstRow="1" w:lastRow="0" w:firstColumn="0" w:lastColumn="0" w:noHBand="0" w:noVBand="0"/>
      </w:tblPr>
      <w:tblGrid>
        <w:gridCol w:w="2117"/>
        <w:gridCol w:w="814"/>
        <w:gridCol w:w="1142"/>
        <w:gridCol w:w="2116"/>
        <w:gridCol w:w="1766"/>
        <w:gridCol w:w="1405"/>
      </w:tblGrid>
      <w:tr w:rsidR="00EC3EB8" w:rsidRPr="00EC3EB8" w14:paraId="6C21E47F" w14:textId="77777777" w:rsidTr="002A11EE">
        <w:trPr>
          <w:cnfStyle w:val="100000000000" w:firstRow="1" w:lastRow="0" w:firstColumn="0" w:lastColumn="0" w:oddVBand="0" w:evenVBand="0" w:oddHBand="0" w:evenHBand="0" w:firstRowFirstColumn="0" w:firstRowLastColumn="0" w:lastRowFirstColumn="0" w:lastRowLastColumn="0"/>
          <w:tblHeader/>
        </w:trPr>
        <w:tc>
          <w:tcPr>
            <w:tcW w:w="0" w:type="auto"/>
          </w:tcPr>
          <w:p w14:paraId="74AF7F3A" w14:textId="77777777" w:rsidR="005546F0" w:rsidRPr="001E6889" w:rsidRDefault="005546F0" w:rsidP="001E6889">
            <w:pPr>
              <w:pStyle w:val="Compact"/>
              <w:spacing w:before="0" w:after="0" w:line="480" w:lineRule="auto"/>
              <w:rPr>
                <w:color w:val="000000" w:themeColor="text1"/>
              </w:rPr>
            </w:pPr>
          </w:p>
        </w:tc>
        <w:tc>
          <w:tcPr>
            <w:tcW w:w="435" w:type="pct"/>
          </w:tcPr>
          <w:p w14:paraId="0BB0D985" w14:textId="77777777" w:rsidR="005546F0" w:rsidRPr="001E6889" w:rsidRDefault="007705ED" w:rsidP="001E6889">
            <w:pPr>
              <w:pStyle w:val="Compact"/>
              <w:spacing w:before="0" w:after="0" w:line="480" w:lineRule="auto"/>
              <w:rPr>
                <w:color w:val="000000" w:themeColor="text1"/>
              </w:rPr>
            </w:pPr>
            <w:r w:rsidRPr="001E6889">
              <w:rPr>
                <w:color w:val="000000" w:themeColor="text1"/>
              </w:rPr>
              <w:t>Age</w:t>
            </w:r>
          </w:p>
        </w:tc>
        <w:tc>
          <w:tcPr>
            <w:tcW w:w="610" w:type="pct"/>
          </w:tcPr>
          <w:p w14:paraId="1A958A20" w14:textId="77777777" w:rsidR="005546F0" w:rsidRPr="001E6889" w:rsidRDefault="007705ED" w:rsidP="001E6889">
            <w:pPr>
              <w:pStyle w:val="Compact"/>
              <w:spacing w:before="0" w:after="0" w:line="480" w:lineRule="auto"/>
              <w:rPr>
                <w:color w:val="000000" w:themeColor="text1"/>
              </w:rPr>
            </w:pPr>
            <w:r w:rsidRPr="001E6889">
              <w:rPr>
                <w:color w:val="000000" w:themeColor="text1"/>
              </w:rPr>
              <w:t>Beighton Score</w:t>
            </w:r>
          </w:p>
        </w:tc>
        <w:tc>
          <w:tcPr>
            <w:tcW w:w="0" w:type="auto"/>
          </w:tcPr>
          <w:p w14:paraId="75E0BA0D"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Catastrophizing Score</w:t>
            </w:r>
          </w:p>
        </w:tc>
        <w:tc>
          <w:tcPr>
            <w:tcW w:w="0" w:type="auto"/>
          </w:tcPr>
          <w:p w14:paraId="494E690D"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Interference Score</w:t>
            </w:r>
          </w:p>
        </w:tc>
        <w:tc>
          <w:tcPr>
            <w:tcW w:w="0" w:type="auto"/>
          </w:tcPr>
          <w:p w14:paraId="6020F9F4"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Self-Efficacy Score</w:t>
            </w:r>
          </w:p>
        </w:tc>
      </w:tr>
      <w:tr w:rsidR="00EC3EB8" w:rsidRPr="00EC3EB8" w14:paraId="114FD39F" w14:textId="77777777" w:rsidTr="002A11EE">
        <w:tc>
          <w:tcPr>
            <w:tcW w:w="0" w:type="auto"/>
          </w:tcPr>
          <w:p w14:paraId="6B47DAB0" w14:textId="77777777" w:rsidR="005546F0" w:rsidRPr="001E6889" w:rsidRDefault="007705ED" w:rsidP="001E6889">
            <w:pPr>
              <w:pStyle w:val="Compact"/>
              <w:spacing w:before="0" w:after="0" w:line="480" w:lineRule="auto"/>
              <w:rPr>
                <w:color w:val="000000" w:themeColor="text1"/>
              </w:rPr>
            </w:pPr>
            <w:r w:rsidRPr="001E6889">
              <w:rPr>
                <w:color w:val="000000" w:themeColor="text1"/>
              </w:rPr>
              <w:t>Age</w:t>
            </w:r>
          </w:p>
        </w:tc>
        <w:tc>
          <w:tcPr>
            <w:tcW w:w="435" w:type="pct"/>
          </w:tcPr>
          <w:p w14:paraId="3E9D8A33" w14:textId="77777777" w:rsidR="005546F0" w:rsidRPr="001E6889" w:rsidRDefault="007705ED" w:rsidP="001E6889">
            <w:pPr>
              <w:pStyle w:val="Compact"/>
              <w:spacing w:before="0" w:after="0" w:line="480" w:lineRule="auto"/>
              <w:rPr>
                <w:color w:val="000000" w:themeColor="text1"/>
              </w:rPr>
            </w:pPr>
            <w:r w:rsidRPr="001E6889">
              <w:rPr>
                <w:color w:val="000000" w:themeColor="text1"/>
              </w:rPr>
              <w:t>1.00</w:t>
            </w:r>
          </w:p>
        </w:tc>
        <w:tc>
          <w:tcPr>
            <w:tcW w:w="610" w:type="pct"/>
          </w:tcPr>
          <w:p w14:paraId="3CCB8E89"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-0.30</w:t>
            </w:r>
          </w:p>
        </w:tc>
        <w:tc>
          <w:tcPr>
            <w:tcW w:w="0" w:type="auto"/>
          </w:tcPr>
          <w:p w14:paraId="6827E699"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-0.15</w:t>
            </w:r>
          </w:p>
        </w:tc>
        <w:tc>
          <w:tcPr>
            <w:tcW w:w="0" w:type="auto"/>
          </w:tcPr>
          <w:p w14:paraId="5DC66AB3"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0.16</w:t>
            </w:r>
          </w:p>
        </w:tc>
        <w:tc>
          <w:tcPr>
            <w:tcW w:w="0" w:type="auto"/>
          </w:tcPr>
          <w:p w14:paraId="1FF83D2E"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-0.09</w:t>
            </w:r>
          </w:p>
        </w:tc>
      </w:tr>
      <w:tr w:rsidR="00EC3EB8" w:rsidRPr="00EC3EB8" w14:paraId="4B29016D" w14:textId="77777777" w:rsidTr="002A11EE">
        <w:tc>
          <w:tcPr>
            <w:tcW w:w="0" w:type="auto"/>
          </w:tcPr>
          <w:p w14:paraId="3E76404C" w14:textId="77777777" w:rsidR="005546F0" w:rsidRPr="001E6889" w:rsidRDefault="007705ED" w:rsidP="001E6889">
            <w:pPr>
              <w:pStyle w:val="Compact"/>
              <w:spacing w:before="0" w:after="0" w:line="480" w:lineRule="auto"/>
              <w:rPr>
                <w:color w:val="000000" w:themeColor="text1"/>
              </w:rPr>
            </w:pPr>
            <w:r w:rsidRPr="001E6889">
              <w:rPr>
                <w:color w:val="000000" w:themeColor="text1"/>
              </w:rPr>
              <w:t>Beighton Score</w:t>
            </w:r>
          </w:p>
        </w:tc>
        <w:tc>
          <w:tcPr>
            <w:tcW w:w="435" w:type="pct"/>
          </w:tcPr>
          <w:p w14:paraId="598D6CAA"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-0.30</w:t>
            </w:r>
          </w:p>
        </w:tc>
        <w:tc>
          <w:tcPr>
            <w:tcW w:w="610" w:type="pct"/>
          </w:tcPr>
          <w:p w14:paraId="218E936C" w14:textId="77777777" w:rsidR="005546F0" w:rsidRPr="001E6889" w:rsidRDefault="007705ED" w:rsidP="001E6889">
            <w:pPr>
              <w:pStyle w:val="Compact"/>
              <w:spacing w:before="0" w:after="0" w:line="480" w:lineRule="auto"/>
              <w:rPr>
                <w:color w:val="000000" w:themeColor="text1"/>
              </w:rPr>
            </w:pPr>
            <w:r w:rsidRPr="001E6889">
              <w:rPr>
                <w:color w:val="000000" w:themeColor="text1"/>
              </w:rPr>
              <w:t>1.00</w:t>
            </w:r>
          </w:p>
        </w:tc>
        <w:tc>
          <w:tcPr>
            <w:tcW w:w="0" w:type="auto"/>
          </w:tcPr>
          <w:p w14:paraId="75BA4BA8"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0.00</w:t>
            </w:r>
          </w:p>
        </w:tc>
        <w:tc>
          <w:tcPr>
            <w:tcW w:w="0" w:type="auto"/>
          </w:tcPr>
          <w:p w14:paraId="06F5596E"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0.02</w:t>
            </w:r>
          </w:p>
        </w:tc>
        <w:tc>
          <w:tcPr>
            <w:tcW w:w="0" w:type="auto"/>
          </w:tcPr>
          <w:p w14:paraId="0D748BEF"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0.11</w:t>
            </w:r>
          </w:p>
        </w:tc>
      </w:tr>
      <w:tr w:rsidR="00EC3EB8" w:rsidRPr="00EC3EB8" w14:paraId="534A52A5" w14:textId="77777777" w:rsidTr="002A11EE">
        <w:tc>
          <w:tcPr>
            <w:tcW w:w="0" w:type="auto"/>
          </w:tcPr>
          <w:p w14:paraId="7F2895E0"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Catastrophizing Score</w:t>
            </w:r>
          </w:p>
        </w:tc>
        <w:tc>
          <w:tcPr>
            <w:tcW w:w="435" w:type="pct"/>
          </w:tcPr>
          <w:p w14:paraId="530AA610"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-0.15</w:t>
            </w:r>
          </w:p>
        </w:tc>
        <w:tc>
          <w:tcPr>
            <w:tcW w:w="610" w:type="pct"/>
          </w:tcPr>
          <w:p w14:paraId="5A919F09"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0.00</w:t>
            </w:r>
          </w:p>
        </w:tc>
        <w:tc>
          <w:tcPr>
            <w:tcW w:w="0" w:type="auto"/>
          </w:tcPr>
          <w:p w14:paraId="1F8EF357" w14:textId="77777777" w:rsidR="005546F0" w:rsidRPr="001E6889" w:rsidRDefault="007705ED" w:rsidP="001E6889">
            <w:pPr>
              <w:pStyle w:val="Compact"/>
              <w:spacing w:before="0" w:after="0" w:line="480" w:lineRule="auto"/>
              <w:rPr>
                <w:color w:val="000000" w:themeColor="text1"/>
              </w:rPr>
            </w:pPr>
            <w:r w:rsidRPr="001E6889">
              <w:rPr>
                <w:color w:val="000000" w:themeColor="text1"/>
              </w:rPr>
              <w:t>1.00</w:t>
            </w:r>
          </w:p>
        </w:tc>
        <w:tc>
          <w:tcPr>
            <w:tcW w:w="0" w:type="auto"/>
          </w:tcPr>
          <w:p w14:paraId="4A1A06A1"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0.51</w:t>
            </w:r>
          </w:p>
        </w:tc>
        <w:tc>
          <w:tcPr>
            <w:tcW w:w="0" w:type="auto"/>
          </w:tcPr>
          <w:p w14:paraId="637D26E7"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-0.42</w:t>
            </w:r>
          </w:p>
        </w:tc>
      </w:tr>
      <w:tr w:rsidR="00EC3EB8" w:rsidRPr="00EC3EB8" w14:paraId="7C16F317" w14:textId="77777777" w:rsidTr="002A11EE">
        <w:tc>
          <w:tcPr>
            <w:tcW w:w="0" w:type="auto"/>
          </w:tcPr>
          <w:p w14:paraId="65515EE7"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Interference Score</w:t>
            </w:r>
          </w:p>
        </w:tc>
        <w:tc>
          <w:tcPr>
            <w:tcW w:w="435" w:type="pct"/>
          </w:tcPr>
          <w:p w14:paraId="7DB2B162"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0.16</w:t>
            </w:r>
          </w:p>
        </w:tc>
        <w:tc>
          <w:tcPr>
            <w:tcW w:w="610" w:type="pct"/>
          </w:tcPr>
          <w:p w14:paraId="4B4C0B44"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0.02</w:t>
            </w:r>
          </w:p>
        </w:tc>
        <w:tc>
          <w:tcPr>
            <w:tcW w:w="0" w:type="auto"/>
          </w:tcPr>
          <w:p w14:paraId="3F59038C"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0.51</w:t>
            </w:r>
          </w:p>
        </w:tc>
        <w:tc>
          <w:tcPr>
            <w:tcW w:w="0" w:type="auto"/>
          </w:tcPr>
          <w:p w14:paraId="54E9F583" w14:textId="77777777" w:rsidR="005546F0" w:rsidRPr="001E6889" w:rsidRDefault="007705ED" w:rsidP="001E6889">
            <w:pPr>
              <w:pStyle w:val="Compact"/>
              <w:spacing w:before="0" w:after="0" w:line="480" w:lineRule="auto"/>
              <w:rPr>
                <w:color w:val="000000" w:themeColor="text1"/>
              </w:rPr>
            </w:pPr>
            <w:r w:rsidRPr="001E6889">
              <w:rPr>
                <w:color w:val="000000" w:themeColor="text1"/>
              </w:rPr>
              <w:t>1.00</w:t>
            </w:r>
          </w:p>
        </w:tc>
        <w:tc>
          <w:tcPr>
            <w:tcW w:w="0" w:type="auto"/>
          </w:tcPr>
          <w:p w14:paraId="2E7C92C2"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-0.59</w:t>
            </w:r>
          </w:p>
        </w:tc>
      </w:tr>
      <w:tr w:rsidR="00EC3EB8" w:rsidRPr="00EC3EB8" w14:paraId="5A600227" w14:textId="77777777" w:rsidTr="002A11EE">
        <w:tc>
          <w:tcPr>
            <w:tcW w:w="0" w:type="auto"/>
          </w:tcPr>
          <w:p w14:paraId="1778B8A9"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Self-Efficacy Score</w:t>
            </w:r>
          </w:p>
        </w:tc>
        <w:tc>
          <w:tcPr>
            <w:tcW w:w="435" w:type="pct"/>
          </w:tcPr>
          <w:p w14:paraId="0D50F640"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-0.09</w:t>
            </w:r>
          </w:p>
        </w:tc>
        <w:tc>
          <w:tcPr>
            <w:tcW w:w="610" w:type="pct"/>
          </w:tcPr>
          <w:p w14:paraId="7603BA55"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0.11</w:t>
            </w:r>
          </w:p>
        </w:tc>
        <w:tc>
          <w:tcPr>
            <w:tcW w:w="0" w:type="auto"/>
          </w:tcPr>
          <w:p w14:paraId="08103ADB"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-0.42</w:t>
            </w:r>
          </w:p>
        </w:tc>
        <w:tc>
          <w:tcPr>
            <w:tcW w:w="0" w:type="auto"/>
          </w:tcPr>
          <w:p w14:paraId="71AE8D4A"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-0.59</w:t>
            </w:r>
          </w:p>
        </w:tc>
        <w:tc>
          <w:tcPr>
            <w:tcW w:w="0" w:type="auto"/>
          </w:tcPr>
          <w:p w14:paraId="506F56C1" w14:textId="77777777" w:rsidR="005546F0" w:rsidRPr="001E6889" w:rsidRDefault="007705ED" w:rsidP="001E6889">
            <w:pPr>
              <w:pStyle w:val="Compact"/>
              <w:spacing w:before="0" w:after="0" w:line="480" w:lineRule="auto"/>
              <w:rPr>
                <w:color w:val="000000" w:themeColor="text1"/>
              </w:rPr>
            </w:pPr>
            <w:r w:rsidRPr="001E6889">
              <w:rPr>
                <w:color w:val="000000" w:themeColor="text1"/>
              </w:rPr>
              <w:t>1.00</w:t>
            </w:r>
          </w:p>
        </w:tc>
      </w:tr>
    </w:tbl>
    <w:p w14:paraId="3FDEBE73" w14:textId="77777777" w:rsidR="002A11EE" w:rsidRPr="001E6889" w:rsidRDefault="002A11EE" w:rsidP="001E6889">
      <w:pPr>
        <w:pStyle w:val="BodyText"/>
        <w:spacing w:before="0" w:after="0" w:line="480" w:lineRule="auto"/>
        <w:rPr>
          <w:color w:val="000000" w:themeColor="text1"/>
        </w:rPr>
      </w:pPr>
    </w:p>
    <w:p w14:paraId="3F2BFE87" w14:textId="4FB805DE" w:rsidR="00FE4E53" w:rsidRPr="00B702D7" w:rsidRDefault="00FE4E53" w:rsidP="00FE4E53">
      <w:pPr>
        <w:pStyle w:val="BodyText"/>
        <w:spacing w:before="0" w:after="0" w:line="480" w:lineRule="auto"/>
        <w:ind w:firstLine="720"/>
        <w:rPr>
          <w:color w:val="000000" w:themeColor="text1"/>
        </w:rPr>
      </w:pPr>
      <w:r w:rsidRPr="00B702D7">
        <w:rPr>
          <w:color w:val="000000" w:themeColor="text1"/>
        </w:rPr>
        <w:t>A substantial portion of data was missing for three primary variables, with missingness rates ranging from 47% to 64% (see Table 3). No data was missing for the age, gender, or Beighton Score variables. The Fraction of Missing Information (FMI) values for the three psychosocial variables were high, between 0.68 and 0.86, indicating significant information loss necessary for accurate parameter estimation. To address the potential bias introduced by this missing data, which may not be completely random, Multiple Imputation by Chained Equations (MICE) was employed as the imputation technique.</w:t>
      </w:r>
    </w:p>
    <w:p w14:paraId="48395879" w14:textId="77777777" w:rsidR="002A11EE" w:rsidRPr="001E6889" w:rsidRDefault="002A11EE" w:rsidP="001E6889">
      <w:pPr>
        <w:pStyle w:val="BodyText"/>
        <w:spacing w:before="0" w:after="0" w:line="480" w:lineRule="auto"/>
        <w:rPr>
          <w:color w:val="000000" w:themeColor="text1"/>
        </w:rPr>
      </w:pPr>
    </w:p>
    <w:p w14:paraId="0E94DE14" w14:textId="77777777" w:rsidR="005546F0" w:rsidRPr="001E6889" w:rsidRDefault="007705ED" w:rsidP="001E6889">
      <w:pPr>
        <w:pStyle w:val="TableCaption"/>
        <w:spacing w:after="0" w:line="480" w:lineRule="auto"/>
        <w:rPr>
          <w:color w:val="000000" w:themeColor="text1"/>
        </w:rPr>
      </w:pPr>
      <w:r w:rsidRPr="001E6889">
        <w:rPr>
          <w:color w:val="000000" w:themeColor="text1"/>
        </w:rPr>
        <w:lastRenderedPageBreak/>
        <w:t>Table 3: Missing Data Table</w:t>
      </w:r>
    </w:p>
    <w:tbl>
      <w:tblPr>
        <w:tblStyle w:val="Table"/>
        <w:tblW w:w="0" w:type="auto"/>
        <w:tblLook w:val="0020" w:firstRow="1" w:lastRow="0" w:firstColumn="0" w:lastColumn="0" w:noHBand="0" w:noVBand="0"/>
      </w:tblPr>
      <w:tblGrid>
        <w:gridCol w:w="3553"/>
        <w:gridCol w:w="1195"/>
        <w:gridCol w:w="2193"/>
        <w:gridCol w:w="664"/>
      </w:tblGrid>
      <w:tr w:rsidR="00EC3EB8" w:rsidRPr="00EC3EB8" w14:paraId="6B9BBEBA" w14:textId="77777777" w:rsidTr="005546F0">
        <w:trPr>
          <w:cnfStyle w:val="100000000000" w:firstRow="1" w:lastRow="0" w:firstColumn="0" w:lastColumn="0" w:oddVBand="0" w:evenVBand="0" w:oddHBand="0" w:evenHBand="0" w:firstRowFirstColumn="0" w:firstRowLastColumn="0" w:lastRowFirstColumn="0" w:lastRowLastColumn="0"/>
          <w:tblHeader/>
        </w:trPr>
        <w:tc>
          <w:tcPr>
            <w:tcW w:w="0" w:type="auto"/>
          </w:tcPr>
          <w:p w14:paraId="00186A81" w14:textId="77777777" w:rsidR="005546F0" w:rsidRPr="001E6889" w:rsidRDefault="005546F0" w:rsidP="001E6889">
            <w:pPr>
              <w:pStyle w:val="Compact"/>
              <w:spacing w:before="0" w:after="0" w:line="480" w:lineRule="auto"/>
              <w:rPr>
                <w:color w:val="000000" w:themeColor="text1"/>
              </w:rPr>
            </w:pPr>
          </w:p>
        </w:tc>
        <w:tc>
          <w:tcPr>
            <w:tcW w:w="0" w:type="auto"/>
          </w:tcPr>
          <w:p w14:paraId="43BA840C" w14:textId="77777777" w:rsidR="005546F0" w:rsidRPr="001E6889" w:rsidRDefault="007705ED" w:rsidP="001E6889">
            <w:pPr>
              <w:pStyle w:val="Compact"/>
              <w:spacing w:before="0" w:after="0" w:line="480" w:lineRule="auto"/>
              <w:rPr>
                <w:color w:val="000000" w:themeColor="text1"/>
              </w:rPr>
            </w:pPr>
            <w:r w:rsidRPr="001E6889">
              <w:rPr>
                <w:color w:val="000000" w:themeColor="text1"/>
              </w:rPr>
              <w:t>n missing</w:t>
            </w:r>
          </w:p>
        </w:tc>
        <w:tc>
          <w:tcPr>
            <w:tcW w:w="0" w:type="auto"/>
          </w:tcPr>
          <w:p w14:paraId="65688824"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Proportion missing</w:t>
            </w:r>
          </w:p>
        </w:tc>
        <w:tc>
          <w:tcPr>
            <w:tcW w:w="0" w:type="auto"/>
          </w:tcPr>
          <w:p w14:paraId="763BB500" w14:textId="77777777" w:rsidR="005546F0" w:rsidRPr="001E6889" w:rsidRDefault="007705ED" w:rsidP="001E6889">
            <w:pPr>
              <w:pStyle w:val="Compact"/>
              <w:spacing w:before="0" w:after="0" w:line="480" w:lineRule="auto"/>
              <w:rPr>
                <w:color w:val="000000" w:themeColor="text1"/>
              </w:rPr>
            </w:pPr>
            <w:r w:rsidRPr="001E6889">
              <w:rPr>
                <w:color w:val="000000" w:themeColor="text1"/>
              </w:rPr>
              <w:t>FMI</w:t>
            </w:r>
          </w:p>
        </w:tc>
      </w:tr>
      <w:tr w:rsidR="00EC3EB8" w:rsidRPr="00EC3EB8" w14:paraId="1F27612D" w14:textId="77777777">
        <w:tc>
          <w:tcPr>
            <w:tcW w:w="0" w:type="auto"/>
          </w:tcPr>
          <w:p w14:paraId="50F0DDFB"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Catastrophizing Total Score</w:t>
            </w:r>
          </w:p>
        </w:tc>
        <w:tc>
          <w:tcPr>
            <w:tcW w:w="0" w:type="auto"/>
          </w:tcPr>
          <w:p w14:paraId="4380BC20" w14:textId="77777777" w:rsidR="005546F0" w:rsidRPr="001E6889" w:rsidRDefault="007705ED" w:rsidP="001E6889">
            <w:pPr>
              <w:pStyle w:val="Compact"/>
              <w:spacing w:before="0" w:after="0" w:line="480" w:lineRule="auto"/>
              <w:rPr>
                <w:color w:val="000000" w:themeColor="text1"/>
              </w:rPr>
            </w:pPr>
            <w:r w:rsidRPr="001E6889">
              <w:rPr>
                <w:color w:val="000000" w:themeColor="text1"/>
              </w:rPr>
              <w:t>250</w:t>
            </w:r>
          </w:p>
        </w:tc>
        <w:tc>
          <w:tcPr>
            <w:tcW w:w="0" w:type="auto"/>
          </w:tcPr>
          <w:p w14:paraId="3CBDFE94"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0.56</w:t>
            </w:r>
          </w:p>
        </w:tc>
        <w:tc>
          <w:tcPr>
            <w:tcW w:w="0" w:type="auto"/>
          </w:tcPr>
          <w:p w14:paraId="5FDC3D45"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0.68</w:t>
            </w:r>
          </w:p>
        </w:tc>
      </w:tr>
      <w:tr w:rsidR="00EC3EB8" w:rsidRPr="00EC3EB8" w14:paraId="0D3FEAB7" w14:textId="77777777">
        <w:tc>
          <w:tcPr>
            <w:tcW w:w="0" w:type="auto"/>
          </w:tcPr>
          <w:p w14:paraId="44C7BE69"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Interference Score</w:t>
            </w:r>
          </w:p>
        </w:tc>
        <w:tc>
          <w:tcPr>
            <w:tcW w:w="0" w:type="auto"/>
          </w:tcPr>
          <w:p w14:paraId="3DE08B6D" w14:textId="77777777" w:rsidR="005546F0" w:rsidRPr="001E6889" w:rsidRDefault="007705ED" w:rsidP="001E6889">
            <w:pPr>
              <w:pStyle w:val="Compact"/>
              <w:spacing w:before="0" w:after="0" w:line="480" w:lineRule="auto"/>
              <w:rPr>
                <w:color w:val="000000" w:themeColor="text1"/>
              </w:rPr>
            </w:pPr>
            <w:r w:rsidRPr="001E6889">
              <w:rPr>
                <w:color w:val="000000" w:themeColor="text1"/>
              </w:rPr>
              <w:t>286</w:t>
            </w:r>
          </w:p>
        </w:tc>
        <w:tc>
          <w:tcPr>
            <w:tcW w:w="0" w:type="auto"/>
          </w:tcPr>
          <w:p w14:paraId="6A51A0CC"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0.64</w:t>
            </w:r>
          </w:p>
        </w:tc>
        <w:tc>
          <w:tcPr>
            <w:tcW w:w="0" w:type="auto"/>
          </w:tcPr>
          <w:p w14:paraId="5892A7E5"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0.86</w:t>
            </w:r>
          </w:p>
        </w:tc>
      </w:tr>
      <w:tr w:rsidR="00EC3EB8" w:rsidRPr="00EC3EB8" w14:paraId="12531C97" w14:textId="77777777">
        <w:tc>
          <w:tcPr>
            <w:tcW w:w="0" w:type="auto"/>
          </w:tcPr>
          <w:p w14:paraId="681C1EE2"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Self-Efficacy Score</w:t>
            </w:r>
          </w:p>
        </w:tc>
        <w:tc>
          <w:tcPr>
            <w:tcW w:w="0" w:type="auto"/>
          </w:tcPr>
          <w:p w14:paraId="19D9AAFB" w14:textId="77777777" w:rsidR="005546F0" w:rsidRPr="001E6889" w:rsidRDefault="007705ED" w:rsidP="001E6889">
            <w:pPr>
              <w:pStyle w:val="Compact"/>
              <w:spacing w:before="0" w:after="0" w:line="480" w:lineRule="auto"/>
              <w:rPr>
                <w:color w:val="000000" w:themeColor="text1"/>
              </w:rPr>
            </w:pPr>
            <w:r w:rsidRPr="001E6889">
              <w:rPr>
                <w:color w:val="000000" w:themeColor="text1"/>
              </w:rPr>
              <w:t>210</w:t>
            </w:r>
          </w:p>
        </w:tc>
        <w:tc>
          <w:tcPr>
            <w:tcW w:w="0" w:type="auto"/>
          </w:tcPr>
          <w:p w14:paraId="4E8121B8"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0.47</w:t>
            </w:r>
          </w:p>
        </w:tc>
        <w:tc>
          <w:tcPr>
            <w:tcW w:w="0" w:type="auto"/>
          </w:tcPr>
          <w:p w14:paraId="4AF77512"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0.68</w:t>
            </w:r>
          </w:p>
        </w:tc>
      </w:tr>
    </w:tbl>
    <w:p w14:paraId="41F4878C" w14:textId="77777777" w:rsidR="002A11EE" w:rsidRPr="001E6889" w:rsidRDefault="002A11EE" w:rsidP="001E6889">
      <w:pPr>
        <w:pStyle w:val="BodyText"/>
        <w:spacing w:before="0" w:after="0" w:line="480" w:lineRule="auto"/>
        <w:rPr>
          <w:color w:val="000000" w:themeColor="text1"/>
        </w:rPr>
      </w:pPr>
    </w:p>
    <w:p w14:paraId="35C39274" w14:textId="77777777" w:rsidR="00FE4E53" w:rsidRPr="00D216A1" w:rsidRDefault="00FE4E53" w:rsidP="00FE4E53">
      <w:pPr>
        <w:pStyle w:val="BodyText"/>
        <w:spacing w:before="0" w:after="0" w:line="480" w:lineRule="auto"/>
        <w:ind w:firstLine="720"/>
        <w:rPr>
          <w:color w:val="000000" w:themeColor="text1"/>
        </w:rPr>
      </w:pPr>
      <w:r w:rsidRPr="00D216A1">
        <w:rPr>
          <w:color w:val="000000" w:themeColor="text1"/>
        </w:rPr>
        <w:t>Three separate regressions were conducted across two datasets to evaluate the differences in Beighton Score with respect to patient age, gender, and pain-related effects using three distinct metrics as seen in Table 4.</w:t>
      </w:r>
    </w:p>
    <w:p w14:paraId="075033A8" w14:textId="77777777" w:rsidR="002A11EE" w:rsidRPr="001E6889" w:rsidRDefault="002A11EE" w:rsidP="001E6889">
      <w:pPr>
        <w:pStyle w:val="BodyText"/>
        <w:spacing w:before="0" w:after="0" w:line="480" w:lineRule="auto"/>
        <w:rPr>
          <w:color w:val="000000" w:themeColor="text1"/>
        </w:rPr>
      </w:pPr>
    </w:p>
    <w:p w14:paraId="5C1FA2D6" w14:textId="77777777" w:rsidR="005546F0" w:rsidRPr="001E6889" w:rsidRDefault="007705ED" w:rsidP="001E6889">
      <w:pPr>
        <w:pStyle w:val="TableCaption"/>
        <w:spacing w:after="0" w:line="480" w:lineRule="auto"/>
        <w:rPr>
          <w:color w:val="000000" w:themeColor="text1"/>
        </w:rPr>
      </w:pPr>
      <w:r w:rsidRPr="001E6889">
        <w:rPr>
          <w:color w:val="000000" w:themeColor="text1"/>
        </w:rPr>
        <w:t>Table 4: Regression Results</w:t>
      </w:r>
    </w:p>
    <w:tbl>
      <w:tblPr>
        <w:tblStyle w:val="Table"/>
        <w:tblW w:w="0" w:type="auto"/>
        <w:tblLook w:val="0060" w:firstRow="1" w:lastRow="1" w:firstColumn="0" w:lastColumn="0" w:noHBand="0" w:noVBand="0"/>
      </w:tblPr>
      <w:tblGrid>
        <w:gridCol w:w="2479"/>
        <w:gridCol w:w="1822"/>
        <w:gridCol w:w="2146"/>
        <w:gridCol w:w="2913"/>
      </w:tblGrid>
      <w:tr w:rsidR="00EC3EB8" w:rsidRPr="00EC3EB8" w14:paraId="3ACF54C1" w14:textId="77777777" w:rsidTr="005546F0">
        <w:trPr>
          <w:cnfStyle w:val="100000000000" w:firstRow="1" w:lastRow="0" w:firstColumn="0" w:lastColumn="0" w:oddVBand="0" w:evenVBand="0" w:oddHBand="0" w:evenHBand="0" w:firstRowFirstColumn="0" w:firstRowLastColumn="0" w:lastRowFirstColumn="0" w:lastRowLastColumn="0"/>
          <w:tblHeader/>
        </w:trPr>
        <w:tc>
          <w:tcPr>
            <w:tcW w:w="0" w:type="auto"/>
          </w:tcPr>
          <w:p w14:paraId="44B6DFA8" w14:textId="77777777" w:rsidR="005546F0" w:rsidRPr="001E6889" w:rsidRDefault="007705ED" w:rsidP="001E6889">
            <w:pPr>
              <w:pStyle w:val="Compact"/>
              <w:spacing w:before="0" w:after="0" w:line="480" w:lineRule="auto"/>
              <w:rPr>
                <w:color w:val="000000" w:themeColor="text1"/>
              </w:rPr>
            </w:pPr>
            <w:r w:rsidRPr="001E6889">
              <w:rPr>
                <w:color w:val="000000" w:themeColor="text1"/>
              </w:rPr>
              <w:t>Term</w:t>
            </w:r>
          </w:p>
        </w:tc>
        <w:tc>
          <w:tcPr>
            <w:tcW w:w="0" w:type="auto"/>
          </w:tcPr>
          <w:p w14:paraId="36AF09CC" w14:textId="77777777" w:rsidR="005546F0" w:rsidRPr="001E6889" w:rsidRDefault="007705ED" w:rsidP="001E6889">
            <w:pPr>
              <w:pStyle w:val="Compact"/>
              <w:spacing w:before="0" w:after="0" w:line="480" w:lineRule="auto"/>
              <w:rPr>
                <w:color w:val="000000" w:themeColor="text1"/>
              </w:rPr>
            </w:pPr>
            <w:r w:rsidRPr="001E6889">
              <w:rPr>
                <w:color w:val="000000" w:themeColor="text1"/>
              </w:rPr>
              <w:t>Complete Cases MLR</w:t>
            </w:r>
          </w:p>
        </w:tc>
        <w:tc>
          <w:tcPr>
            <w:tcW w:w="0" w:type="auto"/>
          </w:tcPr>
          <w:p w14:paraId="7417A1CF" w14:textId="77777777" w:rsidR="005546F0" w:rsidRPr="001E6889" w:rsidRDefault="007705ED" w:rsidP="001E6889">
            <w:pPr>
              <w:pStyle w:val="Compact"/>
              <w:spacing w:before="0" w:after="0" w:line="480" w:lineRule="auto"/>
              <w:rPr>
                <w:color w:val="000000" w:themeColor="text1"/>
              </w:rPr>
            </w:pPr>
            <w:r w:rsidRPr="001E6889">
              <w:rPr>
                <w:color w:val="000000" w:themeColor="text1"/>
              </w:rPr>
              <w:t>Multiple Imputation MLR</w:t>
            </w:r>
          </w:p>
        </w:tc>
        <w:tc>
          <w:tcPr>
            <w:tcW w:w="0" w:type="auto"/>
          </w:tcPr>
          <w:p w14:paraId="49A78613" w14:textId="77777777" w:rsidR="005546F0" w:rsidRPr="001E6889" w:rsidRDefault="007705ED" w:rsidP="001E6889">
            <w:pPr>
              <w:pStyle w:val="Compact"/>
              <w:spacing w:before="0" w:after="0" w:line="480" w:lineRule="auto"/>
              <w:rPr>
                <w:color w:val="000000" w:themeColor="text1"/>
              </w:rPr>
            </w:pPr>
            <w:r w:rsidRPr="001E6889">
              <w:rPr>
                <w:color w:val="000000" w:themeColor="text1"/>
              </w:rPr>
              <w:t>Multiple Imputation Logistic Regression</w:t>
            </w:r>
          </w:p>
        </w:tc>
      </w:tr>
      <w:tr w:rsidR="00EC3EB8" w:rsidRPr="00EC3EB8" w14:paraId="599E3BDF" w14:textId="77777777">
        <w:tc>
          <w:tcPr>
            <w:tcW w:w="0" w:type="auto"/>
          </w:tcPr>
          <w:p w14:paraId="3EF33F63" w14:textId="77777777" w:rsidR="005546F0" w:rsidRPr="001E6889" w:rsidRDefault="007705ED" w:rsidP="001E6889">
            <w:pPr>
              <w:pStyle w:val="Compact"/>
              <w:spacing w:before="0" w:after="0" w:line="480" w:lineRule="auto"/>
              <w:rPr>
                <w:color w:val="000000" w:themeColor="text1"/>
              </w:rPr>
            </w:pPr>
            <w:r w:rsidRPr="001E6889">
              <w:rPr>
                <w:color w:val="000000" w:themeColor="text1"/>
              </w:rPr>
              <w:t>(Intercept)</w:t>
            </w:r>
          </w:p>
        </w:tc>
        <w:tc>
          <w:tcPr>
            <w:tcW w:w="0" w:type="auto"/>
          </w:tcPr>
          <w:p w14:paraId="14D3998D" w14:textId="77777777" w:rsidR="005546F0" w:rsidRPr="001E6889" w:rsidRDefault="007705ED" w:rsidP="001E6889">
            <w:pPr>
              <w:pStyle w:val="Compact"/>
              <w:spacing w:before="0" w:after="0" w:line="480" w:lineRule="auto"/>
              <w:rPr>
                <w:color w:val="000000" w:themeColor="text1"/>
              </w:rPr>
            </w:pPr>
            <w:r w:rsidRPr="001E6889">
              <w:rPr>
                <w:color w:val="000000" w:themeColor="text1"/>
              </w:rPr>
              <w:t>6.791</w:t>
            </w:r>
          </w:p>
        </w:tc>
        <w:tc>
          <w:tcPr>
            <w:tcW w:w="0" w:type="auto"/>
          </w:tcPr>
          <w:p w14:paraId="14B66EDF" w14:textId="77777777" w:rsidR="005546F0" w:rsidRPr="001E6889" w:rsidRDefault="007705ED" w:rsidP="001E6889">
            <w:pPr>
              <w:pStyle w:val="Compact"/>
              <w:spacing w:before="0" w:after="0" w:line="480" w:lineRule="auto"/>
              <w:rPr>
                <w:color w:val="000000" w:themeColor="text1"/>
              </w:rPr>
            </w:pPr>
            <w:r w:rsidRPr="001E6889">
              <w:rPr>
                <w:color w:val="000000" w:themeColor="text1"/>
              </w:rPr>
              <w:t>5.693</w:t>
            </w:r>
          </w:p>
        </w:tc>
        <w:tc>
          <w:tcPr>
            <w:tcW w:w="0" w:type="auto"/>
          </w:tcPr>
          <w:p w14:paraId="35C820C7" w14:textId="77777777" w:rsidR="005546F0" w:rsidRPr="001E6889" w:rsidRDefault="007705ED" w:rsidP="001E6889">
            <w:pPr>
              <w:pStyle w:val="Compact"/>
              <w:spacing w:before="0" w:after="0" w:line="480" w:lineRule="auto"/>
              <w:rPr>
                <w:color w:val="000000" w:themeColor="text1"/>
              </w:rPr>
            </w:pPr>
            <w:r w:rsidRPr="001E6889">
              <w:rPr>
                <w:color w:val="000000" w:themeColor="text1"/>
              </w:rPr>
              <w:t>2.313</w:t>
            </w:r>
          </w:p>
        </w:tc>
      </w:tr>
      <w:tr w:rsidR="00EC3EB8" w:rsidRPr="00EC3EB8" w14:paraId="173EB1C9" w14:textId="77777777">
        <w:tc>
          <w:tcPr>
            <w:tcW w:w="0" w:type="auto"/>
          </w:tcPr>
          <w:p w14:paraId="266BC217" w14:textId="77777777" w:rsidR="005546F0" w:rsidRPr="001E6889" w:rsidRDefault="005546F0" w:rsidP="001E6889">
            <w:pPr>
              <w:pStyle w:val="Compact"/>
              <w:spacing w:before="0" w:after="0" w:line="480" w:lineRule="auto"/>
              <w:rPr>
                <w:color w:val="000000" w:themeColor="text1"/>
              </w:rPr>
            </w:pPr>
          </w:p>
        </w:tc>
        <w:tc>
          <w:tcPr>
            <w:tcW w:w="0" w:type="auto"/>
          </w:tcPr>
          <w:p w14:paraId="0F01AB4C"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(0.043)</w:t>
            </w:r>
          </w:p>
        </w:tc>
        <w:tc>
          <w:tcPr>
            <w:tcW w:w="0" w:type="auto"/>
          </w:tcPr>
          <w:p w14:paraId="4E154C43"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(0.009)</w:t>
            </w:r>
          </w:p>
        </w:tc>
        <w:tc>
          <w:tcPr>
            <w:tcW w:w="0" w:type="auto"/>
          </w:tcPr>
          <w:p w14:paraId="221B9563"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(0.205)</w:t>
            </w:r>
          </w:p>
        </w:tc>
      </w:tr>
      <w:tr w:rsidR="00EC3EB8" w:rsidRPr="00EC3EB8" w14:paraId="28841831" w14:textId="77777777">
        <w:tc>
          <w:tcPr>
            <w:tcW w:w="0" w:type="auto"/>
          </w:tcPr>
          <w:p w14:paraId="5B37360C" w14:textId="77777777" w:rsidR="005546F0" w:rsidRPr="001E6889" w:rsidRDefault="007705ED" w:rsidP="001E6889">
            <w:pPr>
              <w:pStyle w:val="Compact"/>
              <w:spacing w:before="0" w:after="0" w:line="480" w:lineRule="auto"/>
              <w:rPr>
                <w:color w:val="000000" w:themeColor="text1"/>
              </w:rPr>
            </w:pPr>
            <w:r w:rsidRPr="001E6889">
              <w:rPr>
                <w:color w:val="000000" w:themeColor="text1"/>
              </w:rPr>
              <w:t>Age</w:t>
            </w:r>
          </w:p>
        </w:tc>
        <w:tc>
          <w:tcPr>
            <w:tcW w:w="0" w:type="auto"/>
          </w:tcPr>
          <w:p w14:paraId="702155E1"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-0.060</w:t>
            </w:r>
          </w:p>
        </w:tc>
        <w:tc>
          <w:tcPr>
            <w:tcW w:w="0" w:type="auto"/>
          </w:tcPr>
          <w:p w14:paraId="49E88BAE"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-0.059</w:t>
            </w:r>
          </w:p>
        </w:tc>
        <w:tc>
          <w:tcPr>
            <w:tcW w:w="0" w:type="auto"/>
          </w:tcPr>
          <w:p w14:paraId="79435E43"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-0.054</w:t>
            </w:r>
          </w:p>
        </w:tc>
      </w:tr>
      <w:tr w:rsidR="00EC3EB8" w:rsidRPr="00EC3EB8" w14:paraId="3CD88B9D" w14:textId="77777777">
        <w:tc>
          <w:tcPr>
            <w:tcW w:w="0" w:type="auto"/>
          </w:tcPr>
          <w:p w14:paraId="6EA0E059" w14:textId="77777777" w:rsidR="005546F0" w:rsidRPr="001E6889" w:rsidRDefault="005546F0" w:rsidP="001E6889">
            <w:pPr>
              <w:pStyle w:val="Compact"/>
              <w:spacing w:before="0" w:after="0" w:line="480" w:lineRule="auto"/>
              <w:rPr>
                <w:color w:val="000000" w:themeColor="text1"/>
              </w:rPr>
            </w:pPr>
          </w:p>
        </w:tc>
        <w:tc>
          <w:tcPr>
            <w:tcW w:w="0" w:type="auto"/>
          </w:tcPr>
          <w:p w14:paraId="2CCB9A4A" w14:textId="77777777" w:rsidR="005546F0" w:rsidRPr="001E6889" w:rsidRDefault="007705ED" w:rsidP="001E6889">
            <w:pPr>
              <w:pStyle w:val="Compact"/>
              <w:spacing w:before="0" w:after="0" w:line="480" w:lineRule="auto"/>
              <w:rPr>
                <w:color w:val="000000" w:themeColor="text1"/>
              </w:rPr>
            </w:pPr>
            <w:r w:rsidRPr="001E6889">
              <w:rPr>
                <w:color w:val="000000" w:themeColor="text1"/>
              </w:rPr>
              <w:t>(&lt;0.001)</w:t>
            </w:r>
          </w:p>
        </w:tc>
        <w:tc>
          <w:tcPr>
            <w:tcW w:w="0" w:type="auto"/>
          </w:tcPr>
          <w:p w14:paraId="19EAC85A" w14:textId="77777777" w:rsidR="005546F0" w:rsidRPr="001E6889" w:rsidRDefault="007705ED" w:rsidP="001E6889">
            <w:pPr>
              <w:pStyle w:val="Compact"/>
              <w:spacing w:before="0" w:after="0" w:line="480" w:lineRule="auto"/>
              <w:rPr>
                <w:color w:val="000000" w:themeColor="text1"/>
              </w:rPr>
            </w:pPr>
            <w:r w:rsidRPr="001E6889">
              <w:rPr>
                <w:color w:val="000000" w:themeColor="text1"/>
              </w:rPr>
              <w:t>(&lt;0.001)</w:t>
            </w:r>
          </w:p>
        </w:tc>
        <w:tc>
          <w:tcPr>
            <w:tcW w:w="0" w:type="auto"/>
          </w:tcPr>
          <w:p w14:paraId="5F14D266" w14:textId="77777777" w:rsidR="005546F0" w:rsidRPr="001E6889" w:rsidRDefault="007705ED" w:rsidP="001E6889">
            <w:pPr>
              <w:pStyle w:val="Compact"/>
              <w:spacing w:before="0" w:after="0" w:line="480" w:lineRule="auto"/>
              <w:rPr>
                <w:color w:val="000000" w:themeColor="text1"/>
              </w:rPr>
            </w:pPr>
            <w:r w:rsidRPr="001E6889">
              <w:rPr>
                <w:color w:val="000000" w:themeColor="text1"/>
              </w:rPr>
              <w:t>(&lt;0.001)</w:t>
            </w:r>
          </w:p>
        </w:tc>
      </w:tr>
      <w:tr w:rsidR="00EC3EB8" w:rsidRPr="00EC3EB8" w14:paraId="3E1E18A6" w14:textId="77777777">
        <w:tc>
          <w:tcPr>
            <w:tcW w:w="0" w:type="auto"/>
          </w:tcPr>
          <w:p w14:paraId="5A70E9D7" w14:textId="77777777" w:rsidR="005546F0" w:rsidRPr="001E6889" w:rsidRDefault="007705ED" w:rsidP="001E6889">
            <w:pPr>
              <w:pStyle w:val="Compact"/>
              <w:spacing w:before="0" w:after="0" w:line="480" w:lineRule="auto"/>
              <w:rPr>
                <w:color w:val="000000" w:themeColor="text1"/>
              </w:rPr>
            </w:pPr>
            <w:r w:rsidRPr="001E6889">
              <w:rPr>
                <w:color w:val="000000" w:themeColor="text1"/>
              </w:rPr>
              <w:t>GenderMale</w:t>
            </w:r>
          </w:p>
        </w:tc>
        <w:tc>
          <w:tcPr>
            <w:tcW w:w="0" w:type="auto"/>
          </w:tcPr>
          <w:p w14:paraId="38C7B4D9" w14:textId="77777777" w:rsidR="005546F0" w:rsidRPr="001E6889" w:rsidRDefault="007705ED" w:rsidP="001E6889">
            <w:pPr>
              <w:pStyle w:val="Compact"/>
              <w:spacing w:before="0" w:after="0" w:line="480" w:lineRule="auto"/>
              <w:rPr>
                <w:color w:val="000000" w:themeColor="text1"/>
              </w:rPr>
            </w:pPr>
            <w:r w:rsidRPr="001E6889">
              <w:rPr>
                <w:color w:val="000000" w:themeColor="text1"/>
              </w:rPr>
              <w:t>-2.495</w:t>
            </w:r>
          </w:p>
        </w:tc>
        <w:tc>
          <w:tcPr>
            <w:tcW w:w="0" w:type="auto"/>
          </w:tcPr>
          <w:p w14:paraId="6071B735" w14:textId="77777777" w:rsidR="005546F0" w:rsidRPr="001E6889" w:rsidRDefault="007705ED" w:rsidP="001E6889">
            <w:pPr>
              <w:pStyle w:val="Compact"/>
              <w:spacing w:before="0" w:after="0" w:line="480" w:lineRule="auto"/>
              <w:rPr>
                <w:color w:val="000000" w:themeColor="text1"/>
              </w:rPr>
            </w:pPr>
            <w:r w:rsidRPr="001E6889">
              <w:rPr>
                <w:color w:val="000000" w:themeColor="text1"/>
              </w:rPr>
              <w:t>-3.703</w:t>
            </w:r>
          </w:p>
        </w:tc>
        <w:tc>
          <w:tcPr>
            <w:tcW w:w="0" w:type="auto"/>
          </w:tcPr>
          <w:p w14:paraId="058E45F2" w14:textId="77777777" w:rsidR="005546F0" w:rsidRPr="001E6889" w:rsidRDefault="007705ED" w:rsidP="001E6889">
            <w:pPr>
              <w:pStyle w:val="Compact"/>
              <w:spacing w:before="0" w:after="0" w:line="480" w:lineRule="auto"/>
              <w:rPr>
                <w:color w:val="000000" w:themeColor="text1"/>
              </w:rPr>
            </w:pPr>
            <w:r w:rsidRPr="001E6889">
              <w:rPr>
                <w:color w:val="000000" w:themeColor="text1"/>
              </w:rPr>
              <w:t>-2.987</w:t>
            </w:r>
          </w:p>
        </w:tc>
      </w:tr>
      <w:tr w:rsidR="00EC3EB8" w:rsidRPr="00EC3EB8" w14:paraId="63FCC026" w14:textId="77777777">
        <w:tc>
          <w:tcPr>
            <w:tcW w:w="0" w:type="auto"/>
          </w:tcPr>
          <w:p w14:paraId="23A479F0" w14:textId="77777777" w:rsidR="005546F0" w:rsidRPr="001E6889" w:rsidRDefault="005546F0" w:rsidP="001E6889">
            <w:pPr>
              <w:pStyle w:val="Compact"/>
              <w:spacing w:before="0" w:after="0" w:line="480" w:lineRule="auto"/>
              <w:rPr>
                <w:color w:val="000000" w:themeColor="text1"/>
              </w:rPr>
            </w:pPr>
          </w:p>
        </w:tc>
        <w:tc>
          <w:tcPr>
            <w:tcW w:w="0" w:type="auto"/>
          </w:tcPr>
          <w:p w14:paraId="77E6B9A9" w14:textId="77777777" w:rsidR="005546F0" w:rsidRPr="001E6889" w:rsidRDefault="007705ED" w:rsidP="001E6889">
            <w:pPr>
              <w:pStyle w:val="Compact"/>
              <w:spacing w:before="0" w:after="0" w:line="480" w:lineRule="auto"/>
              <w:rPr>
                <w:color w:val="000000" w:themeColor="text1"/>
              </w:rPr>
            </w:pPr>
            <w:r w:rsidRPr="001E6889">
              <w:rPr>
                <w:color w:val="000000" w:themeColor="text1"/>
              </w:rPr>
              <w:t>(&lt;0.001)</w:t>
            </w:r>
          </w:p>
        </w:tc>
        <w:tc>
          <w:tcPr>
            <w:tcW w:w="0" w:type="auto"/>
          </w:tcPr>
          <w:p w14:paraId="696D818D" w14:textId="77777777" w:rsidR="005546F0" w:rsidRPr="001E6889" w:rsidRDefault="007705ED" w:rsidP="001E6889">
            <w:pPr>
              <w:pStyle w:val="Compact"/>
              <w:spacing w:before="0" w:after="0" w:line="480" w:lineRule="auto"/>
              <w:rPr>
                <w:color w:val="000000" w:themeColor="text1"/>
              </w:rPr>
            </w:pPr>
            <w:r w:rsidRPr="001E6889">
              <w:rPr>
                <w:color w:val="000000" w:themeColor="text1"/>
              </w:rPr>
              <w:t>(&lt;0.001)</w:t>
            </w:r>
          </w:p>
        </w:tc>
        <w:tc>
          <w:tcPr>
            <w:tcW w:w="0" w:type="auto"/>
          </w:tcPr>
          <w:p w14:paraId="290FF37D" w14:textId="77777777" w:rsidR="005546F0" w:rsidRPr="001E6889" w:rsidRDefault="007705ED" w:rsidP="001E6889">
            <w:pPr>
              <w:pStyle w:val="Compact"/>
              <w:spacing w:before="0" w:after="0" w:line="480" w:lineRule="auto"/>
              <w:rPr>
                <w:color w:val="000000" w:themeColor="text1"/>
              </w:rPr>
            </w:pPr>
            <w:r w:rsidRPr="001E6889">
              <w:rPr>
                <w:color w:val="000000" w:themeColor="text1"/>
              </w:rPr>
              <w:t>(&lt;0.001)</w:t>
            </w:r>
          </w:p>
        </w:tc>
      </w:tr>
      <w:tr w:rsidR="00EC3EB8" w:rsidRPr="00EC3EB8" w14:paraId="6273AE1E" w14:textId="77777777">
        <w:tc>
          <w:tcPr>
            <w:tcW w:w="0" w:type="auto"/>
          </w:tcPr>
          <w:p w14:paraId="7264656B"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Catastrophizing Score</w:t>
            </w:r>
          </w:p>
        </w:tc>
        <w:tc>
          <w:tcPr>
            <w:tcW w:w="0" w:type="auto"/>
          </w:tcPr>
          <w:p w14:paraId="10939E21"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0.001</w:t>
            </w:r>
          </w:p>
        </w:tc>
        <w:tc>
          <w:tcPr>
            <w:tcW w:w="0" w:type="auto"/>
          </w:tcPr>
          <w:p w14:paraId="0A260CF7"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-0.003</w:t>
            </w:r>
          </w:p>
        </w:tc>
        <w:tc>
          <w:tcPr>
            <w:tcW w:w="0" w:type="auto"/>
          </w:tcPr>
          <w:p w14:paraId="70CC2350"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-0.005</w:t>
            </w:r>
          </w:p>
        </w:tc>
      </w:tr>
      <w:tr w:rsidR="00EC3EB8" w:rsidRPr="00EC3EB8" w14:paraId="1AF33100" w14:textId="77777777">
        <w:tc>
          <w:tcPr>
            <w:tcW w:w="0" w:type="auto"/>
          </w:tcPr>
          <w:p w14:paraId="0AEBB10F" w14:textId="77777777" w:rsidR="005546F0" w:rsidRPr="001E6889" w:rsidRDefault="005546F0" w:rsidP="001E6889">
            <w:pPr>
              <w:pStyle w:val="Compact"/>
              <w:spacing w:before="0" w:after="0" w:line="480" w:lineRule="auto"/>
              <w:rPr>
                <w:color w:val="000000" w:themeColor="text1"/>
              </w:rPr>
            </w:pPr>
          </w:p>
        </w:tc>
        <w:tc>
          <w:tcPr>
            <w:tcW w:w="0" w:type="auto"/>
          </w:tcPr>
          <w:p w14:paraId="0EF43F1B"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(0.980)</w:t>
            </w:r>
          </w:p>
        </w:tc>
        <w:tc>
          <w:tcPr>
            <w:tcW w:w="0" w:type="auto"/>
          </w:tcPr>
          <w:p w14:paraId="4B259A31"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(0.833)</w:t>
            </w:r>
          </w:p>
        </w:tc>
        <w:tc>
          <w:tcPr>
            <w:tcW w:w="0" w:type="auto"/>
          </w:tcPr>
          <w:p w14:paraId="7C992A28"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(0.707)</w:t>
            </w:r>
          </w:p>
        </w:tc>
      </w:tr>
      <w:tr w:rsidR="00EC3EB8" w:rsidRPr="00EC3EB8" w14:paraId="529EE811" w14:textId="77777777">
        <w:tc>
          <w:tcPr>
            <w:tcW w:w="0" w:type="auto"/>
          </w:tcPr>
          <w:p w14:paraId="7EAB9933" w14:textId="77777777" w:rsidR="005546F0" w:rsidRPr="001E6889" w:rsidRDefault="007705ED" w:rsidP="001E6889">
            <w:pPr>
              <w:pStyle w:val="Compact"/>
              <w:spacing w:before="0" w:after="0" w:line="480" w:lineRule="auto"/>
              <w:rPr>
                <w:color w:val="000000" w:themeColor="text1"/>
              </w:rPr>
            </w:pPr>
            <w:r w:rsidRPr="001E6889">
              <w:rPr>
                <w:color w:val="000000" w:themeColor="text1"/>
              </w:rPr>
              <w:lastRenderedPageBreak/>
              <w:t>Pain Interference Score</w:t>
            </w:r>
          </w:p>
        </w:tc>
        <w:tc>
          <w:tcPr>
            <w:tcW w:w="0" w:type="auto"/>
          </w:tcPr>
          <w:p w14:paraId="18212F51"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-0.011</w:t>
            </w:r>
          </w:p>
        </w:tc>
        <w:tc>
          <w:tcPr>
            <w:tcW w:w="0" w:type="auto"/>
          </w:tcPr>
          <w:p w14:paraId="4C20FE95"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0.021</w:t>
            </w:r>
          </w:p>
        </w:tc>
        <w:tc>
          <w:tcPr>
            <w:tcW w:w="0" w:type="auto"/>
          </w:tcPr>
          <w:p w14:paraId="28D370E6"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0.014</w:t>
            </w:r>
          </w:p>
        </w:tc>
      </w:tr>
      <w:tr w:rsidR="00EC3EB8" w:rsidRPr="00EC3EB8" w14:paraId="20382C23" w14:textId="77777777">
        <w:tc>
          <w:tcPr>
            <w:tcW w:w="0" w:type="auto"/>
          </w:tcPr>
          <w:p w14:paraId="3539BD14" w14:textId="77777777" w:rsidR="005546F0" w:rsidRPr="001E6889" w:rsidRDefault="005546F0" w:rsidP="001E6889">
            <w:pPr>
              <w:pStyle w:val="Compact"/>
              <w:spacing w:before="0" w:after="0" w:line="480" w:lineRule="auto"/>
              <w:rPr>
                <w:color w:val="000000" w:themeColor="text1"/>
              </w:rPr>
            </w:pPr>
          </w:p>
        </w:tc>
        <w:tc>
          <w:tcPr>
            <w:tcW w:w="0" w:type="auto"/>
          </w:tcPr>
          <w:p w14:paraId="03176722"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(0.829)</w:t>
            </w:r>
          </w:p>
        </w:tc>
        <w:tc>
          <w:tcPr>
            <w:tcW w:w="0" w:type="auto"/>
          </w:tcPr>
          <w:p w14:paraId="33DC460A"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(0.496)</w:t>
            </w:r>
          </w:p>
        </w:tc>
        <w:tc>
          <w:tcPr>
            <w:tcW w:w="0" w:type="auto"/>
          </w:tcPr>
          <w:p w14:paraId="2477BA70"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(0.610)</w:t>
            </w:r>
          </w:p>
        </w:tc>
      </w:tr>
      <w:tr w:rsidR="00EC3EB8" w:rsidRPr="00EC3EB8" w14:paraId="45FC7477" w14:textId="77777777">
        <w:tc>
          <w:tcPr>
            <w:tcW w:w="0" w:type="auto"/>
          </w:tcPr>
          <w:p w14:paraId="2601FF34" w14:textId="77777777" w:rsidR="005546F0" w:rsidRPr="001E6889" w:rsidRDefault="007705ED" w:rsidP="001E6889">
            <w:pPr>
              <w:pStyle w:val="Compact"/>
              <w:spacing w:before="0" w:after="0" w:line="480" w:lineRule="auto"/>
              <w:rPr>
                <w:color w:val="000000" w:themeColor="text1"/>
              </w:rPr>
            </w:pPr>
            <w:r w:rsidRPr="001E6889">
              <w:rPr>
                <w:color w:val="000000" w:themeColor="text1"/>
              </w:rPr>
              <w:t>Pain Self-efficacy Score</w:t>
            </w:r>
          </w:p>
        </w:tc>
        <w:tc>
          <w:tcPr>
            <w:tcW w:w="0" w:type="auto"/>
          </w:tcPr>
          <w:p w14:paraId="35A8221E"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-0.018</w:t>
            </w:r>
          </w:p>
        </w:tc>
        <w:tc>
          <w:tcPr>
            <w:tcW w:w="0" w:type="auto"/>
          </w:tcPr>
          <w:p w14:paraId="0E31A388"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0.018</w:t>
            </w:r>
          </w:p>
        </w:tc>
        <w:tc>
          <w:tcPr>
            <w:tcW w:w="0" w:type="auto"/>
          </w:tcPr>
          <w:p w14:paraId="215B4896"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0.006</w:t>
            </w:r>
          </w:p>
        </w:tc>
      </w:tr>
      <w:tr w:rsidR="00EC3EB8" w:rsidRPr="00EC3EB8" w14:paraId="79F5D6BB" w14:textId="77777777">
        <w:tc>
          <w:tcPr>
            <w:tcW w:w="0" w:type="auto"/>
          </w:tcPr>
          <w:p w14:paraId="010CC822" w14:textId="77777777" w:rsidR="005546F0" w:rsidRPr="001E6889" w:rsidRDefault="005546F0" w:rsidP="001E6889">
            <w:pPr>
              <w:pStyle w:val="Compact"/>
              <w:spacing w:before="0" w:after="0" w:line="480" w:lineRule="auto"/>
              <w:rPr>
                <w:color w:val="000000" w:themeColor="text1"/>
              </w:rPr>
            </w:pPr>
          </w:p>
        </w:tc>
        <w:tc>
          <w:tcPr>
            <w:tcW w:w="0" w:type="auto"/>
          </w:tcPr>
          <w:p w14:paraId="62667E17"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(0.839)</w:t>
            </w:r>
          </w:p>
        </w:tc>
        <w:tc>
          <w:tcPr>
            <w:tcW w:w="0" w:type="auto"/>
          </w:tcPr>
          <w:p w14:paraId="11002BF9"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(0.769)</w:t>
            </w:r>
          </w:p>
        </w:tc>
        <w:tc>
          <w:tcPr>
            <w:tcW w:w="0" w:type="auto"/>
          </w:tcPr>
          <w:p w14:paraId="4EA3B8D0" w14:textId="77777777" w:rsidR="005546F0" w:rsidRPr="001E6889" w:rsidRDefault="007705ED" w:rsidP="001E6889">
            <w:pPr>
              <w:pStyle w:val="Compact"/>
              <w:spacing w:before="0" w:after="0" w:line="480" w:lineRule="auto"/>
              <w:rPr>
                <w:color w:val="000000" w:themeColor="text1"/>
              </w:rPr>
            </w:pPr>
            <w:r w:rsidRPr="001E6889">
              <w:rPr>
                <w:color w:val="000000" w:themeColor="text1"/>
              </w:rPr>
              <w:t>(0.912)</w:t>
            </w:r>
          </w:p>
        </w:tc>
      </w:tr>
      <w:tr w:rsidR="00EC3EB8" w:rsidRPr="00EC3EB8" w14:paraId="4F529EF7" w14:textId="77777777">
        <w:tc>
          <w:tcPr>
            <w:tcW w:w="0" w:type="auto"/>
            <w:gridSpan w:val="4"/>
          </w:tcPr>
          <w:p w14:paraId="46DE0AD6" w14:textId="3D1B0B17" w:rsidR="002A11EE" w:rsidRPr="001E6889" w:rsidRDefault="002A11EE" w:rsidP="001E6889">
            <w:pPr>
              <w:pStyle w:val="Compact"/>
              <w:spacing w:before="0" w:after="0" w:line="480" w:lineRule="auto"/>
              <w:rPr>
                <w:color w:val="000000" w:themeColor="text1"/>
              </w:rPr>
            </w:pPr>
            <w:r w:rsidRPr="001E6889">
              <w:rPr>
                <w:color w:val="000000" w:themeColor="text1"/>
                <w:vertAlign w:val="superscript"/>
              </w:rPr>
              <w:t>a</w:t>
            </w:r>
            <w:r w:rsidRPr="001E6889">
              <w:rPr>
                <w:color w:val="000000" w:themeColor="text1"/>
              </w:rPr>
              <w:t xml:space="preserve"> The first row for each variable is the estimate, and the value below in parentheses is the p-value for the corresponding estimate.</w:t>
            </w:r>
          </w:p>
        </w:tc>
      </w:tr>
    </w:tbl>
    <w:p w14:paraId="19B30187" w14:textId="77777777" w:rsidR="002A11EE" w:rsidRPr="001E6889" w:rsidRDefault="002A11EE" w:rsidP="001E6889">
      <w:pPr>
        <w:pStyle w:val="BodyText"/>
        <w:spacing w:before="0" w:after="0" w:line="480" w:lineRule="auto"/>
        <w:rPr>
          <w:color w:val="000000" w:themeColor="text1"/>
        </w:rPr>
      </w:pPr>
    </w:p>
    <w:p w14:paraId="0B27AE80" w14:textId="77777777" w:rsidR="005546F0" w:rsidRPr="001E6889" w:rsidRDefault="007705ED" w:rsidP="001E6889">
      <w:pPr>
        <w:pStyle w:val="BodyText"/>
        <w:spacing w:before="0" w:after="0" w:line="480" w:lineRule="auto"/>
        <w:ind w:firstLine="720"/>
        <w:rPr>
          <w:color w:val="000000" w:themeColor="text1"/>
        </w:rPr>
      </w:pPr>
      <w:r w:rsidRPr="001E6889">
        <w:rPr>
          <w:color w:val="000000" w:themeColor="text1"/>
        </w:rPr>
        <w:t xml:space="preserve">Multiple linear regressions were performed on both complete cases and the imputed data set. The analyses indicated both age and gender significantly influenced the outcome variable (see Table 4). Specifically, older participants (Complete Cases MLR: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age</m:t>
            </m:r>
          </m:sub>
        </m:sSub>
        <m:r>
          <m:rPr>
            <m:sty m:val="p"/>
          </m:rPr>
          <w:rPr>
            <w:rFonts w:ascii="Cambria Math" w:hAnsi="Cambria Math"/>
            <w:color w:val="000000" w:themeColor="text1"/>
          </w:rPr>
          <m:t>=-</m:t>
        </m:r>
        <m:r>
          <w:rPr>
            <w:rFonts w:ascii="Cambria Math" w:hAnsi="Cambria Math"/>
            <w:color w:val="000000" w:themeColor="text1"/>
          </w:rPr>
          <m:t>0.060</m:t>
        </m:r>
        <m:r>
          <m:rPr>
            <m:sty m:val="p"/>
          </m:rPr>
          <w:rPr>
            <w:rFonts w:ascii="Cambria Math" w:hAnsi="Cambria Math"/>
            <w:color w:val="000000" w:themeColor="text1"/>
          </w:rPr>
          <m:t>,</m:t>
        </m:r>
        <m:r>
          <w:rPr>
            <w:rFonts w:ascii="Cambria Math" w:hAnsi="Cambria Math"/>
            <w:color w:val="000000" w:themeColor="text1"/>
          </w:rPr>
          <m:t>p</m:t>
        </m:r>
        <m:r>
          <m:rPr>
            <m:sty m:val="p"/>
          </m:rPr>
          <w:rPr>
            <w:rFonts w:ascii="Cambria Math" w:hAnsi="Cambria Math"/>
            <w:color w:val="000000" w:themeColor="text1"/>
          </w:rPr>
          <m:t>&lt;</m:t>
        </m:r>
        <m:r>
          <w:rPr>
            <w:rFonts w:ascii="Cambria Math" w:hAnsi="Cambria Math"/>
            <w:color w:val="000000" w:themeColor="text1"/>
          </w:rPr>
          <m:t>0.001</m:t>
        </m:r>
      </m:oMath>
      <w:r w:rsidRPr="001E6889">
        <w:rPr>
          <w:color w:val="000000" w:themeColor="text1"/>
        </w:rPr>
        <w:t xml:space="preserve">; Imputed MLR: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age</m:t>
            </m:r>
          </m:sub>
        </m:sSub>
        <m:r>
          <m:rPr>
            <m:sty m:val="p"/>
          </m:rPr>
          <w:rPr>
            <w:rFonts w:ascii="Cambria Math" w:hAnsi="Cambria Math"/>
            <w:color w:val="000000" w:themeColor="text1"/>
          </w:rPr>
          <m:t>=-</m:t>
        </m:r>
        <m:r>
          <w:rPr>
            <w:rFonts w:ascii="Cambria Math" w:hAnsi="Cambria Math"/>
            <w:color w:val="000000" w:themeColor="text1"/>
          </w:rPr>
          <m:t>0.059</m:t>
        </m:r>
        <m:r>
          <m:rPr>
            <m:sty m:val="p"/>
          </m:rPr>
          <w:rPr>
            <w:rFonts w:ascii="Cambria Math" w:hAnsi="Cambria Math"/>
            <w:color w:val="000000" w:themeColor="text1"/>
          </w:rPr>
          <m:t>,</m:t>
        </m:r>
        <m:r>
          <w:rPr>
            <w:rFonts w:ascii="Cambria Math" w:hAnsi="Cambria Math"/>
            <w:color w:val="000000" w:themeColor="text1"/>
          </w:rPr>
          <m:t>p</m:t>
        </m:r>
        <m:r>
          <m:rPr>
            <m:sty m:val="p"/>
          </m:rPr>
          <w:rPr>
            <w:rFonts w:ascii="Cambria Math" w:hAnsi="Cambria Math"/>
            <w:color w:val="000000" w:themeColor="text1"/>
          </w:rPr>
          <m:t>&lt;</m:t>
        </m:r>
        <m:r>
          <w:rPr>
            <w:rFonts w:ascii="Cambria Math" w:hAnsi="Cambria Math"/>
            <w:color w:val="000000" w:themeColor="text1"/>
          </w:rPr>
          <m:t>0.001</m:t>
        </m:r>
      </m:oMath>
      <w:r w:rsidRPr="001E6889">
        <w:rPr>
          <w:color w:val="000000" w:themeColor="text1"/>
        </w:rPr>
        <w:t xml:space="preserve">) and males (Complete Cases MLR: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gender</m:t>
            </m:r>
          </m:sub>
        </m:sSub>
        <m:r>
          <m:rPr>
            <m:sty m:val="p"/>
          </m:rPr>
          <w:rPr>
            <w:rFonts w:ascii="Cambria Math" w:hAnsi="Cambria Math"/>
            <w:color w:val="000000" w:themeColor="text1"/>
          </w:rPr>
          <m:t>=-</m:t>
        </m:r>
        <m:r>
          <w:rPr>
            <w:rFonts w:ascii="Cambria Math" w:hAnsi="Cambria Math"/>
            <w:color w:val="000000" w:themeColor="text1"/>
          </w:rPr>
          <m:t>2.495</m:t>
        </m:r>
        <m:r>
          <m:rPr>
            <m:sty m:val="p"/>
          </m:rPr>
          <w:rPr>
            <w:rFonts w:ascii="Cambria Math" w:hAnsi="Cambria Math"/>
            <w:color w:val="000000" w:themeColor="text1"/>
          </w:rPr>
          <m:t>,</m:t>
        </m:r>
        <m:r>
          <w:rPr>
            <w:rFonts w:ascii="Cambria Math" w:hAnsi="Cambria Math"/>
            <w:color w:val="000000" w:themeColor="text1"/>
          </w:rPr>
          <m:t>p</m:t>
        </m:r>
        <m:r>
          <m:rPr>
            <m:sty m:val="p"/>
          </m:rPr>
          <w:rPr>
            <w:rFonts w:ascii="Cambria Math" w:hAnsi="Cambria Math"/>
            <w:color w:val="000000" w:themeColor="text1"/>
          </w:rPr>
          <m:t>&lt;</m:t>
        </m:r>
        <m:r>
          <w:rPr>
            <w:rFonts w:ascii="Cambria Math" w:hAnsi="Cambria Math"/>
            <w:color w:val="000000" w:themeColor="text1"/>
          </w:rPr>
          <m:t>0.001</m:t>
        </m:r>
      </m:oMath>
      <w:r w:rsidRPr="001E6889">
        <w:rPr>
          <w:color w:val="000000" w:themeColor="text1"/>
        </w:rPr>
        <w:t xml:space="preserve">; Imputed MLR: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gender</m:t>
            </m:r>
          </m:sub>
        </m:sSub>
        <m:r>
          <m:rPr>
            <m:sty m:val="p"/>
          </m:rPr>
          <w:rPr>
            <w:rFonts w:ascii="Cambria Math" w:hAnsi="Cambria Math"/>
            <w:color w:val="000000" w:themeColor="text1"/>
          </w:rPr>
          <m:t>=-</m:t>
        </m:r>
        <m:r>
          <w:rPr>
            <w:rFonts w:ascii="Cambria Math" w:hAnsi="Cambria Math"/>
            <w:color w:val="000000" w:themeColor="text1"/>
          </w:rPr>
          <m:t>3.703</m:t>
        </m:r>
        <m:r>
          <m:rPr>
            <m:sty m:val="p"/>
          </m:rPr>
          <w:rPr>
            <w:rFonts w:ascii="Cambria Math" w:hAnsi="Cambria Math"/>
            <w:color w:val="000000" w:themeColor="text1"/>
          </w:rPr>
          <m:t>,</m:t>
        </m:r>
        <m:r>
          <w:rPr>
            <w:rFonts w:ascii="Cambria Math" w:hAnsi="Cambria Math"/>
            <w:color w:val="000000" w:themeColor="text1"/>
          </w:rPr>
          <m:t>p</m:t>
        </m:r>
        <m:r>
          <m:rPr>
            <m:sty m:val="p"/>
          </m:rPr>
          <w:rPr>
            <w:rFonts w:ascii="Cambria Math" w:hAnsi="Cambria Math"/>
            <w:color w:val="000000" w:themeColor="text1"/>
          </w:rPr>
          <m:t>&lt;</m:t>
        </m:r>
        <m:r>
          <w:rPr>
            <w:rFonts w:ascii="Cambria Math" w:hAnsi="Cambria Math"/>
            <w:color w:val="000000" w:themeColor="text1"/>
          </w:rPr>
          <m:t>0.001</m:t>
        </m:r>
      </m:oMath>
      <w:r w:rsidRPr="001E6889">
        <w:rPr>
          <w:color w:val="000000" w:themeColor="text1"/>
        </w:rPr>
        <w:t xml:space="preserve">) exhibited lower outcome scores. In contrast, psychological factors including pain catastrophizing, pain interference, and pain self-efficacy did not show significant associations with the outcome (Complete Cases MLR: </w:t>
      </w:r>
      <m:oMath>
        <m:r>
          <w:rPr>
            <w:rFonts w:ascii="Cambria Math" w:hAnsi="Cambria Math"/>
            <w:color w:val="000000" w:themeColor="text1"/>
          </w:rPr>
          <m:t>p</m:t>
        </m:r>
        <m:r>
          <m:rPr>
            <m:sty m:val="p"/>
          </m:rPr>
          <w:rPr>
            <w:rFonts w:ascii="Cambria Math" w:hAnsi="Cambria Math"/>
            <w:color w:val="000000" w:themeColor="text1"/>
          </w:rPr>
          <m:t>&gt;</m:t>
        </m:r>
        <m:r>
          <w:rPr>
            <w:rFonts w:ascii="Cambria Math" w:hAnsi="Cambria Math"/>
            <w:color w:val="000000" w:themeColor="text1"/>
          </w:rPr>
          <m:t>0.05</m:t>
        </m:r>
      </m:oMath>
      <w:r w:rsidRPr="001E6889">
        <w:rPr>
          <w:color w:val="000000" w:themeColor="text1"/>
        </w:rPr>
        <w:t xml:space="preserve">; Imputed MLR: </w:t>
      </w:r>
      <m:oMath>
        <m:r>
          <w:rPr>
            <w:rFonts w:ascii="Cambria Math" w:hAnsi="Cambria Math"/>
            <w:color w:val="000000" w:themeColor="text1"/>
          </w:rPr>
          <m:t>p</m:t>
        </m:r>
        <m:r>
          <m:rPr>
            <m:sty m:val="p"/>
          </m:rPr>
          <w:rPr>
            <w:rFonts w:ascii="Cambria Math" w:hAnsi="Cambria Math"/>
            <w:color w:val="000000" w:themeColor="text1"/>
          </w:rPr>
          <m:t>&gt;</m:t>
        </m:r>
        <m:r>
          <w:rPr>
            <w:rFonts w:ascii="Cambria Math" w:hAnsi="Cambria Math"/>
            <w:color w:val="000000" w:themeColor="text1"/>
          </w:rPr>
          <m:t>0.05</m:t>
        </m:r>
      </m:oMath>
      <w:r w:rsidRPr="001E6889">
        <w:rPr>
          <w:color w:val="000000" w:themeColor="text1"/>
        </w:rPr>
        <w:t>).</w:t>
      </w:r>
    </w:p>
    <w:p w14:paraId="0C5E168E" w14:textId="2A3A68BB" w:rsidR="005546F0" w:rsidRPr="001E6889" w:rsidRDefault="007705ED" w:rsidP="001E6889">
      <w:pPr>
        <w:pStyle w:val="BodyText"/>
        <w:spacing w:before="0" w:after="0" w:line="480" w:lineRule="auto"/>
        <w:rPr>
          <w:color w:val="000000" w:themeColor="text1"/>
        </w:rPr>
      </w:pPr>
      <w:r w:rsidRPr="001E6889">
        <w:rPr>
          <w:color w:val="000000" w:themeColor="text1"/>
        </w:rPr>
        <w:t xml:space="preserve">Logistic regression of the dichotomized Beighton Score on the imputed data set revealed that age and gender were significant predictors of hypermobility (Imputed LR: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age</m:t>
            </m:r>
          </m:sub>
        </m:sSub>
        <m:r>
          <m:rPr>
            <m:sty m:val="p"/>
          </m:rPr>
          <w:rPr>
            <w:rFonts w:ascii="Cambria Math" w:hAnsi="Cambria Math"/>
            <w:color w:val="000000" w:themeColor="text1"/>
          </w:rPr>
          <m:t>=-</m:t>
        </m:r>
        <m:r>
          <w:rPr>
            <w:rFonts w:ascii="Cambria Math" w:hAnsi="Cambria Math"/>
            <w:color w:val="000000" w:themeColor="text1"/>
          </w:rPr>
          <m:t>0.0504</m:t>
        </m:r>
        <m:r>
          <m:rPr>
            <m:sty m:val="p"/>
          </m:rPr>
          <w:rPr>
            <w:rFonts w:ascii="Cambria Math" w:hAnsi="Cambria Math"/>
            <w:color w:val="000000" w:themeColor="text1"/>
          </w:rPr>
          <m:t>,</m:t>
        </m:r>
        <m:r>
          <w:rPr>
            <w:rFonts w:ascii="Cambria Math" w:hAnsi="Cambria Math"/>
            <w:color w:val="000000" w:themeColor="text1"/>
          </w:rPr>
          <m:t>p</m:t>
        </m:r>
        <m:r>
          <m:rPr>
            <m:sty m:val="p"/>
          </m:rPr>
          <w:rPr>
            <w:rFonts w:ascii="Cambria Math" w:hAnsi="Cambria Math"/>
            <w:color w:val="000000" w:themeColor="text1"/>
          </w:rPr>
          <m:t>&lt;</m:t>
        </m:r>
        <m:r>
          <w:rPr>
            <w:rFonts w:ascii="Cambria Math" w:hAnsi="Cambria Math"/>
            <w:color w:val="000000" w:themeColor="text1"/>
          </w:rPr>
          <m:t>0.001</m:t>
        </m:r>
      </m:oMath>
      <w:r w:rsidRPr="001E688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gender</m:t>
            </m:r>
          </m:sub>
        </m:sSub>
        <m:r>
          <m:rPr>
            <m:sty m:val="p"/>
          </m:rPr>
          <w:rPr>
            <w:rFonts w:ascii="Cambria Math" w:hAnsi="Cambria Math"/>
            <w:color w:val="000000" w:themeColor="text1"/>
          </w:rPr>
          <m:t>=-</m:t>
        </m:r>
        <m:r>
          <w:rPr>
            <w:rFonts w:ascii="Cambria Math" w:hAnsi="Cambria Math"/>
            <w:color w:val="000000" w:themeColor="text1"/>
          </w:rPr>
          <m:t>2.987</m:t>
        </m:r>
        <m:r>
          <m:rPr>
            <m:sty m:val="p"/>
          </m:rPr>
          <w:rPr>
            <w:rFonts w:ascii="Cambria Math" w:hAnsi="Cambria Math"/>
            <w:color w:val="000000" w:themeColor="text1"/>
          </w:rPr>
          <m:t>,</m:t>
        </m:r>
        <m:r>
          <w:rPr>
            <w:rFonts w:ascii="Cambria Math" w:hAnsi="Cambria Math"/>
            <w:color w:val="000000" w:themeColor="text1"/>
          </w:rPr>
          <m:t>p</m:t>
        </m:r>
        <m:r>
          <m:rPr>
            <m:sty m:val="p"/>
          </m:rPr>
          <w:rPr>
            <w:rFonts w:ascii="Cambria Math" w:hAnsi="Cambria Math"/>
            <w:color w:val="000000" w:themeColor="text1"/>
          </w:rPr>
          <m:t>&lt;</m:t>
        </m:r>
        <m:r>
          <w:rPr>
            <w:rFonts w:ascii="Cambria Math" w:hAnsi="Cambria Math"/>
            <w:color w:val="000000" w:themeColor="text1"/>
          </w:rPr>
          <m:t>0.001</m:t>
        </m:r>
        <m:r>
          <m:rPr>
            <m:sty m:val="p"/>
          </m:rPr>
          <w:rPr>
            <w:rFonts w:ascii="Cambria Math" w:hAnsi="Cambria Math"/>
            <w:color w:val="000000" w:themeColor="text1"/>
          </w:rPr>
          <m:t>)</m:t>
        </m:r>
      </m:oMath>
      <w:r w:rsidRPr="001E6889">
        <w:rPr>
          <w:color w:val="000000" w:themeColor="text1"/>
        </w:rPr>
        <w:t xml:space="preserve">. Pain scores did not show significant associations with the outcome variable (Imputed LR: </w:t>
      </w:r>
      <m:oMath>
        <m:r>
          <w:rPr>
            <w:rFonts w:ascii="Cambria Math" w:hAnsi="Cambria Math"/>
            <w:color w:val="000000" w:themeColor="text1"/>
          </w:rPr>
          <m:t>p</m:t>
        </m:r>
        <m:r>
          <m:rPr>
            <m:sty m:val="p"/>
          </m:rPr>
          <w:rPr>
            <w:rFonts w:ascii="Cambria Math" w:hAnsi="Cambria Math"/>
            <w:color w:val="000000" w:themeColor="text1"/>
          </w:rPr>
          <m:t>&gt;</m:t>
        </m:r>
        <m:r>
          <w:rPr>
            <w:rFonts w:ascii="Cambria Math" w:hAnsi="Cambria Math"/>
            <w:color w:val="000000" w:themeColor="text1"/>
          </w:rPr>
          <m:t>0.05</m:t>
        </m:r>
      </m:oMath>
      <w:r w:rsidRPr="001E6889">
        <w:rPr>
          <w:color w:val="000000" w:themeColor="text1"/>
        </w:rPr>
        <w:t>)</w:t>
      </w:r>
      <w:r w:rsidR="002A11EE" w:rsidRPr="001E6889">
        <w:rPr>
          <w:color w:val="000000" w:themeColor="text1"/>
        </w:rPr>
        <w:t>.</w:t>
      </w:r>
    </w:p>
    <w:p w14:paraId="109405F4" w14:textId="77777777" w:rsidR="005546F0" w:rsidRPr="001E6889" w:rsidRDefault="007705ED" w:rsidP="001E6889">
      <w:pPr>
        <w:pStyle w:val="Heading1"/>
        <w:spacing w:before="0" w:line="480" w:lineRule="auto"/>
        <w:jc w:val="center"/>
        <w:rPr>
          <w:color w:val="000000" w:themeColor="text1"/>
          <w:sz w:val="24"/>
          <w:szCs w:val="24"/>
        </w:rPr>
      </w:pPr>
      <w:bookmarkStart w:id="10" w:name="discussion"/>
      <w:bookmarkEnd w:id="9"/>
      <w:r w:rsidRPr="001E6889">
        <w:rPr>
          <w:color w:val="000000" w:themeColor="text1"/>
          <w:sz w:val="24"/>
          <w:szCs w:val="24"/>
        </w:rPr>
        <w:lastRenderedPageBreak/>
        <w:t>Discussion</w:t>
      </w:r>
    </w:p>
    <w:p w14:paraId="19B5163E" w14:textId="62D55728" w:rsidR="005546F0" w:rsidRPr="001E6889" w:rsidRDefault="007705ED" w:rsidP="001E6889">
      <w:pPr>
        <w:pStyle w:val="FirstParagraph"/>
        <w:spacing w:before="0" w:after="0" w:line="480" w:lineRule="auto"/>
        <w:ind w:firstLine="720"/>
        <w:rPr>
          <w:color w:val="000000" w:themeColor="text1"/>
        </w:rPr>
      </w:pPr>
      <w:r w:rsidRPr="001E6889">
        <w:rPr>
          <w:color w:val="000000" w:themeColor="text1"/>
        </w:rPr>
        <w:t xml:space="preserve">When examining assumptions for the MLR, the correlation plot and VIF scores indicate multicollinearity is of little concern since all correlations are less than 0.6, and the VIF scores are less than 10. Furthermore, </w:t>
      </w:r>
      <w:r w:rsidR="005C03D4">
        <w:rPr>
          <w:color w:val="000000" w:themeColor="text1"/>
        </w:rPr>
        <w:t xml:space="preserve">upon </w:t>
      </w:r>
      <w:r w:rsidRPr="001E6889">
        <w:rPr>
          <w:color w:val="000000" w:themeColor="text1"/>
        </w:rPr>
        <w:t>examining diagnostic plots for the regression on complete cases, there seem to be no significant leverage points.</w:t>
      </w:r>
      <w:r w:rsidR="00FE4E53">
        <w:rPr>
          <w:color w:val="000000" w:themeColor="text1"/>
        </w:rPr>
        <w:t xml:space="preserve"> </w:t>
      </w:r>
      <w:r w:rsidRPr="001E6889">
        <w:rPr>
          <w:color w:val="000000" w:themeColor="text1"/>
        </w:rPr>
        <w:t xml:space="preserve">The QQ-plot (not shown) showed slightly heavy tails, but otherwise the normality assumption was appropriate. The heavy tails cause little concern given MLR is quite robust to departures from normality (Schmidt </w:t>
      </w:r>
      <w:r w:rsidR="00FE4E53">
        <w:rPr>
          <w:color w:val="000000" w:themeColor="text1"/>
        </w:rPr>
        <w:t>&amp;</w:t>
      </w:r>
      <w:r w:rsidR="00FE4E53" w:rsidRPr="001E6889">
        <w:rPr>
          <w:color w:val="000000" w:themeColor="text1"/>
        </w:rPr>
        <w:t xml:space="preserve"> </w:t>
      </w:r>
      <w:r w:rsidRPr="001E6889">
        <w:rPr>
          <w:color w:val="000000" w:themeColor="text1"/>
        </w:rPr>
        <w:t>Finan</w:t>
      </w:r>
      <w:r w:rsidR="00FE4E53">
        <w:rPr>
          <w:color w:val="000000" w:themeColor="text1"/>
        </w:rPr>
        <w:t>,</w:t>
      </w:r>
      <w:r w:rsidRPr="001E6889">
        <w:rPr>
          <w:color w:val="000000" w:themeColor="text1"/>
        </w:rPr>
        <w:t xml:space="preserve"> 2018).</w:t>
      </w:r>
    </w:p>
    <w:p w14:paraId="53230FA1" w14:textId="66678E7C" w:rsidR="005546F0" w:rsidRPr="001E6889" w:rsidRDefault="007705ED" w:rsidP="001E6889">
      <w:pPr>
        <w:pStyle w:val="BodyText"/>
        <w:spacing w:before="0" w:after="0" w:line="480" w:lineRule="auto"/>
        <w:ind w:firstLine="720"/>
        <w:rPr>
          <w:color w:val="000000" w:themeColor="text1"/>
        </w:rPr>
      </w:pPr>
      <w:r w:rsidRPr="001E6889">
        <w:rPr>
          <w:color w:val="000000" w:themeColor="text1"/>
        </w:rPr>
        <w:t xml:space="preserve">For the two MLRs (complete cases and multiple imputation), the results are similar to one another. Both regression outputs indicate the three psychosocial variables have a minimal effect at best on hypermobility as measured by the Beighton Score. Since all three psychosocial variables have a p-value much greater than 0.05, there is not sufficient evidence to claim there is any relationship between the psychosocial outcomes and the Beighton Score. However, both MLRs indicate age and gender do have statistically significant effects. To interpret the age and gender coefficients for the regression utilizing multiple imputation in Table 4, we are 95% confident that age and gender are related to the Beighton Scores. A 95% level of confidence means that if we conducted this same analysis multiple times on different samples of individuals, we would expect a non-zero effect to exist between age and Beighton Score as well as gender and Beighton Score 95% of the time. On average in this sample, the Beighton Score decreases by 0.06 for each </w:t>
      </w:r>
      <w:r w:rsidR="00D71403" w:rsidRPr="001E6889">
        <w:rPr>
          <w:color w:val="000000" w:themeColor="text1"/>
        </w:rPr>
        <w:t>one-year</w:t>
      </w:r>
      <w:r w:rsidRPr="001E6889">
        <w:rPr>
          <w:color w:val="000000" w:themeColor="text1"/>
        </w:rPr>
        <w:t xml:space="preserve"> increase in age. Additionally, males on average have Beighton Scores 3.7 points lower than females. This indicates that younger females tend to have the highest incidence of hypermobility.</w:t>
      </w:r>
    </w:p>
    <w:p w14:paraId="031B7BCB" w14:textId="42306984" w:rsidR="005546F0" w:rsidRPr="001E6889" w:rsidRDefault="007705ED" w:rsidP="001E6889">
      <w:pPr>
        <w:pStyle w:val="BodyText"/>
        <w:spacing w:before="0" w:after="0" w:line="480" w:lineRule="auto"/>
        <w:ind w:firstLine="720"/>
        <w:rPr>
          <w:color w:val="000000" w:themeColor="text1"/>
        </w:rPr>
      </w:pPr>
      <w:r w:rsidRPr="001E6889">
        <w:rPr>
          <w:color w:val="000000" w:themeColor="text1"/>
        </w:rPr>
        <w:lastRenderedPageBreak/>
        <w:t xml:space="preserve">In general, the results of the multiple imputation MLR ought to be preferred over the complete cases MLR </w:t>
      </w:r>
      <w:r w:rsidR="00FE4E53">
        <w:rPr>
          <w:color w:val="000000" w:themeColor="text1"/>
        </w:rPr>
        <w:t>because</w:t>
      </w:r>
      <w:r w:rsidR="00FE4E53" w:rsidRPr="001E6889">
        <w:rPr>
          <w:color w:val="000000" w:themeColor="text1"/>
        </w:rPr>
        <w:t xml:space="preserve"> </w:t>
      </w:r>
      <w:r w:rsidRPr="001E6889">
        <w:rPr>
          <w:color w:val="000000" w:themeColor="text1"/>
        </w:rPr>
        <w:t xml:space="preserve">the former utilizes all available data while the latter drops rows with missing information. </w:t>
      </w:r>
      <w:r w:rsidR="00FE4E53">
        <w:rPr>
          <w:color w:val="000000" w:themeColor="text1"/>
        </w:rPr>
        <w:t>Because</w:t>
      </w:r>
      <w:r w:rsidR="00FE4E53" w:rsidRPr="001E6889">
        <w:rPr>
          <w:color w:val="000000" w:themeColor="text1"/>
        </w:rPr>
        <w:t xml:space="preserve"> </w:t>
      </w:r>
      <w:r w:rsidRPr="001E6889">
        <w:rPr>
          <w:color w:val="000000" w:themeColor="text1"/>
        </w:rPr>
        <w:t xml:space="preserve">the multiple imputation MLR considers more data, the standard errors for the coefficients are smaller which means greater confidence in the coefficient estimates and thus, greater precision. </w:t>
      </w:r>
      <w:r w:rsidR="00FE4E53">
        <w:rPr>
          <w:color w:val="000000" w:themeColor="text1"/>
        </w:rPr>
        <w:t>Although</w:t>
      </w:r>
      <w:r w:rsidR="00FE4E53" w:rsidRPr="001E6889">
        <w:rPr>
          <w:color w:val="000000" w:themeColor="text1"/>
        </w:rPr>
        <w:t xml:space="preserve"> </w:t>
      </w:r>
      <w:r w:rsidRPr="001E6889">
        <w:rPr>
          <w:color w:val="000000" w:themeColor="text1"/>
        </w:rPr>
        <w:t xml:space="preserve">comparing the coefficients and standard error for the complete cases MLR versus the multiple imputation MLR (Table 4) </w:t>
      </w:r>
      <w:r w:rsidR="00D71403" w:rsidRPr="001E6889">
        <w:rPr>
          <w:color w:val="000000" w:themeColor="text1"/>
        </w:rPr>
        <w:t>demonstrates</w:t>
      </w:r>
      <w:r w:rsidRPr="001E6889">
        <w:rPr>
          <w:color w:val="000000" w:themeColor="text1"/>
        </w:rPr>
        <w:t xml:space="preserve"> that there are some minor changes in the coefficient values, the most significant change occurs in the coefficient on gender. </w:t>
      </w:r>
      <w:r w:rsidR="00FE4E53">
        <w:rPr>
          <w:color w:val="000000" w:themeColor="text1"/>
        </w:rPr>
        <w:t>Because</w:t>
      </w:r>
      <w:r w:rsidR="00FE4E53" w:rsidRPr="001E6889">
        <w:rPr>
          <w:color w:val="000000" w:themeColor="text1"/>
        </w:rPr>
        <w:t xml:space="preserve"> </w:t>
      </w:r>
      <w:r w:rsidRPr="001E6889">
        <w:rPr>
          <w:color w:val="000000" w:themeColor="text1"/>
        </w:rPr>
        <w:t>the gender variable has no missing rows in the original data set, the change in the coefficient post-imputation is due to the elimination of bias by including the full data set rather than any introduction in bias due to the imputation.</w:t>
      </w:r>
    </w:p>
    <w:p w14:paraId="5068C83A" w14:textId="21BB1ACC" w:rsidR="005546F0" w:rsidRPr="001E6889" w:rsidRDefault="007705ED" w:rsidP="001E6889">
      <w:pPr>
        <w:pStyle w:val="BodyText"/>
        <w:spacing w:before="0" w:after="0" w:line="480" w:lineRule="auto"/>
        <w:ind w:firstLine="720"/>
        <w:rPr>
          <w:color w:val="000000" w:themeColor="text1"/>
        </w:rPr>
      </w:pPr>
      <w:r w:rsidRPr="001E6889">
        <w:rPr>
          <w:color w:val="000000" w:themeColor="text1"/>
        </w:rPr>
        <w:t xml:space="preserve">The logistic regression was a post-hoc analysis and thus any results ought to be treated with caution. However, the logistic regression also confirmed the results of the MLRs that psychosocial outcomes are not statistically significantly associated with Beighton Score, but age and gender are significantly associated with Beighton Score. The similarity between the logistic regression results and the previous MLR results imply that splitting the data at a Beighton Score cutoff of 4 does not significantly alter the conclusion. This </w:t>
      </w:r>
      <w:r w:rsidR="001E6889">
        <w:rPr>
          <w:color w:val="000000" w:themeColor="text1"/>
        </w:rPr>
        <w:t xml:space="preserve">similarity </w:t>
      </w:r>
      <w:r w:rsidRPr="001E6889">
        <w:rPr>
          <w:color w:val="000000" w:themeColor="text1"/>
        </w:rPr>
        <w:t>is helpful to keep in mind since clinicians commonly use this cutoff instead of treating Beighton Score as a continuous scale.</w:t>
      </w:r>
    </w:p>
    <w:p w14:paraId="5ED63CBA" w14:textId="77777777" w:rsidR="005546F0" w:rsidRPr="001E6889" w:rsidRDefault="007705ED" w:rsidP="001E6889">
      <w:pPr>
        <w:pStyle w:val="Heading2"/>
        <w:spacing w:before="0" w:line="480" w:lineRule="auto"/>
        <w:rPr>
          <w:color w:val="000000" w:themeColor="text1"/>
          <w:sz w:val="24"/>
          <w:szCs w:val="24"/>
        </w:rPr>
      </w:pPr>
      <w:bookmarkStart w:id="11" w:name="interactive-shiny-app"/>
      <w:r w:rsidRPr="001E6889">
        <w:rPr>
          <w:color w:val="000000" w:themeColor="text1"/>
          <w:sz w:val="24"/>
          <w:szCs w:val="24"/>
        </w:rPr>
        <w:t>Interactive Shiny App</w:t>
      </w:r>
    </w:p>
    <w:p w14:paraId="5BE48C60" w14:textId="6B55E412" w:rsidR="005546F0" w:rsidRPr="001E6889" w:rsidRDefault="00FE4E53" w:rsidP="001E6889">
      <w:pPr>
        <w:pStyle w:val="FirstParagraph"/>
        <w:spacing w:before="0" w:after="0" w:line="480" w:lineRule="auto"/>
        <w:ind w:firstLine="720"/>
        <w:rPr>
          <w:color w:val="000000" w:themeColor="text1"/>
        </w:rPr>
      </w:pPr>
      <w:r>
        <w:rPr>
          <w:color w:val="000000" w:themeColor="text1"/>
        </w:rPr>
        <w:t>R</w:t>
      </w:r>
      <w:r w:rsidR="007705ED" w:rsidRPr="001E6889">
        <w:rPr>
          <w:color w:val="000000" w:themeColor="text1"/>
        </w:rPr>
        <w:t xml:space="preserve">esults can be viewed on the interactive Shiny application at the following link: </w:t>
      </w:r>
      <w:hyperlink r:id="rId7" w:history="1">
        <w:r w:rsidR="002A11EE" w:rsidRPr="001E6889">
          <w:rPr>
            <w:rStyle w:val="Hyperlink"/>
            <w:color w:val="000000" w:themeColor="text1"/>
          </w:rPr>
          <w:t>https://schneiderstats.shinyapps.io/hypermobility_app/</w:t>
        </w:r>
      </w:hyperlink>
      <w:r w:rsidR="007705ED" w:rsidRPr="001E6889">
        <w:rPr>
          <w:color w:val="000000" w:themeColor="text1"/>
        </w:rPr>
        <w:t>.</w:t>
      </w:r>
      <w:r w:rsidR="00396B93">
        <w:rPr>
          <w:color w:val="000000" w:themeColor="text1"/>
        </w:rPr>
        <w:t xml:space="preserve"> The app includes four tabs: an </w:t>
      </w:r>
      <w:r w:rsidR="00396B93">
        <w:rPr>
          <w:color w:val="000000" w:themeColor="text1"/>
        </w:rPr>
        <w:lastRenderedPageBreak/>
        <w:t>Upload tab, a Data Exploration tab, an Imputation Comparison tab, and a Regression Results tab. Each is described in detail below.</w:t>
      </w:r>
    </w:p>
    <w:p w14:paraId="69EA32C9" w14:textId="3929305C" w:rsidR="005546F0" w:rsidRDefault="007705ED" w:rsidP="001E6889">
      <w:pPr>
        <w:pStyle w:val="BodyText"/>
        <w:spacing w:before="0" w:after="0" w:line="480" w:lineRule="auto"/>
        <w:ind w:firstLine="720"/>
        <w:rPr>
          <w:color w:val="000000" w:themeColor="text1"/>
        </w:rPr>
      </w:pPr>
      <w:r w:rsidRPr="001E6889">
        <w:rPr>
          <w:color w:val="000000" w:themeColor="text1"/>
        </w:rPr>
        <w:t xml:space="preserve">The </w:t>
      </w:r>
      <w:r w:rsidRPr="001E6889">
        <w:rPr>
          <w:i/>
          <w:iCs/>
          <w:color w:val="000000" w:themeColor="text1"/>
        </w:rPr>
        <w:t>Upload Data</w:t>
      </w:r>
      <w:r w:rsidRPr="001E6889">
        <w:rPr>
          <w:color w:val="000000" w:themeColor="text1"/>
        </w:rPr>
        <w:t xml:space="preserve"> tab </w:t>
      </w:r>
      <w:r w:rsidR="00396B93">
        <w:rPr>
          <w:color w:val="000000" w:themeColor="text1"/>
        </w:rPr>
        <w:t xml:space="preserve">(see Figure 1) </w:t>
      </w:r>
      <w:r w:rsidRPr="001E6889">
        <w:rPr>
          <w:color w:val="000000" w:themeColor="text1"/>
        </w:rPr>
        <w:t>enables users to obtain a full analysis of any data set without the necessity of coding. If more data is gathered regarding hypermobility after the completion of this project, the researcher can simply upload any new data (in the format specified within the instructions section of the tab) and see results for both an MLR, logistic regression, and exploratory data plots.</w:t>
      </w:r>
    </w:p>
    <w:p w14:paraId="6BE23172" w14:textId="77777777" w:rsidR="00396B93" w:rsidRDefault="00396B93" w:rsidP="001E6889">
      <w:pPr>
        <w:pStyle w:val="BodyText"/>
        <w:spacing w:before="0" w:after="0" w:line="480" w:lineRule="auto"/>
        <w:ind w:firstLine="720"/>
        <w:rPr>
          <w:color w:val="000000" w:themeColor="text1"/>
        </w:rPr>
      </w:pPr>
    </w:p>
    <w:p w14:paraId="72758A10" w14:textId="3F264B01" w:rsidR="00396B93" w:rsidRDefault="00396B93" w:rsidP="00396B93">
      <w:pPr>
        <w:pStyle w:val="TableCaption"/>
        <w:spacing w:after="0" w:line="480" w:lineRule="auto"/>
        <w:rPr>
          <w:color w:val="000000" w:themeColor="text1"/>
        </w:rPr>
      </w:pPr>
      <w:r>
        <w:rPr>
          <w:color w:val="000000" w:themeColor="text1"/>
        </w:rPr>
        <w:t>Figure 1</w:t>
      </w:r>
      <w:r w:rsidRPr="001E6889">
        <w:rPr>
          <w:color w:val="000000" w:themeColor="text1"/>
        </w:rPr>
        <w:t xml:space="preserve">: </w:t>
      </w:r>
      <w:r>
        <w:rPr>
          <w:color w:val="000000" w:themeColor="text1"/>
        </w:rPr>
        <w:t>Upload Data Tab</w:t>
      </w:r>
    </w:p>
    <w:p w14:paraId="53371BBC" w14:textId="71049210" w:rsidR="00396B93" w:rsidRDefault="00396B93" w:rsidP="00396B93">
      <w:pPr>
        <w:pStyle w:val="BodyText"/>
        <w:spacing w:before="0" w:after="0" w:line="480" w:lineRule="auto"/>
        <w:jc w:val="center"/>
        <w:rPr>
          <w:color w:val="000000" w:themeColor="text1"/>
        </w:rPr>
      </w:pPr>
      <w:r>
        <w:rPr>
          <w:noProof/>
        </w:rPr>
        <w:drawing>
          <wp:inline distT="0" distB="0" distL="0" distR="0" wp14:anchorId="57646CA4" wp14:editId="04465EFD">
            <wp:extent cx="5314950" cy="2217402"/>
            <wp:effectExtent l="19050" t="19050" r="19050" b="12065"/>
            <wp:docPr id="1397064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64393" name="Picture 1" descr="A screenshot of a computer&#10;&#10;Description automatically generated"/>
                    <pic:cNvPicPr/>
                  </pic:nvPicPr>
                  <pic:blipFill>
                    <a:blip r:embed="rId8"/>
                    <a:stretch>
                      <a:fillRect/>
                    </a:stretch>
                  </pic:blipFill>
                  <pic:spPr>
                    <a:xfrm>
                      <a:off x="0" y="0"/>
                      <a:ext cx="5320803" cy="2219844"/>
                    </a:xfrm>
                    <a:prstGeom prst="rect">
                      <a:avLst/>
                    </a:prstGeom>
                    <a:ln w="12700">
                      <a:solidFill>
                        <a:schemeClr val="tx1"/>
                      </a:solidFill>
                    </a:ln>
                  </pic:spPr>
                </pic:pic>
              </a:graphicData>
            </a:graphic>
          </wp:inline>
        </w:drawing>
      </w:r>
    </w:p>
    <w:p w14:paraId="3B8EC030" w14:textId="77777777" w:rsidR="00396B93" w:rsidRPr="001E6889" w:rsidRDefault="00396B93" w:rsidP="00396B93">
      <w:pPr>
        <w:pStyle w:val="BodyText"/>
        <w:spacing w:before="0" w:after="0" w:line="480" w:lineRule="auto"/>
        <w:rPr>
          <w:color w:val="000000" w:themeColor="text1"/>
        </w:rPr>
      </w:pPr>
    </w:p>
    <w:p w14:paraId="58AB4925" w14:textId="7870DDCF" w:rsidR="005546F0" w:rsidRDefault="007705ED" w:rsidP="001E6889">
      <w:pPr>
        <w:pStyle w:val="BodyText"/>
        <w:spacing w:before="0" w:after="0" w:line="480" w:lineRule="auto"/>
        <w:ind w:firstLine="720"/>
        <w:rPr>
          <w:color w:val="000000" w:themeColor="text1"/>
        </w:rPr>
      </w:pPr>
      <w:r w:rsidRPr="001E6889">
        <w:rPr>
          <w:color w:val="000000" w:themeColor="text1"/>
        </w:rPr>
        <w:t xml:space="preserve">The </w:t>
      </w:r>
      <w:r w:rsidRPr="001E6889">
        <w:rPr>
          <w:i/>
          <w:iCs/>
          <w:color w:val="000000" w:themeColor="text1"/>
        </w:rPr>
        <w:t>Data Exploration</w:t>
      </w:r>
      <w:r w:rsidRPr="001E6889">
        <w:rPr>
          <w:color w:val="000000" w:themeColor="text1"/>
        </w:rPr>
        <w:t xml:space="preserve"> tab </w:t>
      </w:r>
      <w:r w:rsidR="00396B93">
        <w:rPr>
          <w:color w:val="000000" w:themeColor="text1"/>
        </w:rPr>
        <w:t xml:space="preserve">(see Figure 2) </w:t>
      </w:r>
      <w:r w:rsidRPr="001E6889">
        <w:rPr>
          <w:color w:val="000000" w:themeColor="text1"/>
        </w:rPr>
        <w:t xml:space="preserve">includes pairwise correlation plots to visualize the relationship between continuous variables and also to check assumptions of independence between the predictor variables. Within the tab, the summary statistics section includes an output of the data file and the ability to visualize the distribution of each variable via a box plot. The box plot can be split into Male and Female categories </w:t>
      </w:r>
      <w:r w:rsidRPr="001E6889">
        <w:rPr>
          <w:color w:val="000000" w:themeColor="text1"/>
        </w:rPr>
        <w:lastRenderedPageBreak/>
        <w:t>separately</w:t>
      </w:r>
      <w:r w:rsidR="000A4868">
        <w:rPr>
          <w:color w:val="000000" w:themeColor="text1"/>
        </w:rPr>
        <w:t>,</w:t>
      </w:r>
      <w:r w:rsidRPr="001E6889">
        <w:rPr>
          <w:color w:val="000000" w:themeColor="text1"/>
        </w:rPr>
        <w:t xml:space="preserve"> if desired. Any missing values for the variable will be displayed below the box plot.</w:t>
      </w:r>
    </w:p>
    <w:p w14:paraId="2BB5271A" w14:textId="77777777" w:rsidR="00396B93" w:rsidRDefault="00396B93" w:rsidP="00396B93">
      <w:pPr>
        <w:pStyle w:val="BodyText"/>
        <w:spacing w:before="0" w:after="0" w:line="480" w:lineRule="auto"/>
        <w:rPr>
          <w:color w:val="000000" w:themeColor="text1"/>
        </w:rPr>
      </w:pPr>
    </w:p>
    <w:p w14:paraId="37E1086D" w14:textId="13A07C68" w:rsidR="00396B93" w:rsidRDefault="00396B93" w:rsidP="00396B93">
      <w:pPr>
        <w:pStyle w:val="TableCaption"/>
        <w:spacing w:after="0" w:line="480" w:lineRule="auto"/>
        <w:rPr>
          <w:color w:val="000000" w:themeColor="text1"/>
        </w:rPr>
      </w:pPr>
      <w:r>
        <w:rPr>
          <w:color w:val="000000" w:themeColor="text1"/>
        </w:rPr>
        <w:t>Figure 2</w:t>
      </w:r>
      <w:r w:rsidRPr="001E6889">
        <w:rPr>
          <w:color w:val="000000" w:themeColor="text1"/>
        </w:rPr>
        <w:t xml:space="preserve">: </w:t>
      </w:r>
      <w:r>
        <w:rPr>
          <w:color w:val="000000" w:themeColor="text1"/>
        </w:rPr>
        <w:t>Data Exploration Tab</w:t>
      </w:r>
    </w:p>
    <w:p w14:paraId="44CD2F69" w14:textId="1A49D848" w:rsidR="00396B93" w:rsidRDefault="00396B93" w:rsidP="00396B93">
      <w:pPr>
        <w:pStyle w:val="BodyText"/>
        <w:spacing w:before="0" w:after="0" w:line="480" w:lineRule="auto"/>
        <w:jc w:val="center"/>
        <w:rPr>
          <w:color w:val="000000" w:themeColor="text1"/>
        </w:rPr>
      </w:pPr>
      <w:r>
        <w:rPr>
          <w:noProof/>
        </w:rPr>
        <w:drawing>
          <wp:inline distT="0" distB="0" distL="0" distR="0" wp14:anchorId="1DFB133B" wp14:editId="706F4A23">
            <wp:extent cx="5581650" cy="3060963"/>
            <wp:effectExtent l="19050" t="19050" r="19050" b="25400"/>
            <wp:docPr id="978336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36112" name="Picture 1" descr="A screenshot of a computer&#10;&#10;Description automatically generated"/>
                    <pic:cNvPicPr/>
                  </pic:nvPicPr>
                  <pic:blipFill>
                    <a:blip r:embed="rId9"/>
                    <a:stretch>
                      <a:fillRect/>
                    </a:stretch>
                  </pic:blipFill>
                  <pic:spPr>
                    <a:xfrm>
                      <a:off x="0" y="0"/>
                      <a:ext cx="5585518" cy="3063084"/>
                    </a:xfrm>
                    <a:prstGeom prst="rect">
                      <a:avLst/>
                    </a:prstGeom>
                    <a:ln w="12700">
                      <a:solidFill>
                        <a:schemeClr val="tx1"/>
                      </a:solidFill>
                    </a:ln>
                  </pic:spPr>
                </pic:pic>
              </a:graphicData>
            </a:graphic>
          </wp:inline>
        </w:drawing>
      </w:r>
    </w:p>
    <w:p w14:paraId="296EDFE5" w14:textId="77777777" w:rsidR="00396B93" w:rsidRPr="001E6889" w:rsidRDefault="00396B93" w:rsidP="00396B93">
      <w:pPr>
        <w:pStyle w:val="BodyText"/>
        <w:spacing w:before="0" w:after="0" w:line="480" w:lineRule="auto"/>
        <w:rPr>
          <w:color w:val="000000" w:themeColor="text1"/>
        </w:rPr>
      </w:pPr>
    </w:p>
    <w:p w14:paraId="555ACCE7" w14:textId="20CF7B0E" w:rsidR="00396B93" w:rsidRDefault="007705ED" w:rsidP="00396B93">
      <w:pPr>
        <w:pStyle w:val="BodyText"/>
        <w:spacing w:before="0" w:after="0" w:line="480" w:lineRule="auto"/>
        <w:ind w:firstLine="720"/>
        <w:rPr>
          <w:color w:val="000000" w:themeColor="text1"/>
        </w:rPr>
      </w:pPr>
      <w:r w:rsidRPr="001E6889">
        <w:rPr>
          <w:color w:val="000000" w:themeColor="text1"/>
        </w:rPr>
        <w:t xml:space="preserve">The </w:t>
      </w:r>
      <w:r w:rsidRPr="001E6889">
        <w:rPr>
          <w:i/>
          <w:iCs/>
          <w:color w:val="000000" w:themeColor="text1"/>
        </w:rPr>
        <w:t>Imputation Comparison</w:t>
      </w:r>
      <w:r w:rsidRPr="001E6889">
        <w:rPr>
          <w:color w:val="000000" w:themeColor="text1"/>
        </w:rPr>
        <w:t xml:space="preserve"> tab</w:t>
      </w:r>
      <w:r w:rsidR="00396B93">
        <w:rPr>
          <w:color w:val="000000" w:themeColor="text1"/>
        </w:rPr>
        <w:t xml:space="preserve"> (see Figure 3)</w:t>
      </w:r>
      <w:r w:rsidRPr="001E6889">
        <w:rPr>
          <w:color w:val="000000" w:themeColor="text1"/>
        </w:rPr>
        <w:t xml:space="preserve"> provides a bar plot and grid plot of all missing observations within the data set. The grid plot helps the user identify any missingness patterns. For each predictor variable, the KNN Imputation and MICE Imputation sections display box plots of the imputed data which can be compared to the box plot of the original data shown in the Missing Data section. This allows the user to check how the imputation method performs and whether the distribution remains similar post-imputation.</w:t>
      </w:r>
    </w:p>
    <w:p w14:paraId="65E075D0" w14:textId="6AB31998" w:rsidR="00396B93" w:rsidRDefault="00396B93" w:rsidP="00396B93">
      <w:pPr>
        <w:pStyle w:val="TableCaption"/>
        <w:spacing w:after="0" w:line="480" w:lineRule="auto"/>
        <w:rPr>
          <w:color w:val="000000" w:themeColor="text1"/>
        </w:rPr>
      </w:pPr>
      <w:r>
        <w:rPr>
          <w:color w:val="000000" w:themeColor="text1"/>
        </w:rPr>
        <w:lastRenderedPageBreak/>
        <w:t>Figure 3</w:t>
      </w:r>
      <w:r w:rsidRPr="001E6889">
        <w:rPr>
          <w:color w:val="000000" w:themeColor="text1"/>
        </w:rPr>
        <w:t xml:space="preserve">: </w:t>
      </w:r>
      <w:r>
        <w:rPr>
          <w:color w:val="000000" w:themeColor="text1"/>
        </w:rPr>
        <w:t>Imputation Comparison Tab</w:t>
      </w:r>
    </w:p>
    <w:p w14:paraId="4F1F89E5" w14:textId="7BF0B416" w:rsidR="00396B93" w:rsidRDefault="00396B93" w:rsidP="00396B93">
      <w:pPr>
        <w:pStyle w:val="BodyText"/>
        <w:spacing w:before="0" w:after="0" w:line="480" w:lineRule="auto"/>
        <w:jc w:val="center"/>
        <w:rPr>
          <w:color w:val="000000" w:themeColor="text1"/>
        </w:rPr>
      </w:pPr>
      <w:r>
        <w:rPr>
          <w:noProof/>
        </w:rPr>
        <w:drawing>
          <wp:inline distT="0" distB="0" distL="0" distR="0" wp14:anchorId="5C39B4FD" wp14:editId="62C07CFA">
            <wp:extent cx="5943600" cy="2893695"/>
            <wp:effectExtent l="19050" t="19050" r="19050" b="20955"/>
            <wp:docPr id="7735793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79368" name="Picture 1" descr="A screenshot of a graph&#10;&#10;Description automatically generated"/>
                    <pic:cNvPicPr/>
                  </pic:nvPicPr>
                  <pic:blipFill>
                    <a:blip r:embed="rId10"/>
                    <a:stretch>
                      <a:fillRect/>
                    </a:stretch>
                  </pic:blipFill>
                  <pic:spPr>
                    <a:xfrm>
                      <a:off x="0" y="0"/>
                      <a:ext cx="5943600" cy="2893695"/>
                    </a:xfrm>
                    <a:prstGeom prst="rect">
                      <a:avLst/>
                    </a:prstGeom>
                    <a:ln w="12700">
                      <a:solidFill>
                        <a:schemeClr val="tx1"/>
                      </a:solidFill>
                    </a:ln>
                  </pic:spPr>
                </pic:pic>
              </a:graphicData>
            </a:graphic>
          </wp:inline>
        </w:drawing>
      </w:r>
    </w:p>
    <w:p w14:paraId="1C126237" w14:textId="77777777" w:rsidR="00396B93" w:rsidRPr="001E6889" w:rsidRDefault="00396B93" w:rsidP="00396B93">
      <w:pPr>
        <w:pStyle w:val="BodyText"/>
        <w:spacing w:before="0" w:after="0" w:line="480" w:lineRule="auto"/>
        <w:rPr>
          <w:color w:val="000000" w:themeColor="text1"/>
        </w:rPr>
      </w:pPr>
    </w:p>
    <w:p w14:paraId="39A0B5BD" w14:textId="6CCFAE9D" w:rsidR="005546F0" w:rsidRDefault="007705ED" w:rsidP="001E6889">
      <w:pPr>
        <w:pStyle w:val="BodyText"/>
        <w:spacing w:before="0" w:after="0" w:line="480" w:lineRule="auto"/>
        <w:ind w:firstLine="720"/>
        <w:rPr>
          <w:color w:val="000000" w:themeColor="text1"/>
        </w:rPr>
      </w:pPr>
      <w:r w:rsidRPr="001E6889">
        <w:rPr>
          <w:color w:val="000000" w:themeColor="text1"/>
        </w:rPr>
        <w:t xml:space="preserve">Finally, the </w:t>
      </w:r>
      <w:r w:rsidRPr="001E6889">
        <w:rPr>
          <w:i/>
          <w:iCs/>
          <w:color w:val="000000" w:themeColor="text1"/>
        </w:rPr>
        <w:t>Regression Results</w:t>
      </w:r>
      <w:r w:rsidRPr="001E6889">
        <w:rPr>
          <w:color w:val="000000" w:themeColor="text1"/>
        </w:rPr>
        <w:t xml:space="preserve"> tab </w:t>
      </w:r>
      <w:r w:rsidR="00396B93">
        <w:rPr>
          <w:color w:val="000000" w:themeColor="text1"/>
        </w:rPr>
        <w:t xml:space="preserve">(see Figure 4) </w:t>
      </w:r>
      <w:r w:rsidRPr="001E6889">
        <w:rPr>
          <w:color w:val="000000" w:themeColor="text1"/>
        </w:rPr>
        <w:t xml:space="preserve">enables users to see the output for MLR and logistic regression on both complete cases (only utilizing complete rows in the data set) and the imputed data set. To use only complete cases, the user should select “Original” from the drop-down menu. To use the imputed data set, the user should select “Imputed” from the dropdown menu. If the user selects the option to dichotomize the Beighton Score, the Beighton Score will be split into two groups (&lt;4 and </w:t>
      </w:r>
      <w:r w:rsidR="001826C9" w:rsidRPr="1137E1EF">
        <w:rPr>
          <w:color w:val="000000" w:themeColor="text1"/>
        </w:rPr>
        <w:t>≥4</w:t>
      </w:r>
      <w:r w:rsidRPr="001E6889">
        <w:rPr>
          <w:color w:val="000000" w:themeColor="text1"/>
        </w:rPr>
        <w:t>) and the application will conduct a logistic regression on the uploaded data. Otherwise, an MLR will be conducted. All interpretations for predictor variables can be seen by selecting a variable from the drop-down menu below the regression results. Interpretations will include an interpretation of the coefficient and the 95% confidence interval. All code output for these analyses is displayed on the right side of the screen.</w:t>
      </w:r>
    </w:p>
    <w:p w14:paraId="23DE7C7B" w14:textId="77777777" w:rsidR="00396B93" w:rsidRDefault="00396B93" w:rsidP="00396B93">
      <w:pPr>
        <w:pStyle w:val="BodyText"/>
        <w:spacing w:before="0" w:after="0" w:line="480" w:lineRule="auto"/>
        <w:rPr>
          <w:color w:val="000000" w:themeColor="text1"/>
        </w:rPr>
      </w:pPr>
    </w:p>
    <w:p w14:paraId="48D8913F" w14:textId="77777777" w:rsidR="00396B93" w:rsidRDefault="00396B93" w:rsidP="00396B93">
      <w:pPr>
        <w:pStyle w:val="BodyText"/>
        <w:spacing w:before="0" w:after="0" w:line="480" w:lineRule="auto"/>
        <w:rPr>
          <w:color w:val="000000" w:themeColor="text1"/>
        </w:rPr>
      </w:pPr>
    </w:p>
    <w:p w14:paraId="0366027D" w14:textId="31605539" w:rsidR="00396B93" w:rsidRDefault="00396B93" w:rsidP="00396B93">
      <w:pPr>
        <w:pStyle w:val="TableCaption"/>
        <w:spacing w:after="0" w:line="480" w:lineRule="auto"/>
        <w:rPr>
          <w:color w:val="000000" w:themeColor="text1"/>
        </w:rPr>
      </w:pPr>
      <w:r>
        <w:rPr>
          <w:color w:val="000000" w:themeColor="text1"/>
        </w:rPr>
        <w:t>Figure 4</w:t>
      </w:r>
      <w:r w:rsidRPr="001E6889">
        <w:rPr>
          <w:color w:val="000000" w:themeColor="text1"/>
        </w:rPr>
        <w:t xml:space="preserve">: </w:t>
      </w:r>
      <w:r>
        <w:rPr>
          <w:color w:val="000000" w:themeColor="text1"/>
        </w:rPr>
        <w:t>Regression Results Tab</w:t>
      </w:r>
    </w:p>
    <w:p w14:paraId="1B2B7F5C" w14:textId="0FE855CF" w:rsidR="00396B93" w:rsidRDefault="00396B93" w:rsidP="00396B93">
      <w:pPr>
        <w:pStyle w:val="BodyText"/>
        <w:spacing w:before="0" w:after="0" w:line="480" w:lineRule="auto"/>
        <w:jc w:val="center"/>
        <w:rPr>
          <w:color w:val="000000" w:themeColor="text1"/>
        </w:rPr>
      </w:pPr>
      <w:r>
        <w:rPr>
          <w:noProof/>
        </w:rPr>
        <w:drawing>
          <wp:inline distT="0" distB="0" distL="0" distR="0" wp14:anchorId="5F30B27A" wp14:editId="34D18019">
            <wp:extent cx="5943600" cy="3014345"/>
            <wp:effectExtent l="19050" t="19050" r="19050" b="14605"/>
            <wp:docPr id="867784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84751" name="Picture 1" descr="A screenshot of a computer&#10;&#10;Description automatically generated"/>
                    <pic:cNvPicPr/>
                  </pic:nvPicPr>
                  <pic:blipFill>
                    <a:blip r:embed="rId11"/>
                    <a:stretch>
                      <a:fillRect/>
                    </a:stretch>
                  </pic:blipFill>
                  <pic:spPr>
                    <a:xfrm>
                      <a:off x="0" y="0"/>
                      <a:ext cx="5943600" cy="3014345"/>
                    </a:xfrm>
                    <a:prstGeom prst="rect">
                      <a:avLst/>
                    </a:prstGeom>
                    <a:ln w="12700">
                      <a:solidFill>
                        <a:schemeClr val="tx1"/>
                      </a:solidFill>
                    </a:ln>
                  </pic:spPr>
                </pic:pic>
              </a:graphicData>
            </a:graphic>
          </wp:inline>
        </w:drawing>
      </w:r>
    </w:p>
    <w:p w14:paraId="181AE958" w14:textId="77777777" w:rsidR="00396B93" w:rsidRPr="001E6889" w:rsidRDefault="00396B93" w:rsidP="00396B93">
      <w:pPr>
        <w:pStyle w:val="BodyText"/>
        <w:spacing w:before="0" w:after="0" w:line="480" w:lineRule="auto"/>
        <w:jc w:val="center"/>
        <w:rPr>
          <w:color w:val="000000" w:themeColor="text1"/>
        </w:rPr>
      </w:pPr>
    </w:p>
    <w:p w14:paraId="6568E182" w14:textId="77777777" w:rsidR="005546F0" w:rsidRPr="001E6889" w:rsidRDefault="007705ED" w:rsidP="001E6889">
      <w:pPr>
        <w:pStyle w:val="BodyText"/>
        <w:spacing w:before="0" w:after="0" w:line="480" w:lineRule="auto"/>
        <w:ind w:firstLine="720"/>
        <w:rPr>
          <w:color w:val="000000" w:themeColor="text1"/>
        </w:rPr>
      </w:pPr>
      <w:r w:rsidRPr="001E6889">
        <w:rPr>
          <w:color w:val="000000" w:themeColor="text1"/>
        </w:rPr>
        <w:t>The app provides a user-friendly method of exploring hip hypermobility data without requiring any coding expertise. Users can check regression assumptions, visually explore each variable, conduct imputations when necessary, and view/compare various regression results. These features are useful both for compiling results for academic papers and also for explaining the data to non-subject matter experts.</w:t>
      </w:r>
    </w:p>
    <w:p w14:paraId="03A02DDE" w14:textId="77777777" w:rsidR="005546F0" w:rsidRPr="001E6889" w:rsidRDefault="007705ED" w:rsidP="001E6889">
      <w:pPr>
        <w:pStyle w:val="Heading1"/>
        <w:spacing w:before="0" w:line="480" w:lineRule="auto"/>
        <w:jc w:val="center"/>
        <w:rPr>
          <w:color w:val="000000" w:themeColor="text1"/>
          <w:sz w:val="24"/>
          <w:szCs w:val="24"/>
        </w:rPr>
      </w:pPr>
      <w:bookmarkStart w:id="12" w:name="conclusion-1"/>
      <w:bookmarkEnd w:id="10"/>
      <w:bookmarkEnd w:id="11"/>
      <w:r w:rsidRPr="001E6889">
        <w:rPr>
          <w:color w:val="000000" w:themeColor="text1"/>
          <w:sz w:val="24"/>
          <w:szCs w:val="24"/>
        </w:rPr>
        <w:t>Conclusion</w:t>
      </w:r>
    </w:p>
    <w:p w14:paraId="4A339A04" w14:textId="4FA037F3" w:rsidR="001E6889" w:rsidRDefault="00884CE6" w:rsidP="00884CE6">
      <w:pPr>
        <w:pStyle w:val="FirstParagraph"/>
        <w:spacing w:before="0" w:after="0" w:line="480" w:lineRule="auto"/>
        <w:ind w:firstLine="720"/>
        <w:rPr>
          <w:color w:val="000000" w:themeColor="text1"/>
        </w:rPr>
      </w:pPr>
      <w:r>
        <w:rPr>
          <w:color w:val="000000" w:themeColor="text1"/>
        </w:rPr>
        <w:t xml:space="preserve">While the findings from the data analyzed in this report indicate that there is no evidence of an association between </w:t>
      </w:r>
      <w:r w:rsidRPr="001E6889">
        <w:rPr>
          <w:color w:val="000000" w:themeColor="text1"/>
        </w:rPr>
        <w:t>pain self-efficacy, pain catastrophizing, pain interference</w:t>
      </w:r>
      <w:r>
        <w:rPr>
          <w:color w:val="000000" w:themeColor="text1"/>
        </w:rPr>
        <w:t xml:space="preserve"> and hypermobility, these findings are based upon a data set with substantial missingness from a very limited </w:t>
      </w:r>
      <w:r w:rsidR="00F36115">
        <w:rPr>
          <w:color w:val="000000" w:themeColor="text1"/>
        </w:rPr>
        <w:t xml:space="preserve">(and possibly biased) </w:t>
      </w:r>
      <w:r>
        <w:rPr>
          <w:color w:val="000000" w:themeColor="text1"/>
        </w:rPr>
        <w:t>population.</w:t>
      </w:r>
      <w:r w:rsidR="00307DEA">
        <w:rPr>
          <w:color w:val="000000" w:themeColor="text1"/>
        </w:rPr>
        <w:t xml:space="preserve"> Thus, we cannot definitively conclude from this analysis that there is no relationship between psychosocial </w:t>
      </w:r>
      <w:r w:rsidR="00307DEA">
        <w:rPr>
          <w:color w:val="000000" w:themeColor="text1"/>
        </w:rPr>
        <w:lastRenderedPageBreak/>
        <w:t>variables and hypermobility.</w:t>
      </w:r>
      <w:r>
        <w:rPr>
          <w:color w:val="000000" w:themeColor="text1"/>
        </w:rPr>
        <w:t xml:space="preserve"> </w:t>
      </w:r>
      <w:r w:rsidRPr="001E6889">
        <w:rPr>
          <w:color w:val="000000" w:themeColor="text1"/>
        </w:rPr>
        <w:t>This study does replicate previous research findings that age and gender are significantly associated with hypermobility, however, further validating this result and lending credibility to this study’s sample.</w:t>
      </w:r>
    </w:p>
    <w:p w14:paraId="05A7982F" w14:textId="44F6E30B" w:rsidR="00562913" w:rsidRPr="00562913" w:rsidRDefault="00562913" w:rsidP="00562913">
      <w:pPr>
        <w:pStyle w:val="BodyText"/>
        <w:spacing w:line="480" w:lineRule="auto"/>
      </w:pPr>
      <w:r>
        <w:tab/>
        <w:t>A major limitation of the study is the missing data for the psychosocial variables. The fraction of missing information (FMI) ranged from 68%-86%, indicating a substantial loss of information due to missingness. Furthermore, since the data were prospectively gathered, the study was not powered ahead of time which means that the sample size for this study may not be adequate to capture an effect size of interest. Due to this limitation, we cannot claim definitively that there is not an effect between the psychosocial variables an hypermobility. Thus, both the missingness and the retrospective nature of this analysis limit the validity of the findings in this report.</w:t>
      </w:r>
    </w:p>
    <w:p w14:paraId="7B93BEA7" w14:textId="5F68248A" w:rsidR="005546F0" w:rsidRPr="001E6889" w:rsidRDefault="007705ED" w:rsidP="001E6889">
      <w:pPr>
        <w:pStyle w:val="BodyText"/>
        <w:spacing w:before="0" w:after="0" w:line="480" w:lineRule="auto"/>
        <w:ind w:firstLine="720"/>
        <w:rPr>
          <w:color w:val="000000" w:themeColor="text1"/>
        </w:rPr>
      </w:pPr>
      <w:r w:rsidRPr="001E6889">
        <w:rPr>
          <w:color w:val="000000" w:themeColor="text1"/>
        </w:rPr>
        <w:t xml:space="preserve">A </w:t>
      </w:r>
      <w:r w:rsidR="00562913">
        <w:rPr>
          <w:color w:val="000000" w:themeColor="text1"/>
        </w:rPr>
        <w:t xml:space="preserve">second </w:t>
      </w:r>
      <w:r w:rsidRPr="001E6889">
        <w:rPr>
          <w:color w:val="000000" w:themeColor="text1"/>
        </w:rPr>
        <w:t xml:space="preserve">major limitation of the study which may explain the lack of any </w:t>
      </w:r>
      <w:r w:rsidR="00562913">
        <w:rPr>
          <w:color w:val="000000" w:themeColor="text1"/>
        </w:rPr>
        <w:t xml:space="preserve">evidence of a </w:t>
      </w:r>
      <w:r w:rsidRPr="001E6889">
        <w:rPr>
          <w:color w:val="000000" w:themeColor="text1"/>
        </w:rPr>
        <w:t xml:space="preserve">relationship between psychosocial outcomes and hypermobility is the population from which the sample was obtained. Since the sample originated from a single hip clinic, any findings are limited in their </w:t>
      </w:r>
      <w:r w:rsidR="00D71403" w:rsidRPr="001E6889">
        <w:rPr>
          <w:color w:val="000000" w:themeColor="text1"/>
        </w:rPr>
        <w:t>generalizability</w:t>
      </w:r>
      <w:r w:rsidRPr="001E6889">
        <w:rPr>
          <w:color w:val="000000" w:themeColor="text1"/>
        </w:rPr>
        <w:t xml:space="preserve">. Patients who present to a hip clinic most probably already have some medical concern resulting in a sample that is inherently biased towards a larger representation of individuals with higher incidences of injury. Since the original hypothesis purported that hypermobility might increase physical injury incidence which in turn might impact psychosocial outcomes, drawing a sample from a population who already has an injury or medical concern might negate the marginal effects of hypermobility on elevating injury rate (thus mitigating the effects of hypermobility on psychosocial outcomes). To remedy this limitation, we recommend sampling from the </w:t>
      </w:r>
      <w:r w:rsidRPr="001E6889">
        <w:rPr>
          <w:color w:val="000000" w:themeColor="text1"/>
        </w:rPr>
        <w:lastRenderedPageBreak/>
        <w:t>general population rather than a medical clinic to see if hypermobility increases injury and thus impacts psychosocial outcomes. We do recognize that this recommendation would probably be more costly and burdensome, however, than sampling from a single medical clinic and thus such an analysis is outside the scope of this project.</w:t>
      </w:r>
    </w:p>
    <w:p w14:paraId="6E061928" w14:textId="6499BE8E" w:rsidR="005546F0" w:rsidRPr="001E6889" w:rsidRDefault="007705ED" w:rsidP="001E6889">
      <w:pPr>
        <w:pStyle w:val="BodyText"/>
        <w:spacing w:before="0" w:after="0" w:line="480" w:lineRule="auto"/>
        <w:ind w:firstLine="720"/>
        <w:rPr>
          <w:color w:val="000000" w:themeColor="text1"/>
        </w:rPr>
      </w:pPr>
      <w:r w:rsidRPr="001E6889">
        <w:rPr>
          <w:color w:val="000000" w:themeColor="text1"/>
        </w:rPr>
        <w:t xml:space="preserve">The relationship between hypermobility and psychological outcomes remains an under-researched area. This study provides some insight into the interaction of the physical and the emotional/psychological as it relates to hypermobility research, and it explores whether patients experiencing physical pain might also have a less explored psychological side </w:t>
      </w:r>
      <w:r w:rsidR="00D71403" w:rsidRPr="001E6889">
        <w:rPr>
          <w:color w:val="000000" w:themeColor="text1"/>
        </w:rPr>
        <w:t>effect. Though</w:t>
      </w:r>
      <w:r w:rsidRPr="001E6889">
        <w:rPr>
          <w:color w:val="000000" w:themeColor="text1"/>
        </w:rPr>
        <w:t xml:space="preserve"> our initial findings do not indicate any major relationship, further research is necessary to explore this more fully in a broader population of hypermobile and non-hypermobile individuals and also in medical contexts beyond hypermobility. Continued research can help ensure at-risk patients are receiving not just physical medical care but also the necessary additional mental health care required for pain management.</w:t>
      </w:r>
    </w:p>
    <w:p w14:paraId="7B00038C" w14:textId="48CC8025" w:rsidR="005546F0" w:rsidRPr="001E6889" w:rsidRDefault="005546F0" w:rsidP="001E6889">
      <w:pPr>
        <w:spacing w:after="0" w:line="480" w:lineRule="auto"/>
        <w:rPr>
          <w:color w:val="000000" w:themeColor="text1"/>
        </w:rPr>
      </w:pPr>
    </w:p>
    <w:p w14:paraId="1887A786" w14:textId="51347DE6" w:rsidR="55640C0A" w:rsidRDefault="55640C0A" w:rsidP="55640C0A">
      <w:pPr>
        <w:spacing w:after="0" w:line="480" w:lineRule="auto"/>
        <w:rPr>
          <w:color w:val="000000" w:themeColor="text1"/>
        </w:rPr>
      </w:pPr>
    </w:p>
    <w:p w14:paraId="3A8EC3D7" w14:textId="1DDB2AA9" w:rsidR="55640C0A" w:rsidRDefault="55640C0A" w:rsidP="55640C0A">
      <w:pPr>
        <w:spacing w:after="0" w:line="480" w:lineRule="auto"/>
        <w:rPr>
          <w:color w:val="000000" w:themeColor="text1"/>
        </w:rPr>
      </w:pPr>
    </w:p>
    <w:p w14:paraId="0F33A756" w14:textId="31513F95" w:rsidR="55640C0A" w:rsidRDefault="55640C0A" w:rsidP="55640C0A">
      <w:pPr>
        <w:spacing w:after="0" w:line="480" w:lineRule="auto"/>
        <w:rPr>
          <w:color w:val="000000" w:themeColor="text1"/>
        </w:rPr>
      </w:pPr>
    </w:p>
    <w:p w14:paraId="0F44883A" w14:textId="21F53A6C" w:rsidR="55640C0A" w:rsidRDefault="55640C0A" w:rsidP="55640C0A">
      <w:pPr>
        <w:spacing w:after="0" w:line="480" w:lineRule="auto"/>
        <w:rPr>
          <w:color w:val="000000" w:themeColor="text1"/>
        </w:rPr>
      </w:pPr>
    </w:p>
    <w:p w14:paraId="43399EAD" w14:textId="77777777" w:rsidR="007705ED" w:rsidRDefault="007705ED">
      <w:pPr>
        <w:rPr>
          <w:rFonts w:asciiTheme="majorHAnsi" w:eastAsiaTheme="majorEastAsia" w:hAnsiTheme="majorHAnsi" w:cstheme="majorBidi"/>
          <w:b/>
          <w:bCs/>
          <w:color w:val="000000" w:themeColor="text1"/>
        </w:rPr>
      </w:pPr>
      <w:bookmarkStart w:id="13" w:name="references"/>
      <w:r>
        <w:rPr>
          <w:color w:val="000000" w:themeColor="text1"/>
        </w:rPr>
        <w:br w:type="page"/>
      </w:r>
    </w:p>
    <w:p w14:paraId="4A9500FA" w14:textId="0FD3964C" w:rsidR="005546F0" w:rsidRPr="001E6889" w:rsidRDefault="007705ED" w:rsidP="001E6889">
      <w:pPr>
        <w:pStyle w:val="Heading2"/>
        <w:spacing w:before="0" w:line="480" w:lineRule="auto"/>
        <w:rPr>
          <w:color w:val="000000" w:themeColor="text1"/>
          <w:sz w:val="24"/>
          <w:szCs w:val="24"/>
        </w:rPr>
      </w:pPr>
      <w:r w:rsidRPr="001E6889">
        <w:rPr>
          <w:color w:val="000000" w:themeColor="text1"/>
          <w:sz w:val="24"/>
          <w:szCs w:val="24"/>
        </w:rPr>
        <w:lastRenderedPageBreak/>
        <w:t>References</w:t>
      </w:r>
    </w:p>
    <w:p w14:paraId="51535F0B" w14:textId="77777777" w:rsidR="005546F0" w:rsidRPr="001E6889" w:rsidRDefault="007705ED" w:rsidP="001E6889">
      <w:pPr>
        <w:pStyle w:val="Bibliography"/>
        <w:spacing w:after="0" w:line="480" w:lineRule="auto"/>
        <w:ind w:left="810" w:hanging="810"/>
        <w:rPr>
          <w:color w:val="000000" w:themeColor="text1"/>
        </w:rPr>
      </w:pPr>
      <w:bookmarkStart w:id="14" w:name="ref-Amtmann"/>
      <w:bookmarkStart w:id="15" w:name="refs"/>
      <w:r w:rsidRPr="001E6889">
        <w:rPr>
          <w:color w:val="000000" w:themeColor="text1"/>
        </w:rPr>
        <w:t xml:space="preserve">Amtmann, Dagmar, Karon F Cook, Mark P Jensen, Wen-Hung Chen, Seung Choi, Dennis Revicki, David Cella, et al. 2010. “Development of a PROMIS Item Bank to Measure Pain Interference.” </w:t>
      </w:r>
      <w:r w:rsidRPr="001E6889">
        <w:rPr>
          <w:i/>
          <w:iCs/>
          <w:color w:val="000000" w:themeColor="text1"/>
        </w:rPr>
        <w:t>Pain</w:t>
      </w:r>
      <w:r w:rsidRPr="001E6889">
        <w:rPr>
          <w:color w:val="000000" w:themeColor="text1"/>
        </w:rPr>
        <w:t xml:space="preserve"> 150 (1): 173–82.</w:t>
      </w:r>
    </w:p>
    <w:p w14:paraId="06721C3D" w14:textId="77777777" w:rsidR="005546F0" w:rsidRPr="001E6889" w:rsidRDefault="007705ED" w:rsidP="001E6889">
      <w:pPr>
        <w:pStyle w:val="Bibliography"/>
        <w:spacing w:after="0" w:line="480" w:lineRule="auto"/>
        <w:ind w:left="810" w:hanging="810"/>
        <w:rPr>
          <w:color w:val="000000" w:themeColor="text1"/>
        </w:rPr>
      </w:pPr>
      <w:bookmarkStart w:id="16" w:name="ref-Bockhorn"/>
      <w:bookmarkEnd w:id="14"/>
      <w:r w:rsidRPr="001E6889">
        <w:rPr>
          <w:color w:val="000000" w:themeColor="text1"/>
        </w:rPr>
        <w:t xml:space="preserve">Bockhorn, Lauren N, Angelina M Vera, David Dong, Domenica A Delgado, Kevin E Varner, and Joshua D Harris. 2021. “Interrater and Intrarater Reliability of the Beighton Score: A Systematic Review.” </w:t>
      </w:r>
      <w:r w:rsidRPr="001E6889">
        <w:rPr>
          <w:i/>
          <w:iCs/>
          <w:color w:val="000000" w:themeColor="text1"/>
        </w:rPr>
        <w:t>Orthopaedic Journal of Sports Medicine</w:t>
      </w:r>
      <w:r w:rsidRPr="001E6889">
        <w:rPr>
          <w:color w:val="000000" w:themeColor="text1"/>
        </w:rPr>
        <w:t xml:space="preserve"> 9 (1): 2325967120968099.</w:t>
      </w:r>
    </w:p>
    <w:p w14:paraId="62B21192" w14:textId="77777777" w:rsidR="005546F0" w:rsidRPr="001E6889" w:rsidRDefault="007705ED" w:rsidP="001E6889">
      <w:pPr>
        <w:pStyle w:val="Bibliography"/>
        <w:spacing w:after="0" w:line="480" w:lineRule="auto"/>
        <w:ind w:left="810" w:hanging="810"/>
        <w:rPr>
          <w:color w:val="000000" w:themeColor="text1"/>
        </w:rPr>
      </w:pPr>
      <w:bookmarkStart w:id="17" w:name="ref-Bukva"/>
      <w:bookmarkEnd w:id="16"/>
      <w:r w:rsidRPr="001E6889">
        <w:rPr>
          <w:color w:val="000000" w:themeColor="text1"/>
        </w:rPr>
        <w:t xml:space="preserve">Bukva, Bojan, Goran Vrgoč, Dejan M Madić, Goran Sporiš, and Nebojša Trajković. 2018. “Correlation Between Hypermobility Score and Injury Rate in Artistic Gymnastics.” </w:t>
      </w:r>
      <w:r w:rsidRPr="001E6889">
        <w:rPr>
          <w:i/>
          <w:iCs/>
          <w:color w:val="000000" w:themeColor="text1"/>
        </w:rPr>
        <w:t>The Journal of Sports Medicine and Physical Fitness</w:t>
      </w:r>
      <w:r w:rsidRPr="001E6889">
        <w:rPr>
          <w:color w:val="000000" w:themeColor="text1"/>
        </w:rPr>
        <w:t xml:space="preserve"> 59 (2): 330–34.</w:t>
      </w:r>
    </w:p>
    <w:p w14:paraId="3A4499B8" w14:textId="24463186" w:rsidR="7EADD69A" w:rsidRDefault="7EADD69A" w:rsidP="7EADD69A">
      <w:pPr>
        <w:pStyle w:val="Bibliography"/>
        <w:spacing w:after="0" w:line="480" w:lineRule="auto"/>
        <w:ind w:left="810" w:hanging="810"/>
        <w:rPr>
          <w:color w:val="000000" w:themeColor="text1"/>
        </w:rPr>
      </w:pPr>
      <w:r w:rsidRPr="7EADD69A">
        <w:rPr>
          <w:color w:val="000000" w:themeColor="text1"/>
        </w:rPr>
        <w:t>Castori, M., Tinkle, B., Levy, H., Grahame, R., Malfait, F., &amp; Hakim, A. (2017). A framework for the classification of joint hypermobility and related conditions. American Journal of Medical Genetics Part C: Seminars in Medical Genetics, 175C(1), 148-157. doi:https://doi.org/10.1002/ajmg.c.31539</w:t>
      </w:r>
    </w:p>
    <w:p w14:paraId="6458FDD5" w14:textId="77777777" w:rsidR="005546F0" w:rsidRPr="001E6889" w:rsidRDefault="007705ED" w:rsidP="001E6889">
      <w:pPr>
        <w:pStyle w:val="Bibliography"/>
        <w:spacing w:after="0" w:line="480" w:lineRule="auto"/>
        <w:ind w:left="810" w:hanging="810"/>
        <w:rPr>
          <w:color w:val="000000" w:themeColor="text1"/>
        </w:rPr>
      </w:pPr>
      <w:bookmarkStart w:id="18" w:name="ref-Crijns"/>
      <w:bookmarkEnd w:id="17"/>
      <w:r w:rsidRPr="001E6889">
        <w:rPr>
          <w:color w:val="000000" w:themeColor="text1"/>
        </w:rPr>
        <w:t xml:space="preserve">Crijns, Tom J, Tiffany C Liu, David Ring, Kevin J Bozic, and Karl Koenig. 2019. “Influence of Patient Activation, Pain Self-Efficacy, and Resilience on Pain Intensity and Magnitude of Limitations in Patients with Hip and Knee Arthritis.” </w:t>
      </w:r>
      <w:r w:rsidRPr="001E6889">
        <w:rPr>
          <w:i/>
          <w:iCs/>
          <w:color w:val="000000" w:themeColor="text1"/>
        </w:rPr>
        <w:t>Journal of Surgical Orthopaedic Advances</w:t>
      </w:r>
      <w:r w:rsidRPr="001E6889">
        <w:rPr>
          <w:color w:val="000000" w:themeColor="text1"/>
        </w:rPr>
        <w:t xml:space="preserve"> 28 (1): 48–52.</w:t>
      </w:r>
    </w:p>
    <w:p w14:paraId="450EAE85" w14:textId="77777777" w:rsidR="005546F0" w:rsidRPr="001E6889" w:rsidRDefault="007705ED" w:rsidP="001E6889">
      <w:pPr>
        <w:pStyle w:val="Bibliography"/>
        <w:spacing w:after="0" w:line="480" w:lineRule="auto"/>
        <w:ind w:left="810" w:hanging="810"/>
        <w:rPr>
          <w:color w:val="000000" w:themeColor="text1"/>
        </w:rPr>
      </w:pPr>
      <w:bookmarkStart w:id="19" w:name="ref-Hampton"/>
      <w:bookmarkEnd w:id="18"/>
      <w:r w:rsidRPr="001E6889">
        <w:rPr>
          <w:color w:val="000000" w:themeColor="text1"/>
        </w:rPr>
        <w:t xml:space="preserve">Hampton, SN, PA Nakonezny, HM Richard, and JE Wells. 2019. “Pain Catastrophizing, Anxiety, and Depression in Hip Pathology.” </w:t>
      </w:r>
      <w:r w:rsidRPr="001E6889">
        <w:rPr>
          <w:i/>
          <w:iCs/>
          <w:color w:val="000000" w:themeColor="text1"/>
        </w:rPr>
        <w:t>The Bone &amp; Joint Journal</w:t>
      </w:r>
      <w:r w:rsidRPr="001E6889">
        <w:rPr>
          <w:color w:val="000000" w:themeColor="text1"/>
        </w:rPr>
        <w:t xml:space="preserve"> 101 (7): 800–807.</w:t>
      </w:r>
    </w:p>
    <w:p w14:paraId="5F49EB7F" w14:textId="77777777" w:rsidR="005546F0" w:rsidRPr="001E6889" w:rsidRDefault="007705ED" w:rsidP="001E6889">
      <w:pPr>
        <w:pStyle w:val="Bibliography"/>
        <w:spacing w:after="0" w:line="480" w:lineRule="auto"/>
        <w:ind w:left="810" w:hanging="810"/>
        <w:rPr>
          <w:color w:val="000000" w:themeColor="text1"/>
        </w:rPr>
      </w:pPr>
      <w:bookmarkStart w:id="20" w:name="ref-Jochimsen"/>
      <w:bookmarkEnd w:id="19"/>
      <w:r w:rsidRPr="001E6889">
        <w:rPr>
          <w:color w:val="000000" w:themeColor="text1"/>
        </w:rPr>
        <w:lastRenderedPageBreak/>
        <w:t xml:space="preserve">Jochimsen, Kate N, Brian Noehren, Carl G Mattacola, Stephanie Di Stasi, Stephen T Duncan, and Cale Jacobs. 2021. “Preoperative Psychosocial Factors and Short-Term Pain and Functional Recovery After Hip Arthroscopy for Femoroacetabular Impingement Syndrome.” </w:t>
      </w:r>
      <w:r w:rsidRPr="001E6889">
        <w:rPr>
          <w:i/>
          <w:iCs/>
          <w:color w:val="000000" w:themeColor="text1"/>
        </w:rPr>
        <w:t>Journal of Athletic Training</w:t>
      </w:r>
      <w:r w:rsidRPr="001E6889">
        <w:rPr>
          <w:color w:val="000000" w:themeColor="text1"/>
        </w:rPr>
        <w:t xml:space="preserve"> 56 (10): 1064–71.</w:t>
      </w:r>
    </w:p>
    <w:p w14:paraId="155D9A6D" w14:textId="64544B14" w:rsidR="005546F0" w:rsidRPr="001E6889" w:rsidRDefault="007705ED" w:rsidP="001E6889">
      <w:pPr>
        <w:pStyle w:val="Bibliography"/>
        <w:spacing w:after="0" w:line="480" w:lineRule="auto"/>
        <w:ind w:left="810" w:hanging="810"/>
        <w:rPr>
          <w:color w:val="000000" w:themeColor="text1"/>
        </w:rPr>
      </w:pPr>
      <w:bookmarkStart w:id="21" w:name="ref-Kleinbaum"/>
      <w:bookmarkEnd w:id="20"/>
      <w:r w:rsidRPr="001E6889">
        <w:rPr>
          <w:color w:val="000000" w:themeColor="text1"/>
        </w:rPr>
        <w:t xml:space="preserve">Kleinbaum, David G, Lawrence L Kupper, Keith E Muller, and Azhar Nizam. 1988. </w:t>
      </w:r>
      <w:r w:rsidRPr="001E6889">
        <w:rPr>
          <w:i/>
          <w:iCs/>
          <w:color w:val="000000" w:themeColor="text1"/>
        </w:rPr>
        <w:t>Applied Regression Analysis and Other Multivariable Methods</w:t>
      </w:r>
      <w:r w:rsidRPr="001E6889">
        <w:rPr>
          <w:color w:val="000000" w:themeColor="text1"/>
        </w:rPr>
        <w:t xml:space="preserve">. Vol. 601. Duxbury </w:t>
      </w:r>
      <w:r w:rsidR="00C72C1B">
        <w:rPr>
          <w:color w:val="000000" w:themeColor="text1"/>
        </w:rPr>
        <w:t>P</w:t>
      </w:r>
      <w:r w:rsidRPr="001E6889">
        <w:rPr>
          <w:color w:val="000000" w:themeColor="text1"/>
        </w:rPr>
        <w:t>ress Belmont, CA.</w:t>
      </w:r>
    </w:p>
    <w:p w14:paraId="08AFD113" w14:textId="59455F97" w:rsidR="7EADD69A" w:rsidRDefault="7EADD69A" w:rsidP="7EADD69A">
      <w:pPr>
        <w:pStyle w:val="Bibliography"/>
        <w:spacing w:after="0" w:line="480" w:lineRule="auto"/>
        <w:ind w:left="810" w:hanging="810"/>
        <w:rPr>
          <w:color w:val="000000" w:themeColor="text1"/>
        </w:rPr>
      </w:pPr>
      <w:r w:rsidRPr="7EADD69A">
        <w:rPr>
          <w:color w:val="000000" w:themeColor="text1"/>
        </w:rPr>
        <w:t>Micale, L., Fusco, C., Castori, M., Halper, J., &amp; Halper, J. (2021). Ehlers-Danlos Syndromes, Joint Hypermobility and Hypermobility Spectrum Disorders. In Advances in experimental medicine and biology (Vol. 1348, pp. 207–233). Springer International Publishing AG. https://doi.org/10.1007/978-3-030-80614-9_9</w:t>
      </w:r>
    </w:p>
    <w:p w14:paraId="6CEBA381" w14:textId="77777777" w:rsidR="005546F0" w:rsidRPr="001E6889" w:rsidRDefault="007705ED" w:rsidP="001E6889">
      <w:pPr>
        <w:pStyle w:val="Bibliography"/>
        <w:spacing w:after="0" w:line="480" w:lineRule="auto"/>
        <w:ind w:left="810" w:hanging="810"/>
        <w:rPr>
          <w:color w:val="000000" w:themeColor="text1"/>
        </w:rPr>
      </w:pPr>
      <w:bookmarkStart w:id="22" w:name="ref-Naal"/>
      <w:bookmarkEnd w:id="21"/>
      <w:r w:rsidRPr="001E6889">
        <w:rPr>
          <w:color w:val="000000" w:themeColor="text1"/>
        </w:rPr>
        <w:t xml:space="preserve">Naal, Florian D, Gabriel Hatzung, Aileen Müller, Franco Impellizzeri, and Michael Leunig. 2014. “Validation of a Self-Reported Beighton Score to Assess Hypermobility in Patients with Femoroacetabular Impingement.” </w:t>
      </w:r>
      <w:r w:rsidRPr="001E6889">
        <w:rPr>
          <w:i/>
          <w:iCs/>
          <w:color w:val="000000" w:themeColor="text1"/>
        </w:rPr>
        <w:t>International Orthopaedics</w:t>
      </w:r>
      <w:r w:rsidRPr="001E6889">
        <w:rPr>
          <w:color w:val="000000" w:themeColor="text1"/>
        </w:rPr>
        <w:t xml:space="preserve"> 38: 2245–50.</w:t>
      </w:r>
    </w:p>
    <w:p w14:paraId="64A33DBA" w14:textId="61BD9E71" w:rsidR="7EADD69A" w:rsidRDefault="7EADD69A" w:rsidP="7EADD69A">
      <w:pPr>
        <w:pStyle w:val="Bibliography"/>
        <w:spacing w:after="0" w:line="480" w:lineRule="auto"/>
        <w:ind w:left="810" w:hanging="810"/>
        <w:rPr>
          <w:color w:val="000000" w:themeColor="text1"/>
        </w:rPr>
      </w:pPr>
      <w:r w:rsidRPr="7EADD69A">
        <w:rPr>
          <w:color w:val="000000" w:themeColor="text1"/>
        </w:rPr>
        <w:t>Nicholas, M. K. (2007). The pain self-efficacy questionnaire: Taking pain into account. European Journal of Pain, 11(2), 153–163. https://doi.org/10.1016/j.ejpain.2005.12.008</w:t>
      </w:r>
    </w:p>
    <w:p w14:paraId="26EC6FE5" w14:textId="77777777" w:rsidR="005546F0" w:rsidRPr="001E6889" w:rsidRDefault="007705ED" w:rsidP="001E6889">
      <w:pPr>
        <w:pStyle w:val="Bibliography"/>
        <w:spacing w:after="0" w:line="480" w:lineRule="auto"/>
        <w:ind w:left="810" w:hanging="810"/>
        <w:rPr>
          <w:color w:val="000000" w:themeColor="text1"/>
        </w:rPr>
      </w:pPr>
      <w:bookmarkStart w:id="23" w:name="ref-Rhemtulla"/>
      <w:bookmarkEnd w:id="22"/>
      <w:r w:rsidRPr="001E6889">
        <w:rPr>
          <w:color w:val="000000" w:themeColor="text1"/>
        </w:rPr>
        <w:t xml:space="preserve">Rhemtulla, Mijke, Patricia É Brosseau-Liard, and Victoria Savalei. 2012. “When Can Categorical Variables Be Treated as Continuous? A Comparison of Robust Continuous and Categorical SEM Estimation Methods Under Suboptimal Conditions.” </w:t>
      </w:r>
      <w:r w:rsidRPr="001E6889">
        <w:rPr>
          <w:i/>
          <w:iCs/>
          <w:color w:val="000000" w:themeColor="text1"/>
        </w:rPr>
        <w:t>Psychological Methods</w:t>
      </w:r>
      <w:r w:rsidRPr="001E6889">
        <w:rPr>
          <w:color w:val="000000" w:themeColor="text1"/>
        </w:rPr>
        <w:t xml:space="preserve"> 17 (3): 354.</w:t>
      </w:r>
    </w:p>
    <w:p w14:paraId="578D6A8C" w14:textId="77777777" w:rsidR="005546F0" w:rsidRPr="001E6889" w:rsidRDefault="007705ED" w:rsidP="001E6889">
      <w:pPr>
        <w:pStyle w:val="Bibliography"/>
        <w:spacing w:after="0" w:line="480" w:lineRule="auto"/>
        <w:ind w:left="810" w:hanging="810"/>
        <w:rPr>
          <w:color w:val="000000" w:themeColor="text1"/>
        </w:rPr>
      </w:pPr>
      <w:bookmarkStart w:id="24" w:name="ref-Schmidt"/>
      <w:bookmarkEnd w:id="23"/>
      <w:r w:rsidRPr="001E6889">
        <w:rPr>
          <w:color w:val="000000" w:themeColor="text1"/>
        </w:rPr>
        <w:lastRenderedPageBreak/>
        <w:t xml:space="preserve">Schmidt, Amand F., and Chris Finan. 2018. “Linear Regression and the Normality Assumption.” </w:t>
      </w:r>
      <w:r w:rsidRPr="001E6889">
        <w:rPr>
          <w:i/>
          <w:iCs/>
          <w:color w:val="000000" w:themeColor="text1"/>
        </w:rPr>
        <w:t>Journal of Clinical Epidemiology</w:t>
      </w:r>
      <w:r w:rsidRPr="001E6889">
        <w:rPr>
          <w:color w:val="000000" w:themeColor="text1"/>
        </w:rPr>
        <w:t xml:space="preserve"> 98: 146–51. https://doi.org/</w:t>
      </w:r>
      <w:hyperlink r:id="rId12">
        <w:r w:rsidR="005546F0" w:rsidRPr="001E6889">
          <w:rPr>
            <w:rStyle w:val="Hyperlink"/>
            <w:color w:val="000000" w:themeColor="text1"/>
          </w:rPr>
          <w:t>https://doi.org/10.1016/j.jclinepi.2017.12.006</w:t>
        </w:r>
      </w:hyperlink>
      <w:r w:rsidRPr="001E6889">
        <w:rPr>
          <w:color w:val="000000" w:themeColor="text1"/>
        </w:rPr>
        <w:t>.</w:t>
      </w:r>
    </w:p>
    <w:p w14:paraId="31414A1E" w14:textId="25BFE405" w:rsidR="7EADD69A" w:rsidRDefault="7EADD69A" w:rsidP="7EADD69A">
      <w:pPr>
        <w:pStyle w:val="Bibliography"/>
        <w:spacing w:after="0" w:line="480" w:lineRule="auto"/>
        <w:ind w:left="810" w:hanging="810"/>
        <w:rPr>
          <w:color w:val="000000" w:themeColor="text1"/>
        </w:rPr>
      </w:pPr>
      <w:r w:rsidRPr="7EADD69A">
        <w:rPr>
          <w:color w:val="000000" w:themeColor="text1"/>
        </w:rPr>
        <w:t>Sullivan, M. J. L., Bishop, S. R., Pivik, J., &amp; Butcher, J. N. (1995). The Pain Catastrophizing Scale: Development and Validation. Psychological Assessment, 7(4), 524–532. https://doi.org/10.1037/1040-3590.7.4.524</w:t>
      </w:r>
    </w:p>
    <w:p w14:paraId="673D6C33" w14:textId="45ABC3DA" w:rsidR="005546F0" w:rsidRPr="001E6889" w:rsidRDefault="007705ED" w:rsidP="001E6889">
      <w:pPr>
        <w:pStyle w:val="Bibliography"/>
        <w:spacing w:after="0" w:line="480" w:lineRule="auto"/>
        <w:ind w:left="810" w:hanging="810"/>
        <w:rPr>
          <w:color w:val="000000" w:themeColor="text1"/>
        </w:rPr>
      </w:pPr>
      <w:bookmarkStart w:id="25" w:name="ref-White"/>
      <w:bookmarkEnd w:id="24"/>
      <w:r w:rsidRPr="001E6889">
        <w:rPr>
          <w:color w:val="000000" w:themeColor="text1"/>
        </w:rPr>
        <w:t xml:space="preserve">White, Ian R., Patrick Royston, and Angela M. Wood. 2011. “Multiple Imputation Using Chained Equations: Issues and Guidance for Practice.” </w:t>
      </w:r>
      <w:r w:rsidRPr="001E6889">
        <w:rPr>
          <w:i/>
          <w:iCs/>
          <w:color w:val="000000" w:themeColor="text1"/>
        </w:rPr>
        <w:t>Statistics in Medicine</w:t>
      </w:r>
      <w:r w:rsidRPr="001E6889">
        <w:rPr>
          <w:color w:val="000000" w:themeColor="text1"/>
        </w:rPr>
        <w:t xml:space="preserve"> 30 (4): 377–99. </w:t>
      </w:r>
      <w:bookmarkEnd w:id="12"/>
      <w:bookmarkEnd w:id="13"/>
      <w:bookmarkEnd w:id="15"/>
      <w:bookmarkEnd w:id="25"/>
      <w:r w:rsidR="7EADD69A" w:rsidRPr="7EADD69A">
        <w:rPr>
          <w:color w:val="000000" w:themeColor="text1"/>
        </w:rPr>
        <w:t>https://doi.org/https://doi.org/10.1002/sim.4067.</w:t>
      </w:r>
    </w:p>
    <w:sectPr w:rsidR="005546F0" w:rsidRPr="001E6889" w:rsidSect="00AE4203">
      <w:headerReference w:type="default" r:id="rId13"/>
      <w:footerReference w:type="default" r:id="rId1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67659" w14:textId="77777777" w:rsidR="00E10BC7" w:rsidRDefault="00E10BC7">
      <w:pPr>
        <w:spacing w:after="0"/>
      </w:pPr>
      <w:r>
        <w:separator/>
      </w:r>
    </w:p>
  </w:endnote>
  <w:endnote w:type="continuationSeparator" w:id="0">
    <w:p w14:paraId="497A8B09" w14:textId="77777777" w:rsidR="00E10BC7" w:rsidRDefault="00E10BC7">
      <w:pPr>
        <w:spacing w:after="0"/>
      </w:pPr>
      <w:r>
        <w:continuationSeparator/>
      </w:r>
    </w:p>
  </w:endnote>
  <w:endnote w:type="continuationNotice" w:id="1">
    <w:p w14:paraId="6C2B509D" w14:textId="77777777" w:rsidR="00E10BC7" w:rsidRDefault="00E10B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9940086"/>
      <w:docPartObj>
        <w:docPartGallery w:val="Page Numbers (Bottom of Page)"/>
        <w:docPartUnique/>
      </w:docPartObj>
    </w:sdtPr>
    <w:sdtEndPr>
      <w:rPr>
        <w:noProof/>
      </w:rPr>
    </w:sdtEndPr>
    <w:sdtContent>
      <w:p w14:paraId="2E2023FE" w14:textId="21FBB4BF" w:rsidR="002A11EE" w:rsidRDefault="002A11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2AAF64" w14:textId="77777777" w:rsidR="002A11EE" w:rsidRDefault="002A1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D7D4F" w14:textId="77777777" w:rsidR="00E10BC7" w:rsidRDefault="00E10BC7">
      <w:r>
        <w:separator/>
      </w:r>
    </w:p>
  </w:footnote>
  <w:footnote w:type="continuationSeparator" w:id="0">
    <w:p w14:paraId="04D10180" w14:textId="77777777" w:rsidR="00E10BC7" w:rsidRDefault="00E10BC7">
      <w:r>
        <w:continuationSeparator/>
      </w:r>
    </w:p>
  </w:footnote>
  <w:footnote w:type="continuationNotice" w:id="1">
    <w:p w14:paraId="05F3D137" w14:textId="77777777" w:rsidR="00E10BC7" w:rsidRDefault="00E10BC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28D50" w14:textId="263A0A90" w:rsidR="002A11EE" w:rsidRDefault="002A11EE">
    <w:pPr>
      <w:pStyle w:val="Header"/>
    </w:pPr>
    <w:r>
      <w:t>Ellen Taylor and Will Schneider</w:t>
    </w:r>
  </w:p>
  <w:p w14:paraId="61C3490B" w14:textId="0271331F" w:rsidR="002A11EE" w:rsidRDefault="002A11EE">
    <w:pPr>
      <w:pStyle w:val="Header"/>
    </w:pPr>
    <w:r>
      <w:t>December 2024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C38D3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80E11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779B50F5"/>
    <w:multiLevelType w:val="multilevel"/>
    <w:tmpl w:val="719E35EA"/>
    <w:lvl w:ilvl="0">
      <w:start w:val="1"/>
      <w:numFmt w:val="bullet"/>
      <w:lvlText w:val=""/>
      <w:lvlJc w:val="left"/>
      <w:pPr>
        <w:ind w:left="960" w:hanging="360"/>
      </w:pPr>
      <w:rPr>
        <w:rFonts w:ascii="Symbol" w:hAnsi="Symbol" w:hint="default"/>
      </w:rPr>
    </w:lvl>
    <w:lvl w:ilvl="1">
      <w:start w:val="1"/>
      <w:numFmt w:val="decimal"/>
      <w:lvlText w:val="%2."/>
      <w:lvlJc w:val="left"/>
      <w:pPr>
        <w:ind w:left="1800" w:hanging="480"/>
      </w:pPr>
    </w:lvl>
    <w:lvl w:ilvl="2">
      <w:start w:val="1"/>
      <w:numFmt w:val="decimal"/>
      <w:lvlText w:val="%3."/>
      <w:lvlJc w:val="left"/>
      <w:pPr>
        <w:ind w:left="2520" w:hanging="480"/>
      </w:pPr>
    </w:lvl>
    <w:lvl w:ilvl="3">
      <w:start w:val="1"/>
      <w:numFmt w:val="decimal"/>
      <w:lvlText w:val="%4."/>
      <w:lvlJc w:val="left"/>
      <w:pPr>
        <w:ind w:left="3240" w:hanging="480"/>
      </w:pPr>
    </w:lvl>
    <w:lvl w:ilvl="4">
      <w:start w:val="1"/>
      <w:numFmt w:val="decimal"/>
      <w:lvlText w:val="%5."/>
      <w:lvlJc w:val="left"/>
      <w:pPr>
        <w:ind w:left="3960" w:hanging="480"/>
      </w:pPr>
    </w:lvl>
    <w:lvl w:ilvl="5">
      <w:start w:val="1"/>
      <w:numFmt w:val="decimal"/>
      <w:lvlText w:val="%6."/>
      <w:lvlJc w:val="left"/>
      <w:pPr>
        <w:ind w:left="4680" w:hanging="480"/>
      </w:pPr>
    </w:lvl>
    <w:lvl w:ilvl="6">
      <w:start w:val="1"/>
      <w:numFmt w:val="decimal"/>
      <w:lvlText w:val="%7."/>
      <w:lvlJc w:val="left"/>
      <w:pPr>
        <w:ind w:left="5400" w:hanging="480"/>
      </w:pPr>
    </w:lvl>
    <w:lvl w:ilvl="7">
      <w:start w:val="1"/>
      <w:numFmt w:val="decimal"/>
      <w:lvlText w:val="%8."/>
      <w:lvlJc w:val="left"/>
      <w:pPr>
        <w:ind w:left="6120" w:hanging="480"/>
      </w:pPr>
    </w:lvl>
    <w:lvl w:ilvl="8">
      <w:start w:val="1"/>
      <w:numFmt w:val="decimal"/>
      <w:lvlText w:val="%9."/>
      <w:lvlJc w:val="left"/>
      <w:pPr>
        <w:ind w:left="6840" w:hanging="480"/>
      </w:pPr>
    </w:lvl>
  </w:abstractNum>
  <w:num w:numId="1" w16cid:durableId="1450516068">
    <w:abstractNumId w:val="0"/>
  </w:num>
  <w:num w:numId="2" w16cid:durableId="9930987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1707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F0"/>
    <w:rsid w:val="000109CD"/>
    <w:rsid w:val="0004713F"/>
    <w:rsid w:val="000612C6"/>
    <w:rsid w:val="000A4868"/>
    <w:rsid w:val="000A6AD8"/>
    <w:rsid w:val="000D0591"/>
    <w:rsid w:val="000F0330"/>
    <w:rsid w:val="00113190"/>
    <w:rsid w:val="001179DE"/>
    <w:rsid w:val="001826C9"/>
    <w:rsid w:val="001B086E"/>
    <w:rsid w:val="001B7228"/>
    <w:rsid w:val="001E6889"/>
    <w:rsid w:val="001F1C42"/>
    <w:rsid w:val="0021748B"/>
    <w:rsid w:val="00235B03"/>
    <w:rsid w:val="002435DB"/>
    <w:rsid w:val="002536FE"/>
    <w:rsid w:val="00260011"/>
    <w:rsid w:val="00277010"/>
    <w:rsid w:val="00286A02"/>
    <w:rsid w:val="00292C5E"/>
    <w:rsid w:val="002A11EE"/>
    <w:rsid w:val="002C376A"/>
    <w:rsid w:val="002C6E6C"/>
    <w:rsid w:val="002D586A"/>
    <w:rsid w:val="00307DEA"/>
    <w:rsid w:val="00324BE5"/>
    <w:rsid w:val="00325E9A"/>
    <w:rsid w:val="00350021"/>
    <w:rsid w:val="0036353D"/>
    <w:rsid w:val="0039228C"/>
    <w:rsid w:val="00396B93"/>
    <w:rsid w:val="003A1CB4"/>
    <w:rsid w:val="003D07A1"/>
    <w:rsid w:val="003E510A"/>
    <w:rsid w:val="0045067D"/>
    <w:rsid w:val="00463357"/>
    <w:rsid w:val="004B2C7F"/>
    <w:rsid w:val="00527DDF"/>
    <w:rsid w:val="00553438"/>
    <w:rsid w:val="005546F0"/>
    <w:rsid w:val="00562913"/>
    <w:rsid w:val="005B5EC5"/>
    <w:rsid w:val="005C03D4"/>
    <w:rsid w:val="005C5921"/>
    <w:rsid w:val="005C6F55"/>
    <w:rsid w:val="005F01A9"/>
    <w:rsid w:val="00656D7A"/>
    <w:rsid w:val="006A148C"/>
    <w:rsid w:val="006B4240"/>
    <w:rsid w:val="00720318"/>
    <w:rsid w:val="00720677"/>
    <w:rsid w:val="0072720C"/>
    <w:rsid w:val="007278B1"/>
    <w:rsid w:val="00733A46"/>
    <w:rsid w:val="00763F41"/>
    <w:rsid w:val="007648FE"/>
    <w:rsid w:val="007705ED"/>
    <w:rsid w:val="007B19AC"/>
    <w:rsid w:val="007C74B0"/>
    <w:rsid w:val="0080486A"/>
    <w:rsid w:val="00884CE6"/>
    <w:rsid w:val="0089405B"/>
    <w:rsid w:val="008974F9"/>
    <w:rsid w:val="008A0CA5"/>
    <w:rsid w:val="009141F6"/>
    <w:rsid w:val="00953AEA"/>
    <w:rsid w:val="0096523B"/>
    <w:rsid w:val="00966E4F"/>
    <w:rsid w:val="009A2FFF"/>
    <w:rsid w:val="009A7452"/>
    <w:rsid w:val="009F6B7A"/>
    <w:rsid w:val="00A161DF"/>
    <w:rsid w:val="00A254C0"/>
    <w:rsid w:val="00A2709C"/>
    <w:rsid w:val="00A71CB6"/>
    <w:rsid w:val="00A8151D"/>
    <w:rsid w:val="00AA6666"/>
    <w:rsid w:val="00AB5E3A"/>
    <w:rsid w:val="00AC2B0D"/>
    <w:rsid w:val="00AC53B3"/>
    <w:rsid w:val="00AD67C5"/>
    <w:rsid w:val="00AE4203"/>
    <w:rsid w:val="00AF3271"/>
    <w:rsid w:val="00B00140"/>
    <w:rsid w:val="00B227D0"/>
    <w:rsid w:val="00B530AA"/>
    <w:rsid w:val="00B60C30"/>
    <w:rsid w:val="00B77698"/>
    <w:rsid w:val="00B949B9"/>
    <w:rsid w:val="00BA35D8"/>
    <w:rsid w:val="00BE47CB"/>
    <w:rsid w:val="00C01E94"/>
    <w:rsid w:val="00C448DB"/>
    <w:rsid w:val="00C5711D"/>
    <w:rsid w:val="00C72C1B"/>
    <w:rsid w:val="00C927FD"/>
    <w:rsid w:val="00CA05B6"/>
    <w:rsid w:val="00CD1AF2"/>
    <w:rsid w:val="00CD4802"/>
    <w:rsid w:val="00CE1F32"/>
    <w:rsid w:val="00CF72E1"/>
    <w:rsid w:val="00D15788"/>
    <w:rsid w:val="00D572B0"/>
    <w:rsid w:val="00D6233B"/>
    <w:rsid w:val="00D71403"/>
    <w:rsid w:val="00D77762"/>
    <w:rsid w:val="00D93DA2"/>
    <w:rsid w:val="00DB08A3"/>
    <w:rsid w:val="00DB159E"/>
    <w:rsid w:val="00DE1BF0"/>
    <w:rsid w:val="00DE4EC6"/>
    <w:rsid w:val="00DF0947"/>
    <w:rsid w:val="00DF4D16"/>
    <w:rsid w:val="00E10BC7"/>
    <w:rsid w:val="00E40FF7"/>
    <w:rsid w:val="00EA593F"/>
    <w:rsid w:val="00EB1585"/>
    <w:rsid w:val="00EC3EB8"/>
    <w:rsid w:val="00F36115"/>
    <w:rsid w:val="00F53AA2"/>
    <w:rsid w:val="00F82A46"/>
    <w:rsid w:val="00FA4EE1"/>
    <w:rsid w:val="00FC1440"/>
    <w:rsid w:val="00FD33BC"/>
    <w:rsid w:val="00FE4E53"/>
    <w:rsid w:val="00FF3E23"/>
    <w:rsid w:val="0281EEE0"/>
    <w:rsid w:val="05060293"/>
    <w:rsid w:val="06C2C4BF"/>
    <w:rsid w:val="096A933C"/>
    <w:rsid w:val="1137E1EF"/>
    <w:rsid w:val="15214A93"/>
    <w:rsid w:val="15780A14"/>
    <w:rsid w:val="18B8F564"/>
    <w:rsid w:val="195D25ED"/>
    <w:rsid w:val="1A4E9D11"/>
    <w:rsid w:val="2052EEAE"/>
    <w:rsid w:val="321301BA"/>
    <w:rsid w:val="51DE09CF"/>
    <w:rsid w:val="55640C0A"/>
    <w:rsid w:val="5C07A6D3"/>
    <w:rsid w:val="7E07A974"/>
    <w:rsid w:val="7EADD69A"/>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85E5D"/>
  <w15:docId w15:val="{100BD371-117D-48FF-B5B3-8DCEBBF1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UnresolvedMention">
    <w:name w:val="Unresolved Mention"/>
    <w:basedOn w:val="DefaultParagraphFont"/>
    <w:uiPriority w:val="99"/>
    <w:semiHidden/>
    <w:unhideWhenUsed/>
    <w:rsid w:val="002A11EE"/>
    <w:rPr>
      <w:color w:val="605E5C"/>
      <w:shd w:val="clear" w:color="auto" w:fill="E1DFDD"/>
    </w:rPr>
  </w:style>
  <w:style w:type="paragraph" w:styleId="Header">
    <w:name w:val="header"/>
    <w:basedOn w:val="Normal"/>
    <w:link w:val="HeaderChar"/>
    <w:uiPriority w:val="99"/>
    <w:rsid w:val="002A11EE"/>
    <w:pPr>
      <w:tabs>
        <w:tab w:val="center" w:pos="4680"/>
        <w:tab w:val="right" w:pos="9360"/>
      </w:tabs>
      <w:spacing w:after="0"/>
    </w:pPr>
  </w:style>
  <w:style w:type="character" w:customStyle="1" w:styleId="HeaderChar">
    <w:name w:val="Header Char"/>
    <w:basedOn w:val="DefaultParagraphFont"/>
    <w:link w:val="Header"/>
    <w:uiPriority w:val="99"/>
    <w:rsid w:val="002A11EE"/>
  </w:style>
  <w:style w:type="paragraph" w:styleId="Footer">
    <w:name w:val="footer"/>
    <w:basedOn w:val="Normal"/>
    <w:link w:val="FooterChar"/>
    <w:uiPriority w:val="99"/>
    <w:rsid w:val="002A11EE"/>
    <w:pPr>
      <w:tabs>
        <w:tab w:val="center" w:pos="4680"/>
        <w:tab w:val="right" w:pos="9360"/>
      </w:tabs>
      <w:spacing w:after="0"/>
    </w:pPr>
  </w:style>
  <w:style w:type="character" w:customStyle="1" w:styleId="FooterChar">
    <w:name w:val="Footer Char"/>
    <w:basedOn w:val="DefaultParagraphFont"/>
    <w:link w:val="Footer"/>
    <w:uiPriority w:val="99"/>
    <w:rsid w:val="002A11EE"/>
  </w:style>
  <w:style w:type="paragraph" w:styleId="Revision">
    <w:name w:val="Revision"/>
    <w:hidden/>
    <w:rsid w:val="00EC3EB8"/>
    <w:pPr>
      <w:spacing w:after="0"/>
    </w:pPr>
  </w:style>
  <w:style w:type="character" w:styleId="CommentReference">
    <w:name w:val="annotation reference"/>
    <w:basedOn w:val="DefaultParagraphFont"/>
    <w:rsid w:val="00EC3EB8"/>
    <w:rPr>
      <w:sz w:val="16"/>
      <w:szCs w:val="16"/>
    </w:rPr>
  </w:style>
  <w:style w:type="paragraph" w:styleId="CommentText">
    <w:name w:val="annotation text"/>
    <w:basedOn w:val="Normal"/>
    <w:link w:val="CommentTextChar"/>
    <w:rsid w:val="00EC3EB8"/>
    <w:rPr>
      <w:sz w:val="20"/>
      <w:szCs w:val="20"/>
    </w:rPr>
  </w:style>
  <w:style w:type="character" w:customStyle="1" w:styleId="CommentTextChar">
    <w:name w:val="Comment Text Char"/>
    <w:basedOn w:val="DefaultParagraphFont"/>
    <w:link w:val="CommentText"/>
    <w:rsid w:val="00EC3EB8"/>
    <w:rPr>
      <w:sz w:val="20"/>
      <w:szCs w:val="20"/>
    </w:rPr>
  </w:style>
  <w:style w:type="paragraph" w:styleId="CommentSubject">
    <w:name w:val="annotation subject"/>
    <w:basedOn w:val="CommentText"/>
    <w:next w:val="CommentText"/>
    <w:link w:val="CommentSubjectChar"/>
    <w:rsid w:val="00EC3EB8"/>
    <w:rPr>
      <w:b/>
      <w:bCs/>
    </w:rPr>
  </w:style>
  <w:style w:type="character" w:customStyle="1" w:styleId="CommentSubjectChar">
    <w:name w:val="Comment Subject Char"/>
    <w:basedOn w:val="CommentTextChar"/>
    <w:link w:val="CommentSubject"/>
    <w:rsid w:val="00EC3EB8"/>
    <w:rPr>
      <w:b/>
      <w:bCs/>
      <w:sz w:val="20"/>
      <w:szCs w:val="20"/>
    </w:rPr>
  </w:style>
  <w:style w:type="character" w:styleId="PlaceholderText">
    <w:name w:val="Placeholder Text"/>
    <w:basedOn w:val="DefaultParagraphFont"/>
    <w:rsid w:val="001E68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hneiderstats.shinyapps.io/hypermobility_app/" TargetMode="External"/><Relationship Id="rId12" Type="http://schemas.openxmlformats.org/officeDocument/2006/relationships/hyperlink" Target="https://doi.org/10.1016/j.jclinepi.2017.12.00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4460</Words>
  <Characters>25422</Characters>
  <Application>Microsoft Office Word</Application>
  <DocSecurity>0</DocSecurity>
  <Lines>211</Lines>
  <Paragraphs>59</Paragraphs>
  <ScaleCrop>false</ScaleCrop>
  <Company/>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 Hypermobility Analysis Final Report</dc:title>
  <dc:subject/>
  <dc:creator>Charles South</dc:creator>
  <cp:keywords/>
  <cp:lastModifiedBy>Ellen Taylor</cp:lastModifiedBy>
  <cp:revision>36</cp:revision>
  <dcterms:created xsi:type="dcterms:W3CDTF">2024-12-17T19:15:00Z</dcterms:created>
  <dcterms:modified xsi:type="dcterms:W3CDTF">2024-12-19T01:05:00Z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