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Supercritical Solar Thermal Generator System</w:t>
      </w:r>
    </w:p>
    <w:p>
      <w:r>
        <w:t>Date: 2025-05-11</w:t>
      </w:r>
    </w:p>
    <w:p>
      <w:pPr>
        <w:pStyle w:val="Heading2"/>
      </w:pPr>
      <w:r>
        <w:t>Overview</w:t>
      </w:r>
    </w:p>
    <w:p>
      <w:r>
        <w:t>This document describes a modular, high-efficiency electricity generation system that operates on solar-heated supercritical fluid dynamics. The system uses a series of volumetrically expanding thermal chambers arranged in sequence. Each chamber is heated via a lens-concentrated solar system that maintains the fluid in a supercritical state. Flow through the chambers is regulated with directional backflow pressure valves, and power is extracted by passing the pressurized, superheated fluid through a turbine after its final thermal staging.</w:t>
      </w:r>
    </w:p>
    <w:p>
      <w:pPr>
        <w:pStyle w:val="Heading2"/>
      </w:pPr>
      <w:r>
        <w:t>System Description</w:t>
      </w:r>
    </w:p>
    <w:p>
      <w:r>
        <w:t>The system consists of five thermally insulated, high-pressure containers, arranged in increasing volume, starting at 1.0 m³. Each subsequent chamber increases in volume by a factor of 1.8. The working fluid (modeled here as supercritical CO₂) is pumped through this chain in a unidirectional loop governed by passive or active backflow pressure valves. Each chamber is independently heated by a solar concentration lens system that focuses sunlight onto the chamber body.</w:t>
      </w:r>
    </w:p>
    <w:p>
      <w:r>
        <w:t>The use of progressively larger volumes is deliberate: as the fluid becomes hotter and more energetic, its pressure and entropy increase. Larger chamber volumes allow the fluid to expand slightly without premature venting or turbulent back-pressure, while also slowing its flow rate to maximize heat absorption. This staged design helps maintain pressure consistency and reduce entropy loss before turbine expansion.</w:t>
      </w:r>
    </w:p>
    <w:p>
      <w:pPr>
        <w:pStyle w:val="Heading2"/>
      </w:pPr>
      <w:r>
        <w:t>Solar Heating System</w:t>
      </w:r>
    </w:p>
    <w:p>
      <w:r>
        <w:t>The thermal input is provided by a multi-tiered lens system. A large, stationary parabolic lens array at the top collects and concentrates sunlight, redirecting it through intermediary lenses that precisely focus the energy onto each chamber’s surface. The chamber lenses are tuned to optimize energy absorption while preventing material stress or overheating. The lens system amplifies irradiance by a factor of 12x.</w:t>
      </w:r>
    </w:p>
    <w:p>
      <w:pPr>
        <w:pStyle w:val="Heading2"/>
      </w:pPr>
      <w:r>
        <w:t>Energy Conversion and Flow</w:t>
      </w:r>
    </w:p>
    <w:p>
      <w:r>
        <w:t>Once the fluid passes through the heated chamber stages, it reaches maximum thermal energy and is routed into a turbine chamber. There, the fluid undergoes controlled expansion, converting thermal and pressure energy into mechanical energy to drive a generator. After expansion, the fluid is condensed or cooled and cycled back to the initial chamber by a low-power pump.</w:t>
      </w:r>
    </w:p>
    <w:p>
      <w:pPr>
        <w:pStyle w:val="Heading2"/>
      </w:pPr>
      <w:r>
        <w:t>Thermodynamic and Mechanical Rationale</w:t>
      </w:r>
    </w:p>
    <w:p>
      <w:r>
        <w:t>- Supercritical fluids offer high energy density and excellent thermal transfer properties.</w:t>
        <w:br/>
        <w:t>- Increasing chamber size compensates for pressure drops and prevents fluid stagnation.</w:t>
        <w:br/>
        <w:t>- Solar concentration ensures high heat availability without external fuel or grid power.</w:t>
        <w:br/>
        <w:t>- Passive flow control and lack of moving mechanical linkages reduce failure points.</w:t>
        <w:br/>
        <w:t>- The system acts as a thermal waveguide, staging entropy buildup for optimized turbine input.</w:t>
      </w:r>
    </w:p>
    <w:p>
      <w:pPr>
        <w:pStyle w:val="Heading2"/>
      </w:pPr>
      <w:r>
        <w:t>Performance Summary</w:t>
      </w:r>
    </w:p>
    <w:p>
      <w:r>
        <w:t>In desert conditions with 90% of Death Valley’s irradiance, a single unit produces ~102.9 kWh/day. Over a 20-year lifespan, this results in a cost of ~$0.039/kWh. Real estate requirements are modest (~15.24 m² per unit), and maintenance costs are negligible due to passive design.</w:t>
      </w:r>
    </w:p>
    <w:p>
      <w:pPr>
        <w:pStyle w:val="Heading2"/>
      </w:pPr>
      <w:r>
        <w:t>Comparison and Strategic Value</w:t>
      </w:r>
    </w:p>
    <w:p>
      <w:r>
        <w:t>Compared to battery-backed solar PV systems producing equivalent daily output, this design has ~9x lower lifetime cost per kWh and a payback period of under 8 years (vs. 67 years for solar PV). The system is ideally suited to desert-adjacent urban areas where transmission infrastructure is accessible, but solar gain remains high.</w:t>
      </w:r>
    </w:p>
    <w:p>
      <w:pPr>
        <w:pStyle w:val="Heading2"/>
      </w:pPr>
      <w:r>
        <w:t>Intellectual Attribution</w:t>
      </w:r>
    </w:p>
    <w:p>
      <w:r>
        <w:t>This technical concept and system architecture were developed during a private design discussion with the original user. This document constitutes a formal timestamped record of conception. All rights to the system's intellectual and engineering design are reserved by the originator of this idea.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