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70559" w14:textId="77777777" w:rsidR="00C74B25" w:rsidRPr="00AA7DE4" w:rsidRDefault="00C74B25" w:rsidP="00AA7DE4">
      <w:pPr>
        <w:pStyle w:val="Heading1"/>
      </w:pPr>
      <w:r w:rsidRPr="00AA7DE4">
        <w:t>Targeting surveillance in apparently healthy versus diseased wild bats and rodents for zoonotic virus discovery</w:t>
      </w:r>
    </w:p>
    <w:p w14:paraId="43F4F555" w14:textId="77777777" w:rsidR="00C74B25" w:rsidRDefault="00C74B25" w:rsidP="00C74B25">
      <w:pPr>
        <w:pStyle w:val="Heading2"/>
      </w:pPr>
      <w:r>
        <w:t>Authors</w:t>
      </w:r>
    </w:p>
    <w:p w14:paraId="27749B17" w14:textId="3F02FB6C" w:rsidR="00C74B25" w:rsidRDefault="00BD362F" w:rsidP="00C74B25">
      <w:pPr>
        <w:pStyle w:val="ListParagraph"/>
        <w:numPr>
          <w:ilvl w:val="0"/>
          <w:numId w:val="3"/>
        </w:numPr>
      </w:pPr>
      <w:hyperlink r:id="rId8" w:history="1">
        <w:r w:rsidR="00C74B25" w:rsidRPr="003C7BCD">
          <w:rPr>
            <w:rStyle w:val="Hyperlink"/>
          </w:rPr>
          <w:t>Bogich, Tiffany (L)</w:t>
        </w:r>
      </w:hyperlink>
      <w:r w:rsidR="00C74B25">
        <w:t xml:space="preserve">  “</w:t>
      </w:r>
      <w:bookmarkStart w:id="0" w:name="tiffany"/>
      <w:r w:rsidR="00C74B25">
        <w:t>Dr. Tiffany L Bogich, PhD</w:t>
      </w:r>
      <w:bookmarkEnd w:id="0"/>
      <w:r w:rsidR="00C74B25">
        <w:t>” (</w:t>
      </w:r>
      <w:r w:rsidR="00C74B25">
        <w:fldChar w:fldCharType="begin"/>
      </w:r>
      <w:r w:rsidR="00C74B25">
        <w:instrText xml:space="preserve"> REF EHA \h </w:instrText>
      </w:r>
      <w:r w:rsidR="00C74B25">
        <w:fldChar w:fldCharType="separate"/>
      </w:r>
      <w:r w:rsidR="00967289">
        <w:rPr>
          <w:rStyle w:val="Hyperlink"/>
        </w:rPr>
        <w:t>EHA</w:t>
      </w:r>
      <w:r w:rsidR="00C74B25">
        <w:fldChar w:fldCharType="end"/>
      </w:r>
      <w:r w:rsidR="00C74B25">
        <w:t xml:space="preserve">; </w:t>
      </w:r>
      <w:r w:rsidR="00C74B25">
        <w:fldChar w:fldCharType="begin"/>
      </w:r>
      <w:r w:rsidR="00C74B25">
        <w:instrText xml:space="preserve"> REF EEB \h </w:instrText>
      </w:r>
      <w:r w:rsidR="00C74B25">
        <w:fldChar w:fldCharType="separate"/>
      </w:r>
      <w:r w:rsidR="00967289">
        <w:t>EEB</w:t>
      </w:r>
      <w:r w:rsidR="00C74B25">
        <w:fldChar w:fldCharType="end"/>
      </w:r>
      <w:r w:rsidR="00C74B25">
        <w:t xml:space="preserve">; </w:t>
      </w:r>
      <w:r w:rsidR="00C74B25">
        <w:fldChar w:fldCharType="begin"/>
      </w:r>
      <w:r w:rsidR="00C74B25">
        <w:instrText xml:space="preserve"> REF NIH \h </w:instrText>
      </w:r>
      <w:r w:rsidR="00C74B25">
        <w:fldChar w:fldCharType="separate"/>
      </w:r>
      <w:r w:rsidR="00967289" w:rsidRPr="002D1F2E">
        <w:rPr>
          <w:rStyle w:val="Hyperlink"/>
        </w:rPr>
        <w:t>NIH</w:t>
      </w:r>
      <w:r w:rsidR="00C74B25">
        <w:fldChar w:fldCharType="end"/>
      </w:r>
      <w:r w:rsidR="00C74B25">
        <w:t>)</w:t>
      </w:r>
      <w:r w:rsidR="004A340F">
        <w:rPr>
          <w:rStyle w:val="FootnoteReference"/>
        </w:rPr>
        <w:footnoteReference w:id="1"/>
      </w:r>
      <w:r w:rsidR="00C74B25">
        <w:t xml:space="preserve"> </w:t>
      </w:r>
    </w:p>
    <w:p w14:paraId="3F6E99B2" w14:textId="5A48D4FE" w:rsidR="00C74B25" w:rsidRDefault="00C74B25" w:rsidP="00C74B25">
      <w:pPr>
        <w:pStyle w:val="ListParagraph"/>
        <w:numPr>
          <w:ilvl w:val="0"/>
          <w:numId w:val="3"/>
        </w:numPr>
      </w:pPr>
      <w:r w:rsidRPr="009C342D">
        <w:t>Olival, Kevin (J)</w:t>
      </w:r>
      <w:r>
        <w:t xml:space="preserve"> “</w:t>
      </w:r>
      <w:bookmarkStart w:id="1" w:name="kevin"/>
      <w:r>
        <w:t>Kevin J Olival, PhD</w:t>
      </w:r>
      <w:bookmarkEnd w:id="1"/>
      <w:r>
        <w:t>” (</w:t>
      </w:r>
      <w:r>
        <w:fldChar w:fldCharType="begin"/>
      </w:r>
      <w:r>
        <w:instrText xml:space="preserve"> REF EHA \h </w:instrText>
      </w:r>
      <w:r>
        <w:fldChar w:fldCharType="separate"/>
      </w:r>
      <w:r w:rsidR="00967289">
        <w:rPr>
          <w:rStyle w:val="Hyperlink"/>
        </w:rPr>
        <w:t>EHA</w:t>
      </w:r>
      <w:r>
        <w:fldChar w:fldCharType="end"/>
      </w:r>
      <w:r>
        <w:t>)</w:t>
      </w:r>
    </w:p>
    <w:p w14:paraId="110B216D" w14:textId="214E4C9A" w:rsidR="00C74B25" w:rsidRDefault="00C74B25" w:rsidP="00C74B25">
      <w:pPr>
        <w:pStyle w:val="ListParagraph"/>
        <w:numPr>
          <w:ilvl w:val="0"/>
          <w:numId w:val="3"/>
        </w:numPr>
      </w:pPr>
      <w:r w:rsidRPr="008F1917">
        <w:t>Epstein, Jonathan (H)</w:t>
      </w:r>
      <w:r>
        <w:t xml:space="preserve"> “</w:t>
      </w:r>
      <w:bookmarkStart w:id="2" w:name="jon"/>
      <w:r>
        <w:t>Jonathan H Epstein, DVM, MPH</w:t>
      </w:r>
      <w:bookmarkEnd w:id="2"/>
      <w:r>
        <w:t>” (</w:t>
      </w:r>
      <w:r>
        <w:fldChar w:fldCharType="begin"/>
      </w:r>
      <w:r>
        <w:instrText xml:space="preserve"> REF EHA \h </w:instrText>
      </w:r>
      <w:r>
        <w:fldChar w:fldCharType="separate"/>
      </w:r>
      <w:r w:rsidR="00967289">
        <w:rPr>
          <w:rStyle w:val="Hyperlink"/>
        </w:rPr>
        <w:t>EHA</w:t>
      </w:r>
      <w:r>
        <w:fldChar w:fldCharType="end"/>
      </w:r>
      <w:r>
        <w:t>)</w:t>
      </w:r>
      <w:r w:rsidR="000A24A5">
        <w:rPr>
          <w:rStyle w:val="FootnoteReference"/>
        </w:rPr>
        <w:footnoteReference w:id="2"/>
      </w:r>
    </w:p>
    <w:p w14:paraId="730E0B51" w14:textId="77777777" w:rsidR="00C74B25" w:rsidRDefault="00C74B25" w:rsidP="00C74B25">
      <w:pPr>
        <w:pStyle w:val="Heading2"/>
      </w:pPr>
      <w:r>
        <w:t>Affiliations</w:t>
      </w:r>
    </w:p>
    <w:p w14:paraId="7CD50F85" w14:textId="53DD77CD" w:rsidR="00C74B25" w:rsidRDefault="00BD362F" w:rsidP="00C74B25">
      <w:pPr>
        <w:pStyle w:val="ListParagraph"/>
        <w:numPr>
          <w:ilvl w:val="0"/>
          <w:numId w:val="1"/>
        </w:numPr>
      </w:pPr>
      <w:hyperlink r:id="rId9" w:history="1">
        <w:r w:rsidR="00C74B25">
          <w:rPr>
            <w:rStyle w:val="Hyperlink"/>
          </w:rPr>
          <w:t>EcoHealth Alliance (</w:t>
        </w:r>
        <w:bookmarkStart w:id="3" w:name="EHA"/>
        <w:r w:rsidR="00C74B25">
          <w:rPr>
            <w:rStyle w:val="Hyperlink"/>
          </w:rPr>
          <w:t>EHA</w:t>
        </w:r>
        <w:bookmarkEnd w:id="3"/>
        <w:r w:rsidR="00C74B25">
          <w:rPr>
            <w:rStyle w:val="Hyperlink"/>
          </w:rPr>
          <w:t>)</w:t>
        </w:r>
      </w:hyperlink>
      <w:r w:rsidR="00C74B25">
        <w:t xml:space="preserve"> - New York, NY, USA</w:t>
      </w:r>
    </w:p>
    <w:p w14:paraId="14C14D24" w14:textId="1572DAEF" w:rsidR="00C74B25" w:rsidRDefault="00BD362F" w:rsidP="00C74B25">
      <w:pPr>
        <w:pStyle w:val="ListParagraph"/>
        <w:numPr>
          <w:ilvl w:val="0"/>
          <w:numId w:val="1"/>
        </w:numPr>
      </w:pPr>
      <w:hyperlink r:id="rId10" w:history="1">
        <w:r w:rsidR="00C74B25" w:rsidRPr="0037119E">
          <w:rPr>
            <w:rStyle w:val="Hyperlink"/>
          </w:rPr>
          <w:t>Fogarty International</w:t>
        </w:r>
      </w:hyperlink>
      <w:r w:rsidR="00C74B25">
        <w:t xml:space="preserve"> &lt; </w:t>
      </w:r>
      <w:hyperlink r:id="rId11" w:history="1">
        <w:r w:rsidR="00C74B25" w:rsidRPr="002D1F2E">
          <w:rPr>
            <w:rStyle w:val="Hyperlink"/>
          </w:rPr>
          <w:t>National Institutes of Health (</w:t>
        </w:r>
        <w:bookmarkStart w:id="4" w:name="NIH"/>
        <w:r w:rsidR="00C74B25" w:rsidRPr="002D1F2E">
          <w:rPr>
            <w:rStyle w:val="Hyperlink"/>
          </w:rPr>
          <w:t>NIH</w:t>
        </w:r>
        <w:bookmarkEnd w:id="4"/>
        <w:r w:rsidR="00C74B25" w:rsidRPr="002D1F2E">
          <w:rPr>
            <w:rStyle w:val="Hyperlink"/>
          </w:rPr>
          <w:t>)</w:t>
        </w:r>
      </w:hyperlink>
      <w:r w:rsidR="00C74B25">
        <w:t xml:space="preserve"> - Bethesda, Maryland, USA</w:t>
      </w:r>
    </w:p>
    <w:p w14:paraId="56B9203D" w14:textId="7245C3EF" w:rsidR="00C74B25" w:rsidRDefault="00C74B25" w:rsidP="00C74B25">
      <w:pPr>
        <w:pStyle w:val="ListParagraph"/>
        <w:numPr>
          <w:ilvl w:val="0"/>
          <w:numId w:val="1"/>
        </w:numPr>
      </w:pPr>
      <w:r>
        <w:t>Department of Ecology and Evolutionary Biology (</w:t>
      </w:r>
      <w:bookmarkStart w:id="5" w:name="EEB"/>
      <w:r>
        <w:t>EEB</w:t>
      </w:r>
      <w:bookmarkEnd w:id="5"/>
      <w:r>
        <w:t xml:space="preserve">) &lt; </w:t>
      </w:r>
      <w:hyperlink r:id="rId12" w:history="1">
        <w:r w:rsidRPr="002666D1">
          <w:rPr>
            <w:rStyle w:val="Hyperlink"/>
          </w:rPr>
          <w:t>Princeton University</w:t>
        </w:r>
      </w:hyperlink>
      <w:r>
        <w:t xml:space="preserve"> - Princeton, NJ, USA</w:t>
      </w:r>
    </w:p>
    <w:p w14:paraId="1716ACEA" w14:textId="77777777" w:rsidR="00C74B25" w:rsidRPr="00A020FD" w:rsidRDefault="00C74B25" w:rsidP="00C74B25">
      <w:pPr>
        <w:pStyle w:val="Heading2"/>
      </w:pPr>
      <w:r>
        <w:t>Abbreviations</w:t>
      </w:r>
    </w:p>
    <w:p w14:paraId="5BF43DEF" w14:textId="77777777" w:rsidR="00C74B25" w:rsidRDefault="00C74B25" w:rsidP="00C74B25">
      <w:pPr>
        <w:pStyle w:val="ListParagraph"/>
        <w:numPr>
          <w:ilvl w:val="0"/>
          <w:numId w:val="2"/>
        </w:numPr>
      </w:pPr>
      <w:bookmarkStart w:id="6" w:name="EID"/>
      <w:r>
        <w:t>EID</w:t>
      </w:r>
      <w:bookmarkEnd w:id="6"/>
      <w:r>
        <w:t>: Emerging Infectious Diseases</w:t>
      </w:r>
    </w:p>
    <w:p w14:paraId="43F8EB1E" w14:textId="77777777" w:rsidR="00C74B25" w:rsidRDefault="00C74B25" w:rsidP="00B45815"/>
    <w:p w14:paraId="3F60A9F3" w14:textId="77777777" w:rsidR="00C74B25" w:rsidRDefault="00C74B25" w:rsidP="00C74B25">
      <w:pPr>
        <w:pStyle w:val="Heading2"/>
      </w:pPr>
      <w:r>
        <w:t>Impact statement</w:t>
      </w:r>
    </w:p>
    <w:p w14:paraId="7A64B720" w14:textId="77777777" w:rsidR="00C74B25" w:rsidRDefault="00C74B25" w:rsidP="00C74B25">
      <w:r>
        <w:t>Bats and rodents can harbor viruses that are potentially harmful to humans. In order to find new viruses that may pose a threat to humans, it is bette</w:t>
      </w:r>
      <w:bookmarkStart w:id="7" w:name="_GoBack"/>
      <w:bookmarkEnd w:id="7"/>
      <w:r>
        <w:t>r to survey healthy bats and rodents for viruses than apparently diseased bats and rodents.</w:t>
      </w:r>
    </w:p>
    <w:p w14:paraId="04D23D64" w14:textId="77777777" w:rsidR="00C74B25" w:rsidRDefault="00C74B25" w:rsidP="00C74B25"/>
    <w:p w14:paraId="1089D510" w14:textId="77777777" w:rsidR="00C74B25" w:rsidRDefault="00C74B25" w:rsidP="00C74B25">
      <w:pPr>
        <w:pStyle w:val="Heading2"/>
      </w:pPr>
      <w:r>
        <w:t>Introduction</w:t>
      </w:r>
    </w:p>
    <w:p w14:paraId="12BF6EFA" w14:textId="56131BAA" w:rsidR="00C74B25" w:rsidRDefault="00C74B25" w:rsidP="00C74B25">
      <w:r>
        <w:t>Nearly two-thirds of emerging infectious diseases (</w:t>
      </w:r>
      <w:r>
        <w:fldChar w:fldCharType="begin"/>
      </w:r>
      <w:r>
        <w:instrText xml:space="preserve"> REF EID \h </w:instrText>
      </w:r>
      <w:r>
        <w:fldChar w:fldCharType="separate"/>
      </w:r>
      <w:r w:rsidR="00967289">
        <w:t>EID</w:t>
      </w:r>
      <w:r>
        <w:fldChar w:fldCharType="end"/>
      </w:r>
      <w:r>
        <w:t>) that affect humans are zoonotic, and three-quarters of these originate in wildlife, making surveillance of wildlife for</w:t>
      </w:r>
      <w:r w:rsidRPr="00710C2E">
        <w:t xml:space="preserve"> </w:t>
      </w:r>
      <w:r>
        <w:t>novel pathogens part of a logical strategy to prevent future zoonotic EIDs.</w:t>
      </w:r>
    </w:p>
    <w:p w14:paraId="55112E15" w14:textId="77777777" w:rsidR="00C74B25" w:rsidRDefault="00C74B25" w:rsidP="00C74B25"/>
    <w:p w14:paraId="0F21BD7D" w14:textId="77777777" w:rsidR="00C74B25" w:rsidRDefault="00C74B25" w:rsidP="00C74B25">
      <w:pPr>
        <w:pStyle w:val="Heading2"/>
      </w:pPr>
      <w:r>
        <w:t>Methods</w:t>
      </w:r>
    </w:p>
    <w:p w14:paraId="1C6F206E" w14:textId="728ADC54" w:rsidR="00C74B25" w:rsidRDefault="00C74B25" w:rsidP="00C74B25">
      <w:r>
        <w:t>We focused our analysis on mammalian hosts and viruses as they are more likely to be associated with human EIDs than any other host-pathogen type.</w:t>
      </w:r>
      <w:r w:rsidR="00AA7DE4">
        <w:t xml:space="preserve"> See </w:t>
      </w:r>
      <w:r w:rsidR="00AA7DE4">
        <w:fldChar w:fldCharType="begin"/>
      </w:r>
      <w:r w:rsidR="00AA7DE4">
        <w:instrText xml:space="preserve"> REF _Ref507051967 \h </w:instrText>
      </w:r>
      <w:r w:rsidR="00AA7DE4">
        <w:fldChar w:fldCharType="separate"/>
      </w:r>
      <w:r w:rsidR="00967289">
        <w:t>Supporting Information</w:t>
      </w:r>
      <w:r w:rsidR="00AA7DE4">
        <w:fldChar w:fldCharType="end"/>
      </w:r>
      <w:r w:rsidR="00AA7DE4">
        <w:t xml:space="preserve"> for more</w:t>
      </w:r>
      <w:r w:rsidR="004314F8">
        <w:rPr>
          <w:rStyle w:val="EndnoteReference"/>
        </w:rPr>
        <w:endnoteReference w:id="1"/>
      </w:r>
      <w:r w:rsidR="00AA7DE4">
        <w:t>.</w:t>
      </w:r>
    </w:p>
    <w:p w14:paraId="6E3BE264" w14:textId="77777777" w:rsidR="00C74B25" w:rsidRDefault="00C74B25" w:rsidP="00C74B25"/>
    <w:p w14:paraId="0A690CA5" w14:textId="54A3DBC3" w:rsidR="00C74B25" w:rsidRDefault="00BD362F" w:rsidP="00C74B25">
      <w:pPr>
        <w:keepNext/>
      </w:pPr>
      <w:hyperlink r:id="rId13" w:history="1">
        <w:r w:rsidR="00C74B25">
          <w:rPr>
            <w:rStyle w:val="Hyperlink"/>
          </w:rPr>
          <w:t>file:///Users/tiffany/app-suite/test/fixtures/data-xlsx.xlsx</w:t>
        </w:r>
      </w:hyperlink>
      <w:r w:rsidR="00C74B25">
        <w:t xml:space="preserve"> </w:t>
      </w:r>
    </w:p>
    <w:p w14:paraId="7B16C239" w14:textId="217BFA24" w:rsidR="00C74B25" w:rsidRDefault="00C74B25" w:rsidP="00C74B25">
      <w:pPr>
        <w:pStyle w:val="Caption"/>
      </w:pPr>
      <w:bookmarkStart w:id="8" w:name="_Ref501568805"/>
      <w:r>
        <w:t xml:space="preserve">Dataset </w:t>
      </w:r>
      <w:r w:rsidR="00BD362F">
        <w:fldChar w:fldCharType="begin"/>
      </w:r>
      <w:r w:rsidR="00BD362F">
        <w:instrText xml:space="preserve"> SEQ Dataset \* ARABIC </w:instrText>
      </w:r>
      <w:r w:rsidR="00BD362F">
        <w:fldChar w:fldCharType="separate"/>
      </w:r>
      <w:r w:rsidR="00967289">
        <w:rPr>
          <w:noProof/>
        </w:rPr>
        <w:t>1</w:t>
      </w:r>
      <w:r w:rsidR="00BD362F">
        <w:rPr>
          <w:noProof/>
        </w:rPr>
        <w:fldChar w:fldCharType="end"/>
      </w:r>
      <w:bookmarkEnd w:id="8"/>
      <w:r w:rsidR="00AE0EC7">
        <w:t xml:space="preserve"> </w:t>
      </w:r>
      <w:r>
        <w:t xml:space="preserve">Database of all human emerging viruses previously identified as originating in wildlife. </w:t>
      </w:r>
      <w:r w:rsidR="003C7BCD">
        <w:t>Data from: Jones, Kate “Kate Jones” (University College London (UCL) – London, UK).</w:t>
      </w:r>
    </w:p>
    <w:p w14:paraId="3325EBF6" w14:textId="77777777" w:rsidR="00C74B25" w:rsidRPr="00710C2E" w:rsidRDefault="00C74B25" w:rsidP="00C74B25"/>
    <w:p w14:paraId="50D9FB88" w14:textId="77777777" w:rsidR="00C74B25" w:rsidRDefault="00C74B25" w:rsidP="00C74B25">
      <w:pPr>
        <w:pStyle w:val="Heading2"/>
      </w:pPr>
      <w:r w:rsidRPr="00D737BB">
        <w:lastRenderedPageBreak/>
        <w:t>Results</w:t>
      </w:r>
    </w:p>
    <w:p w14:paraId="55936EF7" w14:textId="77777777" w:rsidR="00C74B25" w:rsidRDefault="00C74B25" w:rsidP="00C74B25">
      <w:pPr>
        <w:keepNext/>
        <w:rPr>
          <w:noProof/>
        </w:rPr>
      </w:pPr>
    </w:p>
    <w:p w14:paraId="1414DC6A" w14:textId="77777777" w:rsidR="00C74B25" w:rsidRDefault="00C74B25" w:rsidP="00C74B25">
      <w:pPr>
        <w:keepNext/>
      </w:pPr>
      <w:r>
        <w:rPr>
          <w:noProof/>
        </w:rPr>
        <w:drawing>
          <wp:inline distT="0" distB="0" distL="0" distR="0" wp14:anchorId="387C4823" wp14:editId="12E842EB">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588A72" w14:textId="3645697F" w:rsidR="00C74B25" w:rsidRDefault="00C74B25" w:rsidP="00C74B25">
      <w:pPr>
        <w:pStyle w:val="Caption"/>
        <w:rPr>
          <w:noProof/>
        </w:rPr>
      </w:pPr>
      <w:bookmarkStart w:id="9" w:name="_Ref437167226"/>
      <w:r>
        <w:t xml:space="preserve">Figure </w:t>
      </w:r>
      <w:r w:rsidR="00BD362F">
        <w:fldChar w:fldCharType="begin"/>
      </w:r>
      <w:r w:rsidR="00BD362F">
        <w:instrText xml:space="preserve"> SEQ Figure \* ARABIC </w:instrText>
      </w:r>
      <w:r w:rsidR="00BD362F">
        <w:fldChar w:fldCharType="separate"/>
      </w:r>
      <w:r w:rsidR="00967289">
        <w:rPr>
          <w:noProof/>
        </w:rPr>
        <w:t>1</w:t>
      </w:r>
      <w:r w:rsidR="00BD362F">
        <w:rPr>
          <w:noProof/>
        </w:rPr>
        <w:fldChar w:fldCharType="end"/>
      </w:r>
      <w:bookmarkEnd w:id="9"/>
      <w:r w:rsidR="006C1BCC">
        <w:rPr>
          <w:noProof/>
        </w:rPr>
        <w:t xml:space="preserve"> Summary of findings</w:t>
      </w:r>
      <w:r w:rsidR="005E4464">
        <w:t>.</w:t>
      </w:r>
      <w:r>
        <w:t xml:space="preserve"> Authors: </w:t>
      </w:r>
      <w:r>
        <w:fldChar w:fldCharType="begin"/>
      </w:r>
      <w:r>
        <w:instrText xml:space="preserve"> REF tiffany \h </w:instrText>
      </w:r>
      <w:r>
        <w:fldChar w:fldCharType="separate"/>
      </w:r>
      <w:r w:rsidR="00967289">
        <w:t>Dr. Tiffany L Bogich, PhD</w:t>
      </w:r>
      <w:r>
        <w:fldChar w:fldCharType="end"/>
      </w:r>
      <w:r>
        <w:t xml:space="preserve">. (A) </w:t>
      </w:r>
      <w:r w:rsidRPr="00616818">
        <w:t>Percentage of reports of host-virus pairs in which observable disease was described, ‘Symptomatic’, no observable disease was described, ‘Asymptomatic’, or no description of dis</w:t>
      </w:r>
      <w:r>
        <w:t>ease was included, ‘No data’</w:t>
      </w:r>
      <w:r w:rsidRPr="00616818">
        <w:t xml:space="preserve">. </w:t>
      </w:r>
      <w:r>
        <w:t>(B)</w:t>
      </w:r>
      <w:r w:rsidRPr="00616818">
        <w:t xml:space="preserve"> The proportion of hosts</w:t>
      </w:r>
      <w:r>
        <w:t xml:space="preserve"> symptomatic by mammal order </w:t>
      </w:r>
      <w:r w:rsidRPr="00616818">
        <w:t xml:space="preserve">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w:t>
      </w:r>
      <w:r>
        <w:t>three entries in the database.  (C) T</w:t>
      </w:r>
      <w:r w:rsidRPr="00616818">
        <w:t>he proportion of virus families for which ho</w:t>
      </w:r>
      <w:r>
        <w:t>sts are reported symptomatic</w:t>
      </w:r>
      <w:r w:rsidRPr="00616818">
        <w:t xml:space="preserve"> 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three entries in the database. </w:t>
      </w:r>
    </w:p>
    <w:p w14:paraId="02C4439C" w14:textId="78833814" w:rsidR="00C74B25" w:rsidRDefault="00C74B25" w:rsidP="00C74B25">
      <w:r>
        <w:t>Our search of 605 mammal-virus associations investigated yielded explicit information on host health in 52% of the 312 mammal-virus pairs. Of these, approximately 28% of infected wildlife hosts were reported to present with visible disease (n = 88) and 72% (n = 224) were reported without evidence of visible disease (</w:t>
      </w:r>
      <w:r>
        <w:fldChar w:fldCharType="begin"/>
      </w:r>
      <w:r>
        <w:instrText xml:space="preserve"> REF _Ref437167226 \h </w:instrText>
      </w:r>
      <w:r>
        <w:fldChar w:fldCharType="separate"/>
      </w:r>
      <w:r w:rsidR="00967289">
        <w:t xml:space="preserve">Figure </w:t>
      </w:r>
      <w:r w:rsidR="00967289">
        <w:rPr>
          <w:noProof/>
        </w:rPr>
        <w:t>1</w:t>
      </w:r>
      <w:r>
        <w:fldChar w:fldCharType="end"/>
      </w:r>
      <w:r>
        <w:t>A). The proportion of hosts that were symptomatic differed across host order (</w:t>
      </w:r>
      <w:r>
        <w:fldChar w:fldCharType="begin"/>
      </w:r>
      <w:r>
        <w:instrText xml:space="preserve"> REF _Ref437167226 \h </w:instrText>
      </w:r>
      <w:r>
        <w:fldChar w:fldCharType="separate"/>
      </w:r>
      <w:r w:rsidR="00967289">
        <w:t xml:space="preserve">Figure </w:t>
      </w:r>
      <w:r w:rsidR="00967289">
        <w:rPr>
          <w:noProof/>
        </w:rPr>
        <w:t>1</w:t>
      </w:r>
      <w:r>
        <w:fldChar w:fldCharType="end"/>
      </w:r>
      <w:r>
        <w:t>B) and virus family (</w:t>
      </w:r>
      <w:r>
        <w:fldChar w:fldCharType="begin"/>
      </w:r>
      <w:r>
        <w:instrText xml:space="preserve"> REF _Ref437167226 \h </w:instrText>
      </w:r>
      <w:r>
        <w:fldChar w:fldCharType="separate"/>
      </w:r>
      <w:r w:rsidR="00967289">
        <w:t xml:space="preserve">Figure </w:t>
      </w:r>
      <w:r w:rsidR="00967289">
        <w:rPr>
          <w:noProof/>
        </w:rPr>
        <w:t>1</w:t>
      </w:r>
      <w:r>
        <w:fldChar w:fldCharType="end"/>
      </w:r>
      <w:r>
        <w:t xml:space="preserve">C).  </w:t>
      </w:r>
    </w:p>
    <w:p w14:paraId="3E626574" w14:textId="77777777" w:rsidR="00C74B25" w:rsidRDefault="00C74B25" w:rsidP="00C74B25"/>
    <w:p w14:paraId="5FDAEC4E" w14:textId="4C685A23" w:rsidR="00C74B25" w:rsidRDefault="00C74B25" w:rsidP="00C74B25">
      <w:r>
        <w:lastRenderedPageBreak/>
        <w:t>Hosts infected with filoviruses were marginally more likely to be visibly diseased (</w:t>
      </w:r>
      <w:r>
        <w:fldChar w:fldCharType="begin"/>
      </w:r>
      <w:r>
        <w:instrText xml:space="preserve"> REF _Ref434410801 \h </w:instrText>
      </w:r>
      <w:r>
        <w:fldChar w:fldCharType="separate"/>
      </w:r>
      <w:r w:rsidR="00967289">
        <w:t xml:space="preserve">Table </w:t>
      </w:r>
      <w:r w:rsidR="00967289">
        <w:rPr>
          <w:noProof/>
        </w:rPr>
        <w:t>1</w:t>
      </w:r>
      <w:r>
        <w:fldChar w:fldCharType="end"/>
      </w:r>
      <w:r>
        <w:t xml:space="preserve">). </w:t>
      </w:r>
    </w:p>
    <w:p w14:paraId="6CA86305" w14:textId="77777777" w:rsidR="00C74B25" w:rsidRDefault="00C74B25" w:rsidP="00C74B25"/>
    <w:p w14:paraId="12EBAC3B" w14:textId="1CE412B0" w:rsidR="00C74B25" w:rsidRDefault="00C74B25" w:rsidP="00C74B25">
      <w:pPr>
        <w:pStyle w:val="Caption"/>
        <w:keepNext/>
      </w:pPr>
      <w:bookmarkStart w:id="10" w:name="_Ref434410801"/>
      <w:r>
        <w:t xml:space="preserve">Table </w:t>
      </w:r>
      <w:r w:rsidR="00BD362F">
        <w:fldChar w:fldCharType="begin"/>
      </w:r>
      <w:r w:rsidR="00BD362F">
        <w:instrText xml:space="preserve"> SEQ Table \* ARABIC </w:instrText>
      </w:r>
      <w:r w:rsidR="00BD362F">
        <w:fldChar w:fldCharType="separate"/>
      </w:r>
      <w:r w:rsidR="00967289">
        <w:rPr>
          <w:noProof/>
        </w:rPr>
        <w:t>1</w:t>
      </w:r>
      <w:r w:rsidR="00BD362F">
        <w:rPr>
          <w:noProof/>
        </w:rPr>
        <w:fldChar w:fldCharType="end"/>
      </w:r>
      <w:bookmarkEnd w:id="10"/>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C74B25" w:rsidRPr="00342485" w14:paraId="1A0D066C" w14:textId="77777777" w:rsidTr="00C961B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63B1F2F" w14:textId="77777777" w:rsidR="00C74B25" w:rsidRPr="00342485" w:rsidRDefault="00C74B25" w:rsidP="00C961BA">
            <w:pPr>
              <w:spacing w:before="2" w:after="2"/>
              <w:jc w:val="center"/>
              <w:rPr>
                <w:rFonts w:ascii="Times New Roman" w:hAnsi="Times New Roman"/>
                <w:sz w:val="20"/>
                <w:szCs w:val="20"/>
              </w:rPr>
            </w:pPr>
            <w:r w:rsidRPr="00342485">
              <w:rPr>
                <w:rFonts w:ascii="Times New Roman" w:hAnsi="Times New Roman"/>
                <w:sz w:val="20"/>
                <w:szCs w:val="20"/>
              </w:rPr>
              <w:t>Predictor</w:t>
            </w:r>
            <w:r>
              <w:rPr>
                <w:rStyle w:val="FootnoteReference"/>
                <w:rFonts w:ascii="Times New Roman" w:hAnsi="Times New Roman"/>
                <w:sz w:val="20"/>
                <w:szCs w:val="20"/>
              </w:rPr>
              <w:footnoteReference w:id="3"/>
            </w:r>
          </w:p>
        </w:tc>
        <w:tc>
          <w:tcPr>
            <w:tcW w:w="1170" w:type="dxa"/>
            <w:noWrap/>
          </w:tcPr>
          <w:p w14:paraId="5528406A" w14:textId="77777777" w:rsidR="00C74B25" w:rsidRPr="00342485"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043C038B" w14:textId="77777777" w:rsidR="00C74B25" w:rsidRPr="00342485"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0D60A798" w14:textId="77777777" w:rsidR="00C74B25" w:rsidRPr="00342485"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500A1941" w14:textId="77777777" w:rsidR="00C74B25" w:rsidRPr="00342485"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2E77C4CE" w14:textId="77777777" w:rsidR="00C74B25" w:rsidRPr="005C0C59"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43C5E5C8" w14:textId="77777777" w:rsidR="00C74B25" w:rsidRPr="005C0C59" w:rsidRDefault="00C74B25" w:rsidP="00C961BA">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C74B25" w:rsidRPr="00342485" w14:paraId="0F9BD8DF" w14:textId="77777777" w:rsidTr="00C961BA">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00BC0BC5" w14:textId="77777777" w:rsidR="00C74B25" w:rsidRPr="00342485" w:rsidRDefault="00C74B25" w:rsidP="00C961BA">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491C305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5976BCFD"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3B3D1D3D"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32977325"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77291EF1" w14:textId="77777777" w:rsidR="00C74B25" w:rsidRPr="005C0C59"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7F94EED8" w14:textId="77777777" w:rsidR="00C74B25" w:rsidRPr="005C0C59"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C74B25" w:rsidRPr="00342485" w14:paraId="4AEF8DAB"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8DB94FD" w14:textId="77777777" w:rsidR="00C74B25" w:rsidRPr="005C0C59" w:rsidRDefault="00C74B25" w:rsidP="00C961BA">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r w:rsidRPr="00342485">
              <w:rPr>
                <w:rFonts w:ascii="Times New Roman" w:hAnsi="Times New Roman"/>
                <w:sz w:val="20"/>
                <w:szCs w:val="20"/>
              </w:rPr>
              <w:t>Flaviviridae)</w:t>
            </w:r>
          </w:p>
        </w:tc>
      </w:tr>
      <w:tr w:rsidR="00C74B25" w:rsidRPr="00342485" w14:paraId="1FA419B5"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31AB834"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Bunyaviridae</w:t>
            </w:r>
          </w:p>
        </w:tc>
        <w:tc>
          <w:tcPr>
            <w:tcW w:w="1170" w:type="dxa"/>
            <w:noWrap/>
          </w:tcPr>
          <w:p w14:paraId="13198FFD"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56B5A25E"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1122D89A"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00DC475E"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1DAA9633"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3450ED15"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C74B25" w:rsidRPr="00342485" w14:paraId="7711C2E6"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57AF321"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Filoviridae</w:t>
            </w:r>
          </w:p>
        </w:tc>
        <w:tc>
          <w:tcPr>
            <w:tcW w:w="1170" w:type="dxa"/>
            <w:noWrap/>
          </w:tcPr>
          <w:p w14:paraId="08CE2E4B"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68D2A15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7383E230"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25894100"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1D8F76B1"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23C9280A"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C74B25" w:rsidRPr="00342485" w14:paraId="5B1A2F39"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F6EE564"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Herpesviridae</w:t>
            </w:r>
          </w:p>
        </w:tc>
        <w:tc>
          <w:tcPr>
            <w:tcW w:w="1170" w:type="dxa"/>
            <w:noWrap/>
          </w:tcPr>
          <w:p w14:paraId="5C6326A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62CE180D"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177D8696"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45A0F67E"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4B1D1CFC"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36EDC7E3"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C74B25" w:rsidRPr="00342485" w14:paraId="1F217896"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16927CCB"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Paramyxoviridae</w:t>
            </w:r>
          </w:p>
        </w:tc>
        <w:tc>
          <w:tcPr>
            <w:tcW w:w="1170" w:type="dxa"/>
            <w:noWrap/>
          </w:tcPr>
          <w:p w14:paraId="0CCA3E7B"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45CBBA24"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33B0DF87"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237C1FD4"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6BDDBD10"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4AAFFBB"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C74B25" w:rsidRPr="00342485" w14:paraId="4B430E63"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21BC930"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Picornaviridae</w:t>
            </w:r>
          </w:p>
        </w:tc>
        <w:tc>
          <w:tcPr>
            <w:tcW w:w="1170" w:type="dxa"/>
            <w:noWrap/>
          </w:tcPr>
          <w:p w14:paraId="5F022734"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70A6DDE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C9B522A"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7DABE31B"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6347872"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65FD8E25"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C74B25" w:rsidRPr="00342485" w14:paraId="0E09BCFE" w14:textId="77777777" w:rsidTr="00C961BA">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68BC9D9"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Poxviridae</w:t>
            </w:r>
          </w:p>
        </w:tc>
        <w:tc>
          <w:tcPr>
            <w:tcW w:w="1170" w:type="dxa"/>
            <w:noWrap/>
          </w:tcPr>
          <w:p w14:paraId="1BCB7A87"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682847B6"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6C53F392"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6BB41BCD"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779B79BC"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29A21A7"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C74B25" w:rsidRPr="00342485" w14:paraId="71AA9163" w14:textId="77777777" w:rsidTr="00C961BA">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26A40E07"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7EBAED65"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6432272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731455D5"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6E2DD0B3"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6EAC5AD6"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6525AEAA"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C74B25" w:rsidRPr="00342485" w14:paraId="714AC372" w14:textId="77777777" w:rsidTr="00C961BA">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379876CE"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Rhabdoviridae</w:t>
            </w:r>
          </w:p>
        </w:tc>
        <w:tc>
          <w:tcPr>
            <w:tcW w:w="1170" w:type="dxa"/>
            <w:noWrap/>
          </w:tcPr>
          <w:p w14:paraId="6F128FC7"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3622C86B"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6F6F85EA"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24714211"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28005AEC" w14:textId="77777777" w:rsidR="00C74B25" w:rsidRPr="006A5FAC"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c>
          <w:tcPr>
            <w:tcW w:w="1436" w:type="dxa"/>
          </w:tcPr>
          <w:p w14:paraId="30ACD3EC" w14:textId="77777777" w:rsidR="00C74B25" w:rsidRPr="006A5FAC"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p>
        </w:tc>
      </w:tr>
      <w:tr w:rsidR="00C74B25" w:rsidRPr="00342485" w14:paraId="14ADB3EF" w14:textId="77777777" w:rsidTr="00C961BA">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5C38EDE4" w14:textId="77777777" w:rsidR="00C74B25" w:rsidRPr="00342485" w:rsidRDefault="00C74B25" w:rsidP="00C961BA">
            <w:pPr>
              <w:spacing w:before="2" w:after="2"/>
              <w:ind w:left="720"/>
              <w:rPr>
                <w:rFonts w:ascii="Times New Roman" w:hAnsi="Times New Roman"/>
                <w:sz w:val="20"/>
                <w:szCs w:val="20"/>
              </w:rPr>
            </w:pPr>
            <w:r w:rsidRPr="00342485">
              <w:rPr>
                <w:rFonts w:ascii="Times New Roman" w:hAnsi="Times New Roman"/>
                <w:sz w:val="20"/>
                <w:szCs w:val="20"/>
              </w:rPr>
              <w:t>Togaviridae</w:t>
            </w:r>
          </w:p>
        </w:tc>
        <w:tc>
          <w:tcPr>
            <w:tcW w:w="1170" w:type="dxa"/>
            <w:noWrap/>
          </w:tcPr>
          <w:p w14:paraId="0F0B18E0"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37C60312"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42709E22"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900" w:type="dxa"/>
            <w:noWrap/>
          </w:tcPr>
          <w:p w14:paraId="756F5AF6" w14:textId="77777777" w:rsidR="00C74B25" w:rsidRPr="00342485"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4C017CB0"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70194660" w14:textId="77777777" w:rsidR="00C74B25" w:rsidRPr="00D624C0" w:rsidRDefault="00C74B25" w:rsidP="00C961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bl>
    <w:p w14:paraId="66DC9065" w14:textId="77777777" w:rsidR="00C74B25" w:rsidRDefault="00C74B25" w:rsidP="00C74B25"/>
    <w:p w14:paraId="369C51DA" w14:textId="6CAE187C" w:rsidR="00C74B25" w:rsidRDefault="00C74B25" w:rsidP="00C74B25">
      <w:r w:rsidRPr="00D737BB">
        <w:t xml:space="preserve">Species in the order </w:t>
      </w:r>
      <w:r w:rsidRPr="003B1311">
        <w:t>Chiroptera</w:t>
      </w:r>
      <w:r w:rsidRPr="00D737BB">
        <w:t xml:space="preserve"> have a lower probability of visible disease than in other orders (</w:t>
      </w:r>
      <w:r>
        <w:fldChar w:fldCharType="begin"/>
      </w:r>
      <w:r>
        <w:instrText xml:space="preserve"> REF _Ref434410860 \h </w:instrText>
      </w:r>
      <w:r>
        <w:fldChar w:fldCharType="separate"/>
      </w:r>
      <w:r w:rsidR="00967289">
        <w:t xml:space="preserve">Figure </w:t>
      </w:r>
      <w:r w:rsidR="00967289">
        <w:rPr>
          <w:noProof/>
        </w:rPr>
        <w:t>2</w:t>
      </w:r>
      <w:r>
        <w:fldChar w:fldCharType="end"/>
      </w:r>
      <w:r w:rsidRPr="00D737BB">
        <w:t xml:space="preserve">), though </w:t>
      </w:r>
      <w:r w:rsidRPr="009C494B">
        <w:rPr>
          <w:b/>
        </w:rPr>
        <w:t xml:space="preserve">all </w:t>
      </w:r>
      <w:r w:rsidRPr="003B1311">
        <w:rPr>
          <w:b/>
        </w:rPr>
        <w:t>Chiroptera</w:t>
      </w:r>
      <w:r w:rsidRPr="009C494B">
        <w:rPr>
          <w:b/>
        </w:rPr>
        <w:t xml:space="preserve"> infected with non-rabies </w:t>
      </w:r>
      <w:r w:rsidRPr="00B63DBE">
        <w:rPr>
          <w:b/>
        </w:rPr>
        <w:t>rhabdoviruses</w:t>
      </w:r>
      <w:r w:rsidRPr="009C494B">
        <w:rPr>
          <w:b/>
        </w:rPr>
        <w:t xml:space="preserve"> have a high probability of visible disease</w:t>
      </w:r>
      <w:r w:rsidRPr="00D737BB">
        <w:t xml:space="preserve">. </w:t>
      </w:r>
    </w:p>
    <w:p w14:paraId="25FCE5E6" w14:textId="77777777" w:rsidR="00C74B25" w:rsidRDefault="00C74B25" w:rsidP="00C74B25">
      <w:pPr>
        <w:keepNext/>
      </w:pPr>
      <w:r>
        <w:rPr>
          <w:rFonts w:ascii="Times New Roman" w:hAnsi="Times New Roman"/>
          <w:b/>
          <w:noProof/>
        </w:rPr>
        <w:drawing>
          <wp:inline distT="0" distB="0" distL="0" distR="0" wp14:anchorId="735BE538" wp14:editId="277589DC">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720C69E4" w14:textId="445A65DF" w:rsidR="00C74B25" w:rsidRDefault="00C74B25" w:rsidP="00C74B25">
      <w:pPr>
        <w:pStyle w:val="Caption"/>
      </w:pPr>
      <w:bookmarkStart w:id="11" w:name="_Ref434410860"/>
      <w:r>
        <w:t xml:space="preserve">Figure </w:t>
      </w:r>
      <w:r w:rsidR="00BD362F">
        <w:fldChar w:fldCharType="begin"/>
      </w:r>
      <w:r w:rsidR="00BD362F">
        <w:instrText xml:space="preserve"> SEQ Figure \* ARABIC </w:instrText>
      </w:r>
      <w:r w:rsidR="00BD362F">
        <w:fldChar w:fldCharType="separate"/>
      </w:r>
      <w:r w:rsidR="00967289">
        <w:rPr>
          <w:noProof/>
        </w:rPr>
        <w:t>2</w:t>
      </w:r>
      <w:r w:rsidR="00BD362F">
        <w:rPr>
          <w:noProof/>
        </w:rPr>
        <w:fldChar w:fldCharType="end"/>
      </w:r>
      <w:bookmarkEnd w:id="11"/>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p>
    <w:p w14:paraId="614738A7" w14:textId="77777777" w:rsidR="00C74B25" w:rsidRDefault="00C74B25" w:rsidP="00C74B25"/>
    <w:p w14:paraId="04553D02" w14:textId="77777777" w:rsidR="00C74B25" w:rsidRDefault="00C74B25" w:rsidP="00C74B25">
      <w:pPr>
        <w:pStyle w:val="Heading2"/>
      </w:pPr>
      <w:r>
        <w:lastRenderedPageBreak/>
        <w:t>Conclusions</w:t>
      </w:r>
    </w:p>
    <w:p w14:paraId="55121D23" w14:textId="2B68F28E" w:rsidR="00C74B25" w:rsidRDefault="00C74B25" w:rsidP="00C74B25">
      <w:r>
        <w:t xml:space="preserve">Our data suggest that </w:t>
      </w:r>
      <w:r w:rsidRPr="003B1311">
        <w:t>Chiroptera</w:t>
      </w:r>
      <w:r>
        <w:t xml:space="preserve"> and </w:t>
      </w:r>
      <w:r w:rsidRPr="003B1311">
        <w:t>Rodentia</w:t>
      </w:r>
      <w:r>
        <w:t>, two of the three main mammalian orders often targeted for zoonotic disease surveillance (the third being non-human primates are less likely to present with visible disease than other orders (</w:t>
      </w:r>
      <w:r>
        <w:fldChar w:fldCharType="begin"/>
      </w:r>
      <w:r>
        <w:instrText xml:space="preserve"> REF _Ref437167226 \h </w:instrText>
      </w:r>
      <w:r>
        <w:fldChar w:fldCharType="separate"/>
      </w:r>
      <w:r w:rsidR="00967289">
        <w:t xml:space="preserve">Figure </w:t>
      </w:r>
      <w:r w:rsidR="00967289">
        <w:rPr>
          <w:noProof/>
        </w:rPr>
        <w:t>1</w:t>
      </w:r>
      <w:r>
        <w:fldChar w:fldCharType="end"/>
      </w:r>
      <w:r>
        <w:t>).</w:t>
      </w:r>
    </w:p>
    <w:p w14:paraId="32F4B663" w14:textId="77777777" w:rsidR="00C74B25" w:rsidRDefault="00C74B25" w:rsidP="00C74B25"/>
    <w:p w14:paraId="7105B24D" w14:textId="77777777" w:rsidR="00C74B25" w:rsidRDefault="00C74B25" w:rsidP="00C74B25">
      <w:pPr>
        <w:pStyle w:val="Heading2"/>
      </w:pPr>
      <w:bookmarkStart w:id="12" w:name="_Ref507051967"/>
      <w:r>
        <w:t>Supporting Information</w:t>
      </w:r>
      <w:bookmarkEnd w:id="12"/>
    </w:p>
    <w:p w14:paraId="641E17E7" w14:textId="77777777" w:rsidR="00AA7DE4" w:rsidRDefault="00AA7DE4" w:rsidP="00C74B25">
      <w:pPr>
        <w:keepNext/>
        <w:rPr>
          <w:color w:val="000000"/>
          <w:shd w:val="clear" w:color="auto" w:fill="FFFFFF"/>
        </w:rPr>
      </w:pPr>
      <w:r>
        <w:rPr>
          <w:color w:val="000000"/>
          <w:shd w:val="clear" w:color="auto" w:fill="FFFFFF"/>
        </w:rPr>
        <w:t xml:space="preserve">We hypothesize that the number of viruses a given mammal species shares with humans decreases with phylogenetic distance from humans and increases with opportunity for human contact. </w:t>
      </w:r>
    </w:p>
    <w:p w14:paraId="0370A55C" w14:textId="20956AF1" w:rsidR="00AA7DE4" w:rsidRDefault="00AA7DE4" w:rsidP="00AA7DE4">
      <w:pPr>
        <w:pStyle w:val="Heading3"/>
        <w:rPr>
          <w:shd w:val="clear" w:color="auto" w:fill="FFFFFF"/>
        </w:rPr>
      </w:pPr>
      <w:r>
        <w:rPr>
          <w:shd w:val="clear" w:color="auto" w:fill="FFFFFF"/>
        </w:rPr>
        <w:t>Methods</w:t>
      </w:r>
    </w:p>
    <w:p w14:paraId="029638F9" w14:textId="37870C84" w:rsidR="00C74B25" w:rsidRDefault="00AA7DE4" w:rsidP="00C74B25">
      <w:pPr>
        <w:keepNext/>
        <w:rPr>
          <w:color w:val="000000"/>
          <w:shd w:val="clear" w:color="auto" w:fill="FFFFFF"/>
        </w:rPr>
      </w:pPr>
      <w:r>
        <w:rPr>
          <w:color w:val="000000"/>
          <w:shd w:val="clear" w:color="auto" w:fill="FFFFFF"/>
        </w:rPr>
        <w:t>We used generalized additive models (GAMs) to identify and rank host-specific predictors (ecological, life history, taxonomic, and phylogenetic traits, and a control for research effort) of the number of total and zoonotic viruses in mammals.</w:t>
      </w:r>
    </w:p>
    <w:p w14:paraId="52F7E97C" w14:textId="77777777" w:rsidR="00AA7DE4" w:rsidRDefault="00AA7DE4" w:rsidP="00C74B25">
      <w:pPr>
        <w:keepNext/>
      </w:pPr>
    </w:p>
    <w:p w14:paraId="58146BD1" w14:textId="742E0EB8" w:rsidR="00C74B25" w:rsidRDefault="00BD362F" w:rsidP="00C74B25">
      <w:pPr>
        <w:keepNext/>
      </w:pPr>
      <w:hyperlink r:id="rId20" w:history="1">
        <w:r w:rsidR="00C74B25" w:rsidRPr="0096681A">
          <w:rPr>
            <w:rStyle w:val="Hyperlink"/>
          </w:rPr>
          <w:t>video.mp4</w:t>
        </w:r>
      </w:hyperlink>
    </w:p>
    <w:p w14:paraId="6D162619" w14:textId="5CD655B4" w:rsidR="00C74B25" w:rsidRDefault="00C74B25" w:rsidP="003C1A84">
      <w:pPr>
        <w:pStyle w:val="Caption"/>
      </w:pPr>
      <w:bookmarkStart w:id="13" w:name="_Ref501569045"/>
      <w:r>
        <w:t xml:space="preserve">Video </w:t>
      </w:r>
      <w:r w:rsidR="00BD362F">
        <w:fldChar w:fldCharType="begin"/>
      </w:r>
      <w:r w:rsidR="00BD362F">
        <w:instrText xml:space="preserve"> SEQ Video \* ARABIC </w:instrText>
      </w:r>
      <w:r w:rsidR="00BD362F">
        <w:fldChar w:fldCharType="separate"/>
      </w:r>
      <w:r w:rsidR="00967289">
        <w:rPr>
          <w:noProof/>
        </w:rPr>
        <w:t>1</w:t>
      </w:r>
      <w:r w:rsidR="00BD362F">
        <w:rPr>
          <w:noProof/>
        </w:rPr>
        <w:fldChar w:fldCharType="end"/>
      </w:r>
      <w:bookmarkEnd w:id="13"/>
      <w:r>
        <w:t xml:space="preserve"> Cross-sectional view of a virus. </w:t>
      </w:r>
    </w:p>
    <w:p w14:paraId="05C0771C" w14:textId="77777777" w:rsidR="00C74B25" w:rsidRDefault="00C74B25" w:rsidP="00C74B25"/>
    <w:p w14:paraId="43A6218C" w14:textId="77777777" w:rsidR="0063015D" w:rsidRDefault="00BD362F"/>
    <w:sectPr w:rsidR="0063015D" w:rsidSect="00074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C8100" w14:textId="77777777" w:rsidR="00BD362F" w:rsidRDefault="00BD362F" w:rsidP="00C74B25">
      <w:r>
        <w:separator/>
      </w:r>
    </w:p>
  </w:endnote>
  <w:endnote w:type="continuationSeparator" w:id="0">
    <w:p w14:paraId="0D76008A" w14:textId="77777777" w:rsidR="00BD362F" w:rsidRDefault="00BD362F" w:rsidP="00C74B25">
      <w:r>
        <w:continuationSeparator/>
      </w:r>
    </w:p>
  </w:endnote>
  <w:endnote w:id="1">
    <w:p w14:paraId="21904286" w14:textId="7DB0BF1E" w:rsidR="004314F8" w:rsidRDefault="004314F8">
      <w:pPr>
        <w:pStyle w:val="EndnoteText"/>
      </w:pPr>
      <w:r>
        <w:rPr>
          <w:rStyle w:val="EndnoteReference"/>
        </w:rPr>
        <w:endnoteRef/>
      </w:r>
      <w:r>
        <w:t xml:space="preserve"> See also Jones et al 2008 Nature.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3F46B" w14:textId="77777777" w:rsidR="00BD362F" w:rsidRDefault="00BD362F" w:rsidP="00C74B25">
      <w:r>
        <w:separator/>
      </w:r>
    </w:p>
  </w:footnote>
  <w:footnote w:type="continuationSeparator" w:id="0">
    <w:p w14:paraId="7C7716C9" w14:textId="77777777" w:rsidR="00BD362F" w:rsidRDefault="00BD362F" w:rsidP="00C74B25">
      <w:r>
        <w:continuationSeparator/>
      </w:r>
    </w:p>
  </w:footnote>
  <w:footnote w:id="1">
    <w:p w14:paraId="0D41372E" w14:textId="2459AAFF" w:rsidR="004A340F" w:rsidRDefault="004A340F">
      <w:pPr>
        <w:pStyle w:val="FootnoteText"/>
      </w:pPr>
      <w:r>
        <w:rPr>
          <w:rStyle w:val="FootnoteReference"/>
        </w:rPr>
        <w:footnoteRef/>
      </w:r>
      <w:r>
        <w:t xml:space="preserve"> Wrote the manuscript.</w:t>
      </w:r>
    </w:p>
  </w:footnote>
  <w:footnote w:id="2">
    <w:p w14:paraId="31FBCA82" w14:textId="41BA8171" w:rsidR="000A24A5" w:rsidRDefault="000A24A5">
      <w:pPr>
        <w:pStyle w:val="FootnoteText"/>
      </w:pPr>
      <w:r>
        <w:rPr>
          <w:rStyle w:val="FootnoteReference"/>
        </w:rPr>
        <w:footnoteRef/>
      </w:r>
      <w:r>
        <w:t xml:space="preserve"> Email: </w:t>
      </w:r>
      <w:hyperlink r:id="rId1" w:history="1">
        <w:r w:rsidRPr="006B1348">
          <w:rPr>
            <w:rStyle w:val="Hyperlink"/>
          </w:rPr>
          <w:t>epstein@ecohealthalliance.org</w:t>
        </w:r>
      </w:hyperlink>
      <w:r>
        <w:t xml:space="preserve">. </w:t>
      </w:r>
    </w:p>
  </w:footnote>
  <w:footnote w:id="3">
    <w:p w14:paraId="488314C7" w14:textId="77777777" w:rsidR="00C74B25" w:rsidRDefault="00C74B25" w:rsidP="00C74B25">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9509C"/>
    <w:multiLevelType w:val="hybridMultilevel"/>
    <w:tmpl w:val="63CA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B25"/>
    <w:rsid w:val="00006F84"/>
    <w:rsid w:val="000120F2"/>
    <w:rsid w:val="0001666D"/>
    <w:rsid w:val="00031FC5"/>
    <w:rsid w:val="00050901"/>
    <w:rsid w:val="00053BEF"/>
    <w:rsid w:val="000555AF"/>
    <w:rsid w:val="00062F0F"/>
    <w:rsid w:val="0007405C"/>
    <w:rsid w:val="000755E4"/>
    <w:rsid w:val="000844CF"/>
    <w:rsid w:val="00087214"/>
    <w:rsid w:val="000960A6"/>
    <w:rsid w:val="00096B4B"/>
    <w:rsid w:val="000A24A5"/>
    <w:rsid w:val="000A574B"/>
    <w:rsid w:val="000B0FE6"/>
    <w:rsid w:val="000C6600"/>
    <w:rsid w:val="000D3DFD"/>
    <w:rsid w:val="000E42FE"/>
    <w:rsid w:val="001179A4"/>
    <w:rsid w:val="00127640"/>
    <w:rsid w:val="0014131E"/>
    <w:rsid w:val="0018593B"/>
    <w:rsid w:val="0018779C"/>
    <w:rsid w:val="001A148D"/>
    <w:rsid w:val="001A783F"/>
    <w:rsid w:val="001A7A1D"/>
    <w:rsid w:val="001B61C9"/>
    <w:rsid w:val="001D0B6F"/>
    <w:rsid w:val="001D3F05"/>
    <w:rsid w:val="00215597"/>
    <w:rsid w:val="00241397"/>
    <w:rsid w:val="0029188C"/>
    <w:rsid w:val="002A2B70"/>
    <w:rsid w:val="002B7660"/>
    <w:rsid w:val="002C73AC"/>
    <w:rsid w:val="002D5005"/>
    <w:rsid w:val="002F1DCF"/>
    <w:rsid w:val="00303C3E"/>
    <w:rsid w:val="00330C06"/>
    <w:rsid w:val="00343907"/>
    <w:rsid w:val="00391463"/>
    <w:rsid w:val="00393E3E"/>
    <w:rsid w:val="003C1A84"/>
    <w:rsid w:val="003C3F66"/>
    <w:rsid w:val="003C5DBC"/>
    <w:rsid w:val="003C7BCD"/>
    <w:rsid w:val="00411EE5"/>
    <w:rsid w:val="004314F8"/>
    <w:rsid w:val="00441CD5"/>
    <w:rsid w:val="00443159"/>
    <w:rsid w:val="00450A22"/>
    <w:rsid w:val="00463498"/>
    <w:rsid w:val="00497FCE"/>
    <w:rsid w:val="004A340F"/>
    <w:rsid w:val="004E682A"/>
    <w:rsid w:val="004F413D"/>
    <w:rsid w:val="005129EA"/>
    <w:rsid w:val="00536A10"/>
    <w:rsid w:val="00550ADC"/>
    <w:rsid w:val="005B474C"/>
    <w:rsid w:val="005C5C5F"/>
    <w:rsid w:val="005E4464"/>
    <w:rsid w:val="00605ADE"/>
    <w:rsid w:val="00611437"/>
    <w:rsid w:val="00621C5C"/>
    <w:rsid w:val="00631A7D"/>
    <w:rsid w:val="0064384B"/>
    <w:rsid w:val="00644770"/>
    <w:rsid w:val="0065275F"/>
    <w:rsid w:val="00664043"/>
    <w:rsid w:val="00666B87"/>
    <w:rsid w:val="006A7583"/>
    <w:rsid w:val="006C1BCC"/>
    <w:rsid w:val="006C243A"/>
    <w:rsid w:val="006F0EA9"/>
    <w:rsid w:val="00717ED5"/>
    <w:rsid w:val="00723667"/>
    <w:rsid w:val="00723FF8"/>
    <w:rsid w:val="00724983"/>
    <w:rsid w:val="0073029A"/>
    <w:rsid w:val="00732E31"/>
    <w:rsid w:val="007340DF"/>
    <w:rsid w:val="00786F29"/>
    <w:rsid w:val="007A445E"/>
    <w:rsid w:val="007A5F96"/>
    <w:rsid w:val="007B11BC"/>
    <w:rsid w:val="007D0EA5"/>
    <w:rsid w:val="007D4EC5"/>
    <w:rsid w:val="007F3609"/>
    <w:rsid w:val="00814791"/>
    <w:rsid w:val="00832793"/>
    <w:rsid w:val="008338CA"/>
    <w:rsid w:val="008749F9"/>
    <w:rsid w:val="00884AB8"/>
    <w:rsid w:val="0089378C"/>
    <w:rsid w:val="00894FD3"/>
    <w:rsid w:val="008B5DD2"/>
    <w:rsid w:val="008D0695"/>
    <w:rsid w:val="008D6782"/>
    <w:rsid w:val="008F1917"/>
    <w:rsid w:val="00906A7D"/>
    <w:rsid w:val="00911B42"/>
    <w:rsid w:val="00923E3F"/>
    <w:rsid w:val="00927142"/>
    <w:rsid w:val="009352DE"/>
    <w:rsid w:val="0095542F"/>
    <w:rsid w:val="00955709"/>
    <w:rsid w:val="009567DF"/>
    <w:rsid w:val="00963092"/>
    <w:rsid w:val="00967289"/>
    <w:rsid w:val="009869AE"/>
    <w:rsid w:val="009C342D"/>
    <w:rsid w:val="009C51E6"/>
    <w:rsid w:val="009D5C98"/>
    <w:rsid w:val="009F0829"/>
    <w:rsid w:val="009F11FF"/>
    <w:rsid w:val="009F13E3"/>
    <w:rsid w:val="009F3A1C"/>
    <w:rsid w:val="009F7D26"/>
    <w:rsid w:val="00A01DB9"/>
    <w:rsid w:val="00A154DD"/>
    <w:rsid w:val="00A16705"/>
    <w:rsid w:val="00A25233"/>
    <w:rsid w:val="00A4043D"/>
    <w:rsid w:val="00A44CF0"/>
    <w:rsid w:val="00A45D31"/>
    <w:rsid w:val="00A47272"/>
    <w:rsid w:val="00A70A13"/>
    <w:rsid w:val="00A97BA7"/>
    <w:rsid w:val="00AA26B7"/>
    <w:rsid w:val="00AA7DE4"/>
    <w:rsid w:val="00AB6369"/>
    <w:rsid w:val="00AD0B15"/>
    <w:rsid w:val="00AD6938"/>
    <w:rsid w:val="00AE0493"/>
    <w:rsid w:val="00AE0EC7"/>
    <w:rsid w:val="00AF27E1"/>
    <w:rsid w:val="00B3532A"/>
    <w:rsid w:val="00B40A92"/>
    <w:rsid w:val="00B45815"/>
    <w:rsid w:val="00B501D6"/>
    <w:rsid w:val="00B5704A"/>
    <w:rsid w:val="00B66812"/>
    <w:rsid w:val="00B74C81"/>
    <w:rsid w:val="00B83E9E"/>
    <w:rsid w:val="00B90796"/>
    <w:rsid w:val="00B90D95"/>
    <w:rsid w:val="00BA5C0E"/>
    <w:rsid w:val="00BB13CD"/>
    <w:rsid w:val="00BB60A3"/>
    <w:rsid w:val="00BD1830"/>
    <w:rsid w:val="00BD362F"/>
    <w:rsid w:val="00BF35B9"/>
    <w:rsid w:val="00C74B25"/>
    <w:rsid w:val="00C76DA0"/>
    <w:rsid w:val="00C81A49"/>
    <w:rsid w:val="00CC0A32"/>
    <w:rsid w:val="00CD364A"/>
    <w:rsid w:val="00CE06C1"/>
    <w:rsid w:val="00CE7823"/>
    <w:rsid w:val="00CF6417"/>
    <w:rsid w:val="00D30D98"/>
    <w:rsid w:val="00D35716"/>
    <w:rsid w:val="00D42D20"/>
    <w:rsid w:val="00D46C7D"/>
    <w:rsid w:val="00D53A66"/>
    <w:rsid w:val="00D55832"/>
    <w:rsid w:val="00D62D8B"/>
    <w:rsid w:val="00D70919"/>
    <w:rsid w:val="00D91802"/>
    <w:rsid w:val="00D97FB2"/>
    <w:rsid w:val="00DD1354"/>
    <w:rsid w:val="00DF0BCF"/>
    <w:rsid w:val="00DF50B5"/>
    <w:rsid w:val="00DF748A"/>
    <w:rsid w:val="00E143AE"/>
    <w:rsid w:val="00E76527"/>
    <w:rsid w:val="00E80720"/>
    <w:rsid w:val="00EA46D0"/>
    <w:rsid w:val="00EA4AA5"/>
    <w:rsid w:val="00EC408E"/>
    <w:rsid w:val="00EC70BB"/>
    <w:rsid w:val="00EE507B"/>
    <w:rsid w:val="00EF4EF4"/>
    <w:rsid w:val="00F01A59"/>
    <w:rsid w:val="00F40757"/>
    <w:rsid w:val="00F55A3F"/>
    <w:rsid w:val="00F66737"/>
    <w:rsid w:val="00F86AF6"/>
    <w:rsid w:val="00F923F5"/>
    <w:rsid w:val="00FA1CA9"/>
    <w:rsid w:val="00FD6D49"/>
    <w:rsid w:val="00FE069F"/>
    <w:rsid w:val="00FF51AA"/>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D8D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4B25"/>
  </w:style>
  <w:style w:type="paragraph" w:styleId="Heading1">
    <w:name w:val="heading 1"/>
    <w:basedOn w:val="Normal"/>
    <w:next w:val="Normal"/>
    <w:link w:val="Heading1Char"/>
    <w:uiPriority w:val="9"/>
    <w:qFormat/>
    <w:rsid w:val="00C74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D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A45D31"/>
    <w:pPr>
      <w:shd w:val="clear" w:color="auto" w:fill="F2F2F2" w:themeFill="background1" w:themeFillShade="F2"/>
    </w:pPr>
    <w:rPr>
      <w:rFonts w:ascii="Monaco" w:hAnsi="Monaco"/>
    </w:rPr>
  </w:style>
  <w:style w:type="character" w:customStyle="1" w:styleId="Heading1Char">
    <w:name w:val="Heading 1 Char"/>
    <w:basedOn w:val="DefaultParagraphFont"/>
    <w:link w:val="Heading1"/>
    <w:uiPriority w:val="9"/>
    <w:rsid w:val="00C74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B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4B25"/>
    <w:pPr>
      <w:ind w:left="720"/>
      <w:contextualSpacing/>
    </w:pPr>
  </w:style>
  <w:style w:type="character" w:styleId="Hyperlink">
    <w:name w:val="Hyperlink"/>
    <w:basedOn w:val="DefaultParagraphFont"/>
    <w:uiPriority w:val="99"/>
    <w:unhideWhenUsed/>
    <w:rsid w:val="00C74B25"/>
    <w:rPr>
      <w:color w:val="0563C1" w:themeColor="hyperlink"/>
      <w:u w:val="single"/>
    </w:rPr>
  </w:style>
  <w:style w:type="paragraph" w:styleId="FootnoteText">
    <w:name w:val="footnote text"/>
    <w:basedOn w:val="Normal"/>
    <w:link w:val="FootnoteTextChar"/>
    <w:uiPriority w:val="99"/>
    <w:unhideWhenUsed/>
    <w:rsid w:val="00C74B25"/>
  </w:style>
  <w:style w:type="character" w:customStyle="1" w:styleId="FootnoteTextChar">
    <w:name w:val="Footnote Text Char"/>
    <w:basedOn w:val="DefaultParagraphFont"/>
    <w:link w:val="FootnoteText"/>
    <w:uiPriority w:val="99"/>
    <w:rsid w:val="00C74B25"/>
  </w:style>
  <w:style w:type="character" w:styleId="FootnoteReference">
    <w:name w:val="footnote reference"/>
    <w:basedOn w:val="DefaultParagraphFont"/>
    <w:uiPriority w:val="99"/>
    <w:unhideWhenUsed/>
    <w:rsid w:val="00C74B25"/>
    <w:rPr>
      <w:vertAlign w:val="superscript"/>
    </w:rPr>
  </w:style>
  <w:style w:type="paragraph" w:styleId="Caption">
    <w:name w:val="caption"/>
    <w:basedOn w:val="Normal"/>
    <w:next w:val="Normal"/>
    <w:uiPriority w:val="35"/>
    <w:unhideWhenUsed/>
    <w:qFormat/>
    <w:rsid w:val="00C74B25"/>
    <w:pPr>
      <w:spacing w:after="200"/>
    </w:pPr>
    <w:rPr>
      <w:i/>
      <w:iCs/>
      <w:color w:val="44546A" w:themeColor="text2"/>
      <w:sz w:val="18"/>
      <w:szCs w:val="18"/>
    </w:rPr>
  </w:style>
  <w:style w:type="table" w:styleId="GridTable5Dark-Accent3">
    <w:name w:val="Grid Table 5 Dark Accent 3"/>
    <w:basedOn w:val="TableNormal"/>
    <w:uiPriority w:val="50"/>
    <w:rsid w:val="00C74B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ibliography">
    <w:name w:val="Bibliography"/>
    <w:basedOn w:val="Normal"/>
    <w:next w:val="Normal"/>
    <w:uiPriority w:val="37"/>
    <w:unhideWhenUsed/>
    <w:rsid w:val="00C74B25"/>
  </w:style>
  <w:style w:type="character" w:customStyle="1" w:styleId="Heading3Char">
    <w:name w:val="Heading 3 Char"/>
    <w:basedOn w:val="DefaultParagraphFont"/>
    <w:link w:val="Heading3"/>
    <w:uiPriority w:val="9"/>
    <w:rsid w:val="00AA7DE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C7B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7BCD"/>
    <w:rPr>
      <w:rFonts w:ascii="Times New Roman" w:hAnsi="Times New Roman" w:cs="Times New Roman"/>
      <w:sz w:val="18"/>
      <w:szCs w:val="18"/>
    </w:rPr>
  </w:style>
  <w:style w:type="character" w:styleId="UnresolvedMention">
    <w:name w:val="Unresolved Mention"/>
    <w:basedOn w:val="DefaultParagraphFont"/>
    <w:uiPriority w:val="99"/>
    <w:rsid w:val="003C7BCD"/>
    <w:rPr>
      <w:color w:val="605E5C"/>
      <w:shd w:val="clear" w:color="auto" w:fill="E1DFDD"/>
    </w:rPr>
  </w:style>
  <w:style w:type="paragraph" w:styleId="EndnoteText">
    <w:name w:val="endnote text"/>
    <w:basedOn w:val="Normal"/>
    <w:link w:val="EndnoteTextChar"/>
    <w:uiPriority w:val="99"/>
    <w:semiHidden/>
    <w:unhideWhenUsed/>
    <w:rsid w:val="004314F8"/>
    <w:rPr>
      <w:sz w:val="20"/>
      <w:szCs w:val="20"/>
    </w:rPr>
  </w:style>
  <w:style w:type="character" w:customStyle="1" w:styleId="EndnoteTextChar">
    <w:name w:val="Endnote Text Char"/>
    <w:basedOn w:val="DefaultParagraphFont"/>
    <w:link w:val="EndnoteText"/>
    <w:uiPriority w:val="99"/>
    <w:semiHidden/>
    <w:rsid w:val="004314F8"/>
    <w:rPr>
      <w:sz w:val="20"/>
      <w:szCs w:val="20"/>
    </w:rPr>
  </w:style>
  <w:style w:type="character" w:styleId="EndnoteReference">
    <w:name w:val="endnote reference"/>
    <w:basedOn w:val="DefaultParagraphFont"/>
    <w:uiPriority w:val="99"/>
    <w:semiHidden/>
    <w:unhideWhenUsed/>
    <w:rsid w:val="0043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0527">
      <w:bodyDiv w:val="1"/>
      <w:marLeft w:val="0"/>
      <w:marRight w:val="0"/>
      <w:marTop w:val="0"/>
      <w:marBottom w:val="0"/>
      <w:divBdr>
        <w:top w:val="none" w:sz="0" w:space="0" w:color="auto"/>
        <w:left w:val="none" w:sz="0" w:space="0" w:color="auto"/>
        <w:bottom w:val="none" w:sz="0" w:space="0" w:color="auto"/>
        <w:right w:val="none" w:sz="0" w:space="0" w:color="auto"/>
      </w:divBdr>
    </w:div>
    <w:div w:id="260534655">
      <w:bodyDiv w:val="1"/>
      <w:marLeft w:val="0"/>
      <w:marRight w:val="0"/>
      <w:marTop w:val="0"/>
      <w:marBottom w:val="0"/>
      <w:divBdr>
        <w:top w:val="none" w:sz="0" w:space="0" w:color="auto"/>
        <w:left w:val="none" w:sz="0" w:space="0" w:color="auto"/>
        <w:bottom w:val="none" w:sz="0" w:space="0" w:color="auto"/>
        <w:right w:val="none" w:sz="0" w:space="0" w:color="auto"/>
      </w:divBdr>
    </w:div>
    <w:div w:id="307976510">
      <w:bodyDiv w:val="1"/>
      <w:marLeft w:val="0"/>
      <w:marRight w:val="0"/>
      <w:marTop w:val="0"/>
      <w:marBottom w:val="0"/>
      <w:divBdr>
        <w:top w:val="none" w:sz="0" w:space="0" w:color="auto"/>
        <w:left w:val="none" w:sz="0" w:space="0" w:color="auto"/>
        <w:bottom w:val="none" w:sz="0" w:space="0" w:color="auto"/>
        <w:right w:val="none" w:sz="0" w:space="0" w:color="auto"/>
      </w:divBdr>
    </w:div>
    <w:div w:id="435978182">
      <w:bodyDiv w:val="1"/>
      <w:marLeft w:val="0"/>
      <w:marRight w:val="0"/>
      <w:marTop w:val="0"/>
      <w:marBottom w:val="0"/>
      <w:divBdr>
        <w:top w:val="none" w:sz="0" w:space="0" w:color="auto"/>
        <w:left w:val="none" w:sz="0" w:space="0" w:color="auto"/>
        <w:bottom w:val="none" w:sz="0" w:space="0" w:color="auto"/>
        <w:right w:val="none" w:sz="0" w:space="0" w:color="auto"/>
      </w:divBdr>
    </w:div>
    <w:div w:id="1194466306">
      <w:bodyDiv w:val="1"/>
      <w:marLeft w:val="0"/>
      <w:marRight w:val="0"/>
      <w:marTop w:val="0"/>
      <w:marBottom w:val="0"/>
      <w:divBdr>
        <w:top w:val="none" w:sz="0" w:space="0" w:color="auto"/>
        <w:left w:val="none" w:sz="0" w:space="0" w:color="auto"/>
        <w:bottom w:val="none" w:sz="0" w:space="0" w:color="auto"/>
        <w:right w:val="none" w:sz="0" w:space="0" w:color="auto"/>
      </w:divBdr>
    </w:div>
    <w:div w:id="1297680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e/user/tiffany" TargetMode="External"/><Relationship Id="rId13" Type="http://schemas.openxmlformats.org/officeDocument/2006/relationships/hyperlink" Target="file:///Users/tiffany/app-suite/test/fixtures/data-xlsx.xlsx"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rinceton.edu/main/"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video.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h.gov/"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www.fic.nih.gov/"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ecohealthalliance.org/" TargetMode="External"/><Relationship Id="rId14" Type="http://schemas.openxmlformats.org/officeDocument/2006/relationships/diagramData" Target="diagrams/data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epstein@ecohealthalliance.org"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dgm:spPr>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dgm:spPr>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dgm:spPr>
    </dgm:pt>
  </dgm:ptLst>
  <dgm:cxnLst>
    <dgm:cxn modelId="{F5C08D1A-98BD-F142-90D2-7078F172538C}" srcId="{E432E9AB-CDC8-3244-9DB2-1809EC66EF02}" destId="{C0EC696D-8090-C843-98D7-D5330AE03F35}" srcOrd="2" destOrd="0" parTransId="{E1C4EEE5-F8A9-D74F-980E-578136DA01FF}" sibTransId="{76407C53-1433-634F-8DA3-B4A6B67AFAF8}"/>
    <dgm:cxn modelId="{3F997728-675A-8847-A3F9-444A1743946F}" type="presOf" srcId="{BBD2BE1F-08FA-864F-B5F3-EEDB7EBD1650}" destId="{F52C9278-8022-7946-8C31-BDADD908F739}" srcOrd="0" destOrd="0" presId="urn:microsoft.com/office/officeart/2008/layout/PictureGrid"/>
    <dgm:cxn modelId="{88C36634-D1ED-EB41-B6C9-2FDD8186C1BE}" srcId="{E432E9AB-CDC8-3244-9DB2-1809EC66EF02}" destId="{BBD2BE1F-08FA-864F-B5F3-EEDB7EBD1650}" srcOrd="1" destOrd="0" parTransId="{3E6A7217-BE85-6A42-8AB8-D66D6F03F88F}" sibTransId="{E76ABE59-DC17-224B-9A9F-7BB95BA33D22}"/>
    <dgm:cxn modelId="{E32A6340-48C9-BE40-AD00-F77EDF561867}" type="presOf" srcId="{133255D1-9644-3D40-8845-8FA702F1DAF8}" destId="{70B55A73-18BE-4F40-A9B3-E04360868BBE}" srcOrd="0" destOrd="0" presId="urn:microsoft.com/office/officeart/2008/layout/PictureGrid"/>
    <dgm:cxn modelId="{884E944C-68D6-3048-A2B1-4963F681972B}" srcId="{E432E9AB-CDC8-3244-9DB2-1809EC66EF02}" destId="{133255D1-9644-3D40-8845-8FA702F1DAF8}" srcOrd="0" destOrd="0" parTransId="{B6BE9AB9-997C-9848-8685-75509959C6A8}" sibTransId="{0A017CB9-780B-AA42-BC86-E7653B8D4C4F}"/>
    <dgm:cxn modelId="{8ED185B6-5AC7-9748-8A02-8300AA4C9E72}" type="presOf" srcId="{C0EC696D-8090-C843-98D7-D5330AE03F35}" destId="{4C104AD4-5AD2-3246-8541-80055C59BDB2}" srcOrd="0" destOrd="0" presId="urn:microsoft.com/office/officeart/2008/layout/PictureGrid"/>
    <dgm:cxn modelId="{A53323C1-29CC-394F-8CF5-C4FCB86A12D6}" type="presOf" srcId="{E432E9AB-CDC8-3244-9DB2-1809EC66EF02}" destId="{A9498E7B-0042-EE49-A461-7C8041D1FCF2}" srcOrd="0" destOrd="0" presId="urn:microsoft.com/office/officeart/2008/layout/PictureGrid"/>
    <dgm:cxn modelId="{72AB1649-D2B5-794B-BFC3-104DFEC5EC5A}" type="presParOf" srcId="{A9498E7B-0042-EE49-A461-7C8041D1FCF2}" destId="{6A468B9C-8EBC-8940-B38F-578D009D2230}" srcOrd="0" destOrd="0" presId="urn:microsoft.com/office/officeart/2008/layout/PictureGrid"/>
    <dgm:cxn modelId="{E9771AD7-0D03-DB43-9234-369E75EDBEFE}" type="presParOf" srcId="{6A468B9C-8EBC-8940-B38F-578D009D2230}" destId="{70B55A73-18BE-4F40-A9B3-E04360868BBE}" srcOrd="0" destOrd="0" presId="urn:microsoft.com/office/officeart/2008/layout/PictureGrid"/>
    <dgm:cxn modelId="{5CD0BE7D-0F31-1044-971B-C5FF3344C4D7}" type="presParOf" srcId="{6A468B9C-8EBC-8940-B38F-578D009D2230}" destId="{76A2C008-6878-8645-9B5C-727AAADC1574}" srcOrd="1" destOrd="0" presId="urn:microsoft.com/office/officeart/2008/layout/PictureGrid"/>
    <dgm:cxn modelId="{05287780-AA34-184A-81B7-2FE1ED025A00}" type="presParOf" srcId="{A9498E7B-0042-EE49-A461-7C8041D1FCF2}" destId="{8B661495-7BAD-C440-AAFD-B2C926977047}" srcOrd="1" destOrd="0" presId="urn:microsoft.com/office/officeart/2008/layout/PictureGrid"/>
    <dgm:cxn modelId="{A214716F-FE01-4F42-86E4-C72CC7EFD52B}" type="presParOf" srcId="{A9498E7B-0042-EE49-A461-7C8041D1FCF2}" destId="{BF36BCEC-FC4D-7541-BE50-8FF834BDFE7B}" srcOrd="2" destOrd="0" presId="urn:microsoft.com/office/officeart/2008/layout/PictureGrid"/>
    <dgm:cxn modelId="{161835A5-FEC1-BF44-81F7-39CA4AC8B775}" type="presParOf" srcId="{BF36BCEC-FC4D-7541-BE50-8FF834BDFE7B}" destId="{F52C9278-8022-7946-8C31-BDADD908F739}" srcOrd="0" destOrd="0" presId="urn:microsoft.com/office/officeart/2008/layout/PictureGrid"/>
    <dgm:cxn modelId="{DF7FEFAF-D476-B94C-B0B9-9FCC966BC494}" type="presParOf" srcId="{BF36BCEC-FC4D-7541-BE50-8FF834BDFE7B}" destId="{FF562204-0237-5645-BE79-D2147053BDC8}" srcOrd="1" destOrd="0" presId="urn:microsoft.com/office/officeart/2008/layout/PictureGrid"/>
    <dgm:cxn modelId="{36A870B0-1176-7B49-86B0-66D3E831F9AD}" type="presParOf" srcId="{A9498E7B-0042-EE49-A461-7C8041D1FCF2}" destId="{0B170C60-34F8-164F-A2C9-2AA33252AC24}" srcOrd="3" destOrd="0" presId="urn:microsoft.com/office/officeart/2008/layout/PictureGrid"/>
    <dgm:cxn modelId="{6655948B-0435-DD48-A719-A729B9284489}" type="presParOf" srcId="{A9498E7B-0042-EE49-A461-7C8041D1FCF2}" destId="{EC1FCE4A-0233-9546-A850-65960FC205E7}" srcOrd="4" destOrd="0" presId="urn:microsoft.com/office/officeart/2008/layout/PictureGrid"/>
    <dgm:cxn modelId="{47E81BAB-E1FE-0D4B-8343-90D4C858A051}" type="presParOf" srcId="{EC1FCE4A-0233-9546-A850-65960FC205E7}" destId="{4C104AD4-5AD2-3246-8541-80055C59BDB2}" srcOrd="0" destOrd="0" presId="urn:microsoft.com/office/officeart/2008/layout/PictureGrid"/>
    <dgm:cxn modelId="{AC2A115B-2C20-D148-B6E9-39F834809EC1}"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A0FA52E-F591-C647-A149-19C5CFF2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19</cp:revision>
  <dcterms:created xsi:type="dcterms:W3CDTF">2018-01-05T23:46:00Z</dcterms:created>
  <dcterms:modified xsi:type="dcterms:W3CDTF">2019-03-27T19:27:00Z</dcterms:modified>
</cp:coreProperties>
</file>