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8jyhmkilvzg9" w:id="0"/>
      <w:bookmarkEnd w:id="0"/>
      <w:r w:rsidDel="00000000" w:rsidR="00000000" w:rsidRPr="00000000">
        <w:rPr>
          <w:rtl w:val="0"/>
        </w:rPr>
        <w:t xml:space="preserve">Considerations for data use and common questions</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pStyle w:val="Heading3"/>
        <w:shd w:fill="ffffff" w:val="clear"/>
        <w:spacing w:after="200" w:before="200" w:lineRule="auto"/>
        <w:jc w:val="both"/>
        <w:rPr/>
      </w:pPr>
      <w:bookmarkStart w:colFirst="0" w:colLast="0" w:name="_ruo40tgfocxc" w:id="1"/>
      <w:bookmarkEnd w:id="1"/>
      <w:r w:rsidDel="00000000" w:rsidR="00000000" w:rsidRPr="00000000">
        <w:rPr>
          <w:rtl w:val="0"/>
        </w:rPr>
        <w:t xml:space="preserve">Key considerations for comparing OpenET to ground-based ET measurements</w:t>
      </w:r>
    </w:p>
    <w:p w:rsidR="00000000" w:rsidDel="00000000" w:rsidP="00000000" w:rsidRDefault="00000000" w:rsidRPr="00000000" w14:paraId="00000004">
      <w:pPr>
        <w:shd w:fill="ffffff" w:val="clear"/>
        <w:spacing w:after="200" w:before="200" w:lineRule="auto"/>
        <w:ind w:firstLine="720"/>
        <w:jc w:val="both"/>
        <w:rPr/>
      </w:pPr>
      <w:r w:rsidDel="00000000" w:rsidR="00000000" w:rsidRPr="00000000">
        <w:rPr>
          <w:rtl w:val="0"/>
        </w:rPr>
        <w:t xml:space="preserve">Eddy covariance (EC) flux towers provide valuable observations at spatial scales and temporal frequencies necessary to evaluate satellite-based ET models. However, any comparison with OpenET data needs to ensure the EC ET values are of high quality, account for energy imbalance, and the pixels sampled from OpenET correspond to the area being sampled by the EC flux tower. In the development of a </w:t>
      </w:r>
      <w:hyperlink r:id="rId6">
        <w:r w:rsidDel="00000000" w:rsidR="00000000" w:rsidRPr="00000000">
          <w:rPr>
            <w:color w:val="1155cc"/>
            <w:u w:val="single"/>
            <w:rtl w:val="0"/>
          </w:rPr>
          <w:t xml:space="preserve">Benchmark ET dataset</w:t>
        </w:r>
      </w:hyperlink>
      <w:r w:rsidDel="00000000" w:rsidR="00000000" w:rsidRPr="00000000">
        <w:rPr>
          <w:rtl w:val="0"/>
        </w:rPr>
        <w:t xml:space="preserve"> that serves as the basis for the </w:t>
      </w:r>
      <w:hyperlink r:id="rId7">
        <w:r w:rsidDel="00000000" w:rsidR="00000000" w:rsidRPr="00000000">
          <w:rPr>
            <w:color w:val="1155cc"/>
            <w:u w:val="single"/>
            <w:rtl w:val="0"/>
          </w:rPr>
          <w:t xml:space="preserve">OpenET Phase II intercomparison</w:t>
        </w:r>
      </w:hyperlink>
      <w:r w:rsidDel="00000000" w:rsidR="00000000" w:rsidRPr="00000000">
        <w:rPr>
          <w:rtl w:val="0"/>
        </w:rPr>
        <w:t xml:space="preserve">, a python package (</w:t>
      </w:r>
      <w:hyperlink r:id="rId8">
        <w:r w:rsidDel="00000000" w:rsidR="00000000" w:rsidRPr="00000000">
          <w:rPr>
            <w:color w:val="1155cc"/>
            <w:u w:val="single"/>
            <w:rtl w:val="0"/>
          </w:rPr>
          <w:t xml:space="preserve">flux-data-qaqc</w:t>
        </w:r>
      </w:hyperlink>
      <w:r w:rsidDel="00000000" w:rsidR="00000000" w:rsidRPr="00000000">
        <w:rPr>
          <w:rtl w:val="0"/>
        </w:rPr>
        <w:t xml:space="preserve">) was developed to standardize reproducible quality assurance, quality control, and apply energy balance corrections (Volk et al., 2023; Volk et al., 2024). Additionally, open source tools exist to delineate the source area of EC fluxes to select the appropriate OpenET pixels for comparison (</w:t>
      </w:r>
      <w:hyperlink r:id="rId9">
        <w:r w:rsidDel="00000000" w:rsidR="00000000" w:rsidRPr="00000000">
          <w:rPr>
            <w:color w:val="1155cc"/>
            <w:u w:val="single"/>
            <w:rtl w:val="0"/>
          </w:rPr>
          <w:t xml:space="preserve">Kljun et al., 2016</w:t>
        </w:r>
      </w:hyperlink>
      <w:r w:rsidDel="00000000" w:rsidR="00000000" w:rsidRPr="00000000">
        <w:rPr>
          <w:rtl w:val="0"/>
        </w:rPr>
        <w:t xml:space="preserve">). </w:t>
      </w:r>
    </w:p>
    <w:p w:rsidR="00000000" w:rsidDel="00000000" w:rsidP="00000000" w:rsidRDefault="00000000" w:rsidRPr="00000000" w14:paraId="00000005">
      <w:pPr>
        <w:shd w:fill="ffffff" w:val="clear"/>
        <w:spacing w:after="200" w:before="200" w:lineRule="auto"/>
        <w:ind w:firstLine="720"/>
        <w:jc w:val="both"/>
        <w:rPr/>
      </w:pPr>
      <w:r w:rsidDel="00000000" w:rsidR="00000000" w:rsidRPr="00000000">
        <w:rPr>
          <w:rtl w:val="0"/>
        </w:rPr>
        <w:t xml:space="preserve">Lower-cost, ET measurement methods (e.g. surface renewal, surface energy balance residual) can also be used to estimate ET on the ground. While lower cost sensors provide an opportunity for denser measurement networks, relative to eddy covariance towers lower cost sensors often have unknown data quality and need to be sited appropriately to capture the intended measurement area. </w:t>
      </w:r>
    </w:p>
    <w:p w:rsidR="00000000" w:rsidDel="00000000" w:rsidP="00000000" w:rsidRDefault="00000000" w:rsidRPr="00000000" w14:paraId="00000006">
      <w:pPr>
        <w:pStyle w:val="Heading3"/>
        <w:shd w:fill="ffffff" w:val="clear"/>
        <w:spacing w:after="200" w:before="200" w:lineRule="auto"/>
        <w:jc w:val="both"/>
        <w:rPr/>
      </w:pPr>
      <w:bookmarkStart w:colFirst="0" w:colLast="0" w:name="_9n1rblp6csd4" w:id="2"/>
      <w:bookmarkEnd w:id="2"/>
      <w:r w:rsidDel="00000000" w:rsidR="00000000" w:rsidRPr="00000000">
        <w:rPr>
          <w:rtl w:val="0"/>
        </w:rPr>
        <w:t xml:space="preserve">Key considerations for comparing OpenET to metered diversion data</w:t>
      </w:r>
    </w:p>
    <w:p w:rsidR="00000000" w:rsidDel="00000000" w:rsidP="00000000" w:rsidRDefault="00000000" w:rsidRPr="00000000" w14:paraId="00000007">
      <w:pPr>
        <w:ind w:firstLine="720"/>
        <w:jc w:val="both"/>
        <w:rPr/>
      </w:pPr>
      <w:r w:rsidDel="00000000" w:rsidR="00000000" w:rsidRPr="00000000">
        <w:rPr>
          <w:rtl w:val="0"/>
        </w:rPr>
        <w:t xml:space="preserve">When comparing OpenET values with metered water diversion records, key considerations include: OpenET ET values represent ET from all water sources, the field and place of use boundary, the time frame of the analysis, selecting the appropriate OpenET model, and uncertainty of metered data. For more information please see this </w:t>
      </w:r>
      <w:hyperlink r:id="rId10">
        <w:r w:rsidDel="00000000" w:rsidR="00000000" w:rsidRPr="00000000">
          <w:rPr>
            <w:color w:val="1155cc"/>
            <w:u w:val="single"/>
            <w:rtl w:val="0"/>
          </w:rPr>
          <w:t xml:space="preserve">Memo on Important Considerations When Comparing other estimates of ET or Consumptive Use to ETa estimates from OpenET</w:t>
        </w:r>
      </w:hyperlink>
      <w:r w:rsidDel="00000000" w:rsidR="00000000" w:rsidRPr="00000000">
        <w:rPr>
          <w:rtl w:val="0"/>
        </w:rPr>
        <w:t xml:space="preserve">.</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ind w:firstLine="720"/>
        <w:jc w:val="both"/>
        <w:rPr/>
      </w:pPr>
      <w:r w:rsidDel="00000000" w:rsidR="00000000" w:rsidRPr="00000000">
        <w:rPr>
          <w:rtl w:val="0"/>
        </w:rPr>
        <w:t xml:space="preserve">OpenET ET values represent ET from all water sources. Accounting for effective precipitation, or the amount of rainfall that is available to ET, is necessary to compare ET values to metered water diversions. Applied water values often exceed ET from applied water, the ratio of these values can represent irrigation efficiency. Accurate field and place of use boundaries are extremely important to convert units of depth (i.e., ET rate mm/day) to volume (acre-ft) for comparison. Water-year analyses lend well to comparisons of metered water diversions to ET by minimizing the impact from soil water carryover. However, if another time period is desired accounting for soil water carry-over becomes necessary. Metered diversion values also have uncertainty and at times poor quality. Taking time to review metered data quality prior to comparisons to OpenET values will lead to more consistent agreement. </w:t>
      </w:r>
    </w:p>
    <w:p w:rsidR="00000000" w:rsidDel="00000000" w:rsidP="00000000" w:rsidRDefault="00000000" w:rsidRPr="00000000" w14:paraId="0000000A">
      <w:pPr>
        <w:pStyle w:val="Heading3"/>
        <w:keepNext w:val="0"/>
        <w:keepLines w:val="0"/>
        <w:shd w:fill="ffffff" w:val="clear"/>
        <w:spacing w:after="40" w:before="240" w:lineRule="auto"/>
        <w:jc w:val="both"/>
        <w:rPr/>
      </w:pPr>
      <w:bookmarkStart w:colFirst="0" w:colLast="0" w:name="_b1bydxk38du1" w:id="3"/>
      <w:bookmarkEnd w:id="3"/>
      <w:r w:rsidDel="00000000" w:rsidR="00000000" w:rsidRPr="00000000">
        <w:rPr>
          <w:rtl w:val="0"/>
        </w:rPr>
        <w:t xml:space="preserve">How to determine the best path to extract OpenET data at scale</w:t>
      </w:r>
    </w:p>
    <w:p w:rsidR="00000000" w:rsidDel="00000000" w:rsidP="00000000" w:rsidRDefault="00000000" w:rsidRPr="00000000" w14:paraId="0000000B">
      <w:pPr>
        <w:shd w:fill="ffffff" w:val="clear"/>
        <w:spacing w:after="200" w:before="200" w:lineRule="auto"/>
        <w:ind w:firstLine="720"/>
        <w:jc w:val="both"/>
        <w:rPr/>
      </w:pPr>
      <w:r w:rsidDel="00000000" w:rsidR="00000000" w:rsidRPr="00000000">
        <w:rPr>
          <w:rtl w:val="0"/>
        </w:rPr>
        <w:t xml:space="preserve"> When looking to retrieve data at scale you have 3 options: Google Earth Engine </w:t>
      </w:r>
      <w:r w:rsidDel="00000000" w:rsidR="00000000" w:rsidRPr="00000000">
        <w:rPr>
          <w:rtl w:val="0"/>
        </w:rPr>
        <w:t xml:space="preserve">Public Data Catalog</w:t>
      </w:r>
      <w:r w:rsidDel="00000000" w:rsidR="00000000" w:rsidRPr="00000000">
        <w:rPr>
          <w:rtl w:val="0"/>
        </w:rPr>
        <w:t xml:space="preserve">, OpenET‘s API, or the California historic raster data through DWR’s Box. The Google Earth Engine (GEE) Public Data Catalog offers access to OpenET raster data for the years 2000-2025, making it a good resource for large-scale computations due to its ability to handle large datasets. While the GEE catalog is optimized for broad spatial analyses, GEE accounts depend on a license. Instead, the OpenET API provides access to the monthly data in addition to daily data, and includes the most current year’s data (2026). The API is well suited for focused analyses and is subject to usage limits. </w:t>
      </w:r>
    </w:p>
    <w:p w:rsidR="00000000" w:rsidDel="00000000" w:rsidP="00000000" w:rsidRDefault="00000000" w:rsidRPr="00000000" w14:paraId="0000000C">
      <w:pPr>
        <w:shd w:fill="ffffff" w:val="clear"/>
        <w:spacing w:after="200" w:before="200" w:lineRule="auto"/>
        <w:ind w:firstLine="720"/>
        <w:jc w:val="both"/>
        <w:rPr/>
      </w:pPr>
      <w:r w:rsidDel="00000000" w:rsidR="00000000" w:rsidRPr="00000000">
        <w:rPr>
          <w:rtl w:val="0"/>
        </w:rPr>
        <w:t xml:space="preserve">The exported GeoTiff data for California Department of Water Resources provides an archive of monthly raster data from all OpenET models, covering the period from 2003 to present. This dataset was generated with CIMIS ETo. OpenET's Collection 2.1 data are available for all models and all years. The GeoTiff data available through Box provide a useful resource for state-wide long-term trend analysis and retrospective studies. Daily data are also available for select years.</w:t>
      </w:r>
    </w:p>
    <w:p w:rsidR="00000000" w:rsidDel="00000000" w:rsidP="00000000" w:rsidRDefault="00000000" w:rsidRPr="00000000" w14:paraId="0000000D">
      <w:pPr>
        <w:pStyle w:val="Heading3"/>
        <w:shd w:fill="ffffff" w:val="clear"/>
        <w:spacing w:after="200" w:before="200" w:lineRule="auto"/>
        <w:jc w:val="both"/>
        <w:rPr/>
      </w:pPr>
      <w:bookmarkStart w:colFirst="0" w:colLast="0" w:name="_z2px3hrgq01o" w:id="4"/>
      <w:bookmarkEnd w:id="4"/>
      <w:r w:rsidDel="00000000" w:rsidR="00000000" w:rsidRPr="00000000">
        <w:rPr>
          <w:rtl w:val="0"/>
        </w:rPr>
        <w:t xml:space="preserve">Key considerations for extracting OpenET data at scale using the API</w:t>
      </w:r>
    </w:p>
    <w:p w:rsidR="00000000" w:rsidDel="00000000" w:rsidP="00000000" w:rsidRDefault="00000000" w:rsidRPr="00000000" w14:paraId="0000000E">
      <w:pPr>
        <w:ind w:firstLine="720"/>
        <w:jc w:val="both"/>
        <w:rPr/>
      </w:pPr>
      <w:r w:rsidDel="00000000" w:rsidR="00000000" w:rsidRPr="00000000">
        <w:rPr>
          <w:rtl w:val="0"/>
        </w:rPr>
        <w:t xml:space="preserve">Quota restrictions exist to ensure the availability of computing resources for the entire OpenET community. Account quotas on the DWR dedicated server will reset at the 1st of every month to the values shown below. These quota thresholds are larger than the OpenET public API. Enhanced data access this resource is made available to Groundwater Sustainability Agencies and their consultants to support SGMA compliance and Groundwater Sustainability Plan implementation.</w:t>
      </w:r>
    </w:p>
    <w:p w:rsidR="00000000" w:rsidDel="00000000" w:rsidP="00000000" w:rsidRDefault="00000000" w:rsidRPr="00000000" w14:paraId="0000000F">
      <w:pPr>
        <w:jc w:val="both"/>
        <w:rPr/>
      </w:pPr>
      <w:r w:rsidDel="00000000" w:rsidR="00000000" w:rsidRPr="00000000">
        <w:rPr>
          <w:rtl w:val="0"/>
        </w:rPr>
      </w:r>
    </w:p>
    <w:tbl>
      <w:tblPr>
        <w:tblStyle w:val="Table1"/>
        <w:tblW w:w="601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1620"/>
        <w:tblGridChange w:id="0">
          <w:tblGrid>
            <w:gridCol w:w="4395"/>
            <w:gridCol w:w="1620"/>
          </w:tblGrid>
        </w:tblGridChange>
      </w:tblGrid>
      <w:tr>
        <w:trPr>
          <w:cantSplit w:val="0"/>
          <w:trHeight w:val="500.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0010">
            <w:pPr>
              <w:spacing w:line="240" w:lineRule="auto"/>
              <w:rPr/>
            </w:pPr>
            <w:r w:rsidDel="00000000" w:rsidR="00000000" w:rsidRPr="00000000">
              <w:rPr>
                <w:b w:val="1"/>
                <w:bCs w:val="1"/>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0011">
            <w:pPr>
              <w:spacing w:line="240" w:lineRule="auto"/>
              <w:rPr/>
            </w:pPr>
            <w:r w:rsidDel="00000000" w:rsidR="00000000" w:rsidRPr="00000000">
              <w:rPr>
                <w:b w:val="1"/>
                <w:bCs w:val="1"/>
                <w:rtl w:val="0"/>
              </w:rPr>
              <w:t xml:space="preserve">Quota</w:t>
            </w:r>
            <w:r w:rsidDel="00000000" w:rsidR="00000000" w:rsidRPr="00000000">
              <w:rPr>
                <w:rtl w:val="0"/>
              </w:rPr>
            </w:r>
          </w:p>
        </w:tc>
      </w:tr>
      <w:tr>
        <w:trPr>
          <w:cantSplit w:val="0"/>
          <w:trHeight w:val="500.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Monthly Request Limit</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1,000</w:t>
            </w:r>
          </w:p>
        </w:tc>
      </w:tr>
      <w:tr>
        <w:trPr>
          <w:cantSplit w:val="0"/>
          <w:trHeight w:val="500.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Max Field ID’s</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5,000</w:t>
            </w:r>
          </w:p>
        </w:tc>
      </w:tr>
      <w:tr>
        <w:trPr>
          <w:cantSplit w:val="0"/>
          <w:trHeight w:val="500.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Max Polygons</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8,000</w:t>
            </w:r>
          </w:p>
        </w:tc>
      </w:tr>
      <w:tr>
        <w:trPr>
          <w:cantSplit w:val="0"/>
          <w:trHeight w:val="507.06052727829893"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Max Area Single Request (acres)</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10,000,000</w:t>
            </w:r>
          </w:p>
        </w:tc>
      </w:tr>
    </w:tbl>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pStyle w:val="Heading2"/>
        <w:jc w:val="both"/>
        <w:rPr>
          <w:sz w:val="26"/>
          <w:szCs w:val="26"/>
        </w:rPr>
      </w:pPr>
      <w:bookmarkStart w:colFirst="0" w:colLast="0" w:name="_j3levwmx7u24" w:id="5"/>
      <w:bookmarkEnd w:id="5"/>
      <w:r w:rsidDel="00000000" w:rsidR="00000000" w:rsidRPr="00000000">
        <w:rPr>
          <w:sz w:val="26"/>
          <w:szCs w:val="26"/>
          <w:rtl w:val="0"/>
        </w:rPr>
        <w:t xml:space="preserve">Commonly asked questions</w:t>
      </w:r>
    </w:p>
    <w:p w:rsidR="00000000" w:rsidDel="00000000" w:rsidP="00000000" w:rsidRDefault="00000000" w:rsidRPr="00000000" w14:paraId="0000001D">
      <w:pPr>
        <w:jc w:val="both"/>
        <w:rPr/>
      </w:pPr>
      <w:r w:rsidDel="00000000" w:rsidR="00000000" w:rsidRPr="00000000">
        <w:rPr>
          <w:rtl w:val="0"/>
        </w:rPr>
        <w:t xml:space="preserve">The OpenET website has a dedicated page to </w:t>
      </w:r>
      <w:hyperlink r:id="rId11">
        <w:r w:rsidDel="00000000" w:rsidR="00000000" w:rsidRPr="00000000">
          <w:rPr>
            <w:color w:val="1155cc"/>
            <w:u w:val="single"/>
            <w:rtl w:val="0"/>
          </w:rPr>
          <w:t xml:space="preserve">frequently asked questions</w:t>
        </w:r>
      </w:hyperlink>
      <w:r w:rsidDel="00000000" w:rsidR="00000000" w:rsidRPr="00000000">
        <w:rPr>
          <w:rtl w:val="0"/>
        </w:rPr>
        <w:t xml:space="preserve">. Below, we summarize the responses to a few of the more common questions we receive during training.</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pStyle w:val="Heading3"/>
        <w:jc w:val="both"/>
        <w:rPr/>
      </w:pPr>
      <w:bookmarkStart w:colFirst="0" w:colLast="0" w:name="_cdle0hlxe534" w:id="6"/>
      <w:bookmarkEnd w:id="6"/>
      <w:r w:rsidDel="00000000" w:rsidR="00000000" w:rsidRPr="00000000">
        <w:rPr>
          <w:rtl w:val="0"/>
        </w:rPr>
        <w:t xml:space="preserve">How is the ensemble value calculated?</w:t>
      </w:r>
    </w:p>
    <w:p w:rsidR="00000000" w:rsidDel="00000000" w:rsidP="00000000" w:rsidRDefault="00000000" w:rsidRPr="00000000" w14:paraId="00000020">
      <w:pPr>
        <w:ind w:firstLine="720"/>
        <w:jc w:val="both"/>
        <w:rPr/>
      </w:pPr>
      <w:r w:rsidDel="00000000" w:rsidR="00000000" w:rsidRPr="00000000">
        <w:rPr>
          <w:rtl w:val="0"/>
        </w:rPr>
        <w:t xml:space="preserve">The ensemble ET value is computed at each time step as the simple arithmetic average </w:t>
      </w:r>
      <w:r w:rsidDel="00000000" w:rsidR="00000000" w:rsidRPr="00000000">
        <w:rPr>
          <w:i w:val="1"/>
          <w:iCs w:val="1"/>
          <w:rtl w:val="0"/>
        </w:rPr>
        <w:t xml:space="preserve">after outlier ET data values are removed</w:t>
      </w:r>
      <w:r w:rsidDel="00000000" w:rsidR="00000000" w:rsidRPr="00000000">
        <w:rPr>
          <w:rtl w:val="0"/>
        </w:rPr>
        <w:t xml:space="preserve">. Outlier ET values are removed using the Median Absolute Deviation (MAD) method. The MAD is a measure of scale, or spread of the data, based on the median of the absolute deviations from the median of the distribution. Up to two OpenET values can be removed prior to computing the ensemble ET value. </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pStyle w:val="Heading3"/>
        <w:jc w:val="both"/>
        <w:rPr/>
      </w:pPr>
      <w:bookmarkStart w:colFirst="0" w:colLast="0" w:name="_5h8rcr8zko17" w:id="7"/>
      <w:bookmarkEnd w:id="7"/>
      <w:r w:rsidDel="00000000" w:rsidR="00000000" w:rsidRPr="00000000">
        <w:rPr>
          <w:rtl w:val="0"/>
        </w:rPr>
        <w:t xml:space="preserve">How does OpenET compute daily (or monthly) ET values?</w:t>
      </w:r>
    </w:p>
    <w:p w:rsidR="00000000" w:rsidDel="00000000" w:rsidP="00000000" w:rsidRDefault="00000000" w:rsidRPr="00000000" w14:paraId="00000023">
      <w:pPr>
        <w:ind w:firstLine="720"/>
        <w:jc w:val="both"/>
        <w:rPr/>
      </w:pPr>
      <w:r w:rsidDel="00000000" w:rsidR="00000000" w:rsidRPr="00000000">
        <w:rPr>
          <w:rtl w:val="0"/>
        </w:rPr>
        <w:t xml:space="preserve">Reference ET data are used to support the calculation of actual ET between Landsat satellite overpasses, which occur every eight days (excepting cloud cover) with two Landsat satellites in orbit. First, the fraction of reference ET for each satellite overpass date is calculated by dividing the satellite ET on the overpass date by the reference ET. The fractions of reference ET values are then linearly interpolated on a daily timestep for all days between clear satellite overpass dates, one image pixel at a time, and are then multiplied by the daily reference ET values to calculate a daily time series of actual ET for every pixel. These per-pixel daily time series of actual ET are then aggregated to monthly and annual time periods</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pStyle w:val="Heading3"/>
        <w:jc w:val="both"/>
        <w:rPr/>
      </w:pPr>
      <w:bookmarkStart w:colFirst="0" w:colLast="0" w:name="_awplmzkfi9zy" w:id="8"/>
      <w:bookmarkEnd w:id="8"/>
      <w:r w:rsidDel="00000000" w:rsidR="00000000" w:rsidRPr="00000000">
        <w:rPr>
          <w:rtl w:val="0"/>
        </w:rPr>
        <w:t xml:space="preserve">How are field boundaries generated?</w:t>
      </w:r>
    </w:p>
    <w:p w:rsidR="00000000" w:rsidDel="00000000" w:rsidP="00000000" w:rsidRDefault="00000000" w:rsidRPr="00000000" w14:paraId="00000026">
      <w:pPr>
        <w:ind w:firstLine="720"/>
        <w:jc w:val="both"/>
        <w:rPr/>
      </w:pPr>
      <w:r w:rsidDel="00000000" w:rsidR="00000000" w:rsidRPr="00000000">
        <w:rPr>
          <w:rtl w:val="0"/>
        </w:rPr>
        <w:t xml:space="preserve">Publicly available field boundary datasets were collected from academic research teams, state and federal agencies, and the 2008 USDA Common Land Unit (CLU) database. In many cases, these datasets have been modified to remove redundant polygons, as well as small slivers and large polygons associated with grazing on non-irrigated rangelands and shrublands. Priority was given to more recent field boundary datasets produced by state and local agencies, and the modified CLU data were used only in cases where no state or local level datasets are publicly available.</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pStyle w:val="Heading3"/>
        <w:jc w:val="both"/>
        <w:rPr/>
      </w:pPr>
      <w:bookmarkStart w:colFirst="0" w:colLast="0" w:name="_ncajxsej812" w:id="9"/>
      <w:bookmarkEnd w:id="9"/>
      <w:r w:rsidDel="00000000" w:rsidR="00000000" w:rsidRPr="00000000">
        <w:rPr>
          <w:rtl w:val="0"/>
        </w:rPr>
        <w:t xml:space="preserve">Where does crop type information come from and how does it affect OpenET accuracy?</w:t>
      </w:r>
    </w:p>
    <w:p w:rsidR="00000000" w:rsidDel="00000000" w:rsidP="00000000" w:rsidRDefault="00000000" w:rsidRPr="00000000" w14:paraId="00000029">
      <w:pPr>
        <w:ind w:firstLine="720"/>
        <w:jc w:val="both"/>
        <w:rPr/>
      </w:pPr>
      <w:r w:rsidDel="00000000" w:rsidR="00000000" w:rsidRPr="00000000">
        <w:rPr>
          <w:rtl w:val="0"/>
        </w:rPr>
        <w:t xml:space="preserve">Crop type information available through the Data Explorer is not generated by OpenET. Crop type information is derived from publicly available datasets, which often lag 6-12 months or more behind the current growing season, and thus may not always accurately reflect the current crop. Crop type information is provided to assist with interpretation of ET values. The USDA Cropland Data Layer is used to derive crop type information for the majority of states. Crop type information for California for 2016, 2018 and 2020 is sourced from the CA Department of Water Resources (DWR) Land Cover database developed by LandIQ. Data for annual crops in California for all other years are from the USDA Cropland Data Layer.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8"/>
      <w:szCs w:val="28"/>
    </w:rPr>
  </w:style>
  <w:style w:type="paragraph" w:styleId="Heading2">
    <w:name w:val="heading 2"/>
    <w:basedOn w:val="Normal"/>
    <w:next w:val="Normal"/>
    <w:pPr>
      <w:keepNext w:val="1"/>
      <w:keepLines w:val="1"/>
    </w:pPr>
    <w:rPr>
      <w:b w:val="1"/>
      <w:bCs w:val="1"/>
      <w:i w:val="1"/>
      <w:iCs w:val="1"/>
    </w:rPr>
  </w:style>
  <w:style w:type="paragraph" w:styleId="Heading3">
    <w:name w:val="heading 3"/>
    <w:basedOn w:val="Normal"/>
    <w:next w:val="Normal"/>
    <w:pPr>
      <w:keepNext w:val="1"/>
      <w:keepLines w:val="1"/>
    </w:pPr>
    <w:rPr>
      <w:b w:val="1"/>
      <w:bCs w:val="1"/>
      <w:color w:val="66666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tdata.org/faq/" TargetMode="External"/><Relationship Id="rId10" Type="http://schemas.openxmlformats.org/officeDocument/2006/relationships/hyperlink" Target="https://docs.google.com/document/d/1yaouDLSwOBaDFeS_nytAnIos78n5Z1XUUF3MvOpE14Y/edit?usp=sharing" TargetMode="External"/><Relationship Id="rId9" Type="http://schemas.openxmlformats.org/officeDocument/2006/relationships/hyperlink" Target="https://geography.swansea.ac.uk/nkljun/ffp/www/index.php" TargetMode="External"/><Relationship Id="rId5" Type="http://schemas.openxmlformats.org/officeDocument/2006/relationships/styles" Target="styles.xml"/><Relationship Id="rId6" Type="http://schemas.openxmlformats.org/officeDocument/2006/relationships/hyperlink" Target="https://www.sciencedirect.com/science/article/pii/S0168192323000011" TargetMode="External"/><Relationship Id="rId7" Type="http://schemas.openxmlformats.org/officeDocument/2006/relationships/hyperlink" Target="https://www.nature.com/articles/s44221-023-00181-7" TargetMode="External"/><Relationship Id="rId8" Type="http://schemas.openxmlformats.org/officeDocument/2006/relationships/hyperlink" Target="https://flux-data-qaqc.readthedocs.io/en/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