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880"/>
        <w:gridCol w:w="11520"/>
      </w:tblGrid>
      <w:tr>
        <w:trPr>
          <w:tblHeader w:val="true"/>
        </w:trPr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 descr="ScienceDojo word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iencedojo-wordmark-gradien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ptos Display" w:hAnsi="Aptos Display"/>
                <w:b/>
                <w:color w:val="11243E"/>
                <w:sz w:val="42"/>
              </w:rPr>
              <w:t>BUSINESS MODEL CANVAS</w:t>
            </w:r>
          </w:p>
          <w:p>
            <w:pPr>
              <w:spacing w:after="80"/>
              <w:jc w:val="right"/>
            </w:pPr>
            <w:r>
              <w:rPr>
                <w:rFonts w:ascii="Aptos" w:hAnsi="Aptos"/>
                <w:b w:val="0"/>
                <w:color w:val="607086"/>
                <w:sz w:val="17"/>
              </w:rPr>
              <w:t>Working model - assumptions to validate through pilots and customer evidence</w:t>
            </w:r>
          </w:p>
        </w:tc>
      </w:tr>
    </w:tbl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EEF4FF"/>
            <w:tcBorders>
              <w:top w:val="single" w:sz="8" w:color="CAD7E8"/>
              <w:left w:val="single" w:sz="8" w:color="CAD7E8"/>
              <w:bottom w:val="single" w:sz="8" w:color="CAD7E8"/>
              <w:right w:val="single" w:sz="8" w:color="CAD7E8"/>
              <w:insideH w:val="single" w:sz="8" w:color="CAD7E8"/>
              <w:insideV w:val="single" w:sz="8" w:color="CAD7E8"/>
            </w:tcBorders>
            <w:tcMar>
              <w:top w:w="105" w:type="dxa"/>
              <w:start w:w="125" w:type="dxa"/>
              <w:bottom w:w="95" w:type="dxa"/>
              <w:end w:w="125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color w:val="3973E6"/>
                <w:sz w:val="23"/>
              </w:rPr>
              <w:t>Key Partners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Supply: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Verified STEM tutors and specialist educators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Infrastructure: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Supabase, Stripe, Resend, video classroom and AI providers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Channels: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Schools, universities, regional programmes and parent communities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Trust: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Credential verification and safeguarding partners</w:t>
            </w:r>
          </w:p>
        </w:tc>
        <w:tc>
          <w:tcPr>
            <w:tcW w:type="dxa" w:w="2880"/>
            <w:shd w:fill="FFFFFF"/>
            <w:tcBorders>
              <w:top w:val="single" w:sz="8" w:color="CAD7E8"/>
              <w:left w:val="single" w:sz="8" w:color="CAD7E8"/>
              <w:bottom w:val="single" w:sz="8" w:color="CAD7E8"/>
              <w:right w:val="single" w:sz="8" w:color="CAD7E8"/>
              <w:insideH w:val="single" w:sz="8" w:color="CAD7E8"/>
              <w:insideV w:val="single" w:sz="8" w:color="CAD7E8"/>
            </w:tcBorders>
            <w:tcMar>
              <w:top w:w="105" w:type="dxa"/>
              <w:start w:w="125" w:type="dxa"/>
              <w:bottom w:w="95" w:type="dxa"/>
              <w:end w:w="125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color w:val="3973E6"/>
                <w:sz w:val="23"/>
              </w:rPr>
              <w:t>Key Activities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Acquire: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Assess learners, recruit tutors and build partner referrals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Deliver: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Match, book, teach, record, assign and review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Assure: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Tutor verification, safeguarding, payments and dispute operations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Improve: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Use learning records to strengthen personalisation and tutor quality</w:t>
            </w:r>
          </w:p>
        </w:tc>
        <w:tc>
          <w:tcPr>
            <w:tcW w:type="dxa" w:w="2880"/>
            <w:shd w:fill="EAFBFB"/>
            <w:tcBorders>
              <w:top w:val="single" w:sz="8" w:color="CAD7E8"/>
              <w:left w:val="single" w:sz="8" w:color="CAD7E8"/>
              <w:bottom w:val="single" w:sz="8" w:color="CAD7E8"/>
              <w:right w:val="single" w:sz="8" w:color="CAD7E8"/>
              <w:insideH w:val="single" w:sz="8" w:color="CAD7E8"/>
              <w:insideV w:val="single" w:sz="8" w:color="CAD7E8"/>
            </w:tcBorders>
            <w:tcMar>
              <w:top w:w="105" w:type="dxa"/>
              <w:start w:w="125" w:type="dxa"/>
              <w:bottom w:w="95" w:type="dxa"/>
              <w:end w:w="125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color w:val="3973E6"/>
                <w:sz w:val="23"/>
              </w:rPr>
              <w:t>Value Propositions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Students: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Clear explanations, guided practice and confidence that compounds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Parents: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Trusted tutors, organised support and visibility into the next step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Tutors: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Qualified demand plus tools for consistent, accountable teaching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Partners: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A measurable human-first STEM support pathway</w:t>
            </w:r>
          </w:p>
        </w:tc>
        <w:tc>
          <w:tcPr>
            <w:tcW w:type="dxa" w:w="2880"/>
            <w:shd w:fill="FFFFFF"/>
            <w:tcBorders>
              <w:top w:val="single" w:sz="8" w:color="CAD7E8"/>
              <w:left w:val="single" w:sz="8" w:color="CAD7E8"/>
              <w:bottom w:val="single" w:sz="8" w:color="CAD7E8"/>
              <w:right w:val="single" w:sz="8" w:color="CAD7E8"/>
              <w:insideH w:val="single" w:sz="8" w:color="CAD7E8"/>
              <w:insideV w:val="single" w:sz="8" w:color="CAD7E8"/>
            </w:tcBorders>
            <w:tcMar>
              <w:top w:w="105" w:type="dxa"/>
              <w:start w:w="125" w:type="dxa"/>
              <w:bottom w:w="95" w:type="dxa"/>
              <w:end w:w="125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color w:val="3973E6"/>
                <w:sz w:val="23"/>
              </w:rPr>
              <w:t>Customer Relationships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Entry: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Free learning assessment and open Practice Dojo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Core: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Ongoing one-to-one tutor relationship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Continuity: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Class space, messaging, homework, Missions and progress updates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Retention: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Recurring lessons, parent reassurance and demonstrated momentum</w:t>
            </w:r>
          </w:p>
        </w:tc>
        <w:tc>
          <w:tcPr>
            <w:tcW w:type="dxa" w:w="2880"/>
            <w:shd w:fill="EEF4FF"/>
            <w:tcBorders>
              <w:top w:val="single" w:sz="8" w:color="CAD7E8"/>
              <w:left w:val="single" w:sz="8" w:color="CAD7E8"/>
              <w:bottom w:val="single" w:sz="8" w:color="CAD7E8"/>
              <w:right w:val="single" w:sz="8" w:color="CAD7E8"/>
              <w:insideH w:val="single" w:sz="8" w:color="CAD7E8"/>
              <w:insideV w:val="single" w:sz="8" w:color="CAD7E8"/>
            </w:tcBorders>
            <w:tcMar>
              <w:top w:w="105" w:type="dxa"/>
              <w:start w:w="125" w:type="dxa"/>
              <w:bottom w:w="95" w:type="dxa"/>
              <w:end w:w="125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color w:val="3973E6"/>
                <w:sz w:val="23"/>
              </w:rPr>
              <w:t>Customer Segments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Primary buyer: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Parents of secondary-school students needing STEM support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Primary user: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GCSE, IGCSE and A-Level learners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Supply user: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Independent and university-linked STEM tutors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Future buyer: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Schools, universities and regional education programmes</w:t>
            </w:r>
          </w:p>
        </w:tc>
      </w:tr>
      <w:tr>
        <w:tc>
          <w:tcPr>
            <w:tcW w:type="dxa" w:w="2880"/>
            <w:shd w:fill="FFFFFF"/>
            <w:tcBorders>
              <w:top w:val="single" w:sz="8" w:color="CAD7E8"/>
              <w:left w:val="single" w:sz="8" w:color="CAD7E8"/>
              <w:bottom w:val="single" w:sz="8" w:color="CAD7E8"/>
              <w:right w:val="single" w:sz="8" w:color="CAD7E8"/>
              <w:insideH w:val="single" w:sz="8" w:color="CAD7E8"/>
              <w:insideV w:val="single" w:sz="8" w:color="CAD7E8"/>
            </w:tcBorders>
            <w:tcMar>
              <w:top w:w="105" w:type="dxa"/>
              <w:start w:w="125" w:type="dxa"/>
              <w:bottom w:w="95" w:type="dxa"/>
              <w:end w:w="125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color w:val="3973E6"/>
                <w:sz w:val="23"/>
              </w:rPr>
              <w:t>Key Resources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People: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Tutor network, educational operations and safeguarding capability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Product: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Multi-role platform, class spaces, booking, payments and learning tools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Data: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Consent-based lesson, practice, homework and progress records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Brand: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Human-first trust and structured science-confidence positioning</w:t>
            </w:r>
          </w:p>
        </w:tc>
        <w:tc>
          <w:tcPr>
            <w:tcW w:type="dxa" w:w="2880"/>
            <w:shd w:fill="EEF4FF"/>
            <w:tcBorders>
              <w:top w:val="single" w:sz="8" w:color="CAD7E8"/>
              <w:left w:val="single" w:sz="8" w:color="CAD7E8"/>
              <w:bottom w:val="single" w:sz="8" w:color="CAD7E8"/>
              <w:right w:val="single" w:sz="8" w:color="CAD7E8"/>
              <w:insideH w:val="single" w:sz="8" w:color="CAD7E8"/>
              <w:insideV w:val="single" w:sz="8" w:color="CAD7E8"/>
            </w:tcBorders>
            <w:tcMar>
              <w:top w:w="105" w:type="dxa"/>
              <w:start w:w="125" w:type="dxa"/>
              <w:bottom w:w="95" w:type="dxa"/>
              <w:end w:w="125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color w:val="3973E6"/>
                <w:sz w:val="23"/>
              </w:rPr>
              <w:t>Channels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Direct: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SEO learning content, tutor pages, assessment funnel and referrals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Product-led: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Practice Dojo and FocusDojo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Partner-led: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University, school and regional programme pilots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Community: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Exam-support community and tutor advocacy</w:t>
            </w:r>
          </w:p>
        </w:tc>
        <w:tc>
          <w:tcPr>
            <w:tcW w:type="dxa" w:w="2880"/>
            <w:shd w:fill="FFFFFF"/>
            <w:tcBorders>
              <w:top w:val="single" w:sz="8" w:color="CAD7E8"/>
              <w:left w:val="single" w:sz="8" w:color="CAD7E8"/>
              <w:bottom w:val="single" w:sz="8" w:color="CAD7E8"/>
              <w:right w:val="single" w:sz="8" w:color="CAD7E8"/>
              <w:insideH w:val="single" w:sz="8" w:color="CAD7E8"/>
              <w:insideV w:val="single" w:sz="8" w:color="CAD7E8"/>
            </w:tcBorders>
            <w:tcMar>
              <w:top w:w="105" w:type="dxa"/>
              <w:start w:w="125" w:type="dxa"/>
              <w:bottom w:w="95" w:type="dxa"/>
              <w:end w:w="125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color w:val="3973E6"/>
                <w:sz w:val="23"/>
              </w:rPr>
              <w:t>Cost Structure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Variable: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Tutor payouts, payment fees, AI usage, email and video services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Operating: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Verification, safeguarding, support and dispute handling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Growth: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Tutor recruitment, assessments, partnerships and content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Product: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Engineering, hosting, security and compliance</w:t>
            </w:r>
          </w:p>
        </w:tc>
        <w:tc>
          <w:tcPr>
            <w:tcW w:type="dxa" w:w="2880"/>
            <w:shd w:fill="EAFBFB"/>
            <w:tcBorders>
              <w:top w:val="single" w:sz="8" w:color="CAD7E8"/>
              <w:left w:val="single" w:sz="8" w:color="CAD7E8"/>
              <w:bottom w:val="single" w:sz="8" w:color="CAD7E8"/>
              <w:right w:val="single" w:sz="8" w:color="CAD7E8"/>
              <w:insideH w:val="single" w:sz="8" w:color="CAD7E8"/>
              <w:insideV w:val="single" w:sz="8" w:color="CAD7E8"/>
            </w:tcBorders>
            <w:tcMar>
              <w:top w:w="105" w:type="dxa"/>
              <w:start w:w="125" w:type="dxa"/>
              <w:bottom w:w="95" w:type="dxa"/>
              <w:end w:w="125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color w:val="3973E6"/>
                <w:sz w:val="23"/>
              </w:rPr>
              <w:t>Revenue Streams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Tutoring: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Platform commission on completed bookings; current default is 25%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Subscription: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FocusDojo Pro: €4.99 monthly or €39 yearly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Potential: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School or programme licences, cohort support and premium pathways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Principle: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Keep tutoring as the core; add software revenue without weakening trust</w:t>
            </w:r>
          </w:p>
        </w:tc>
        <w:tc>
          <w:tcPr>
            <w:tcW w:type="dxa" w:w="2880"/>
            <w:shd w:fill="FFFFFF"/>
            <w:tcBorders>
              <w:top w:val="single" w:sz="8" w:color="CAD7E8"/>
              <w:left w:val="single" w:sz="8" w:color="CAD7E8"/>
              <w:bottom w:val="single" w:sz="8" w:color="CAD7E8"/>
              <w:right w:val="single" w:sz="8" w:color="CAD7E8"/>
              <w:insideH w:val="single" w:sz="8" w:color="CAD7E8"/>
              <w:insideV w:val="single" w:sz="8" w:color="CAD7E8"/>
            </w:tcBorders>
            <w:tcMar>
              <w:top w:w="105" w:type="dxa"/>
              <w:start w:w="125" w:type="dxa"/>
              <w:bottom w:w="95" w:type="dxa"/>
              <w:end w:w="125" w:type="dxa"/>
            </w:tcMar>
            <w:vAlign w:val="top"/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color w:val="3973E6"/>
                <w:sz w:val="23"/>
              </w:rPr>
              <w:t>Critical Metrics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Funnel: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Assessment-to-first-paid-lesson conversion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Retention: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Repeat-booking rate and active learner months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Learning: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Homework/Mission completion and confidence improvement</w:t>
            </w:r>
          </w:p>
          <w:p>
            <w:pPr>
              <w:spacing w:after="44" w:line="240" w:lineRule="auto"/>
            </w:pPr>
            <w:r>
              <w:rPr>
                <w:rFonts w:ascii="Aptos" w:hAnsi="Aptos"/>
                <w:b/>
                <w:color w:val="11243E"/>
                <w:sz w:val="16"/>
              </w:rPr>
              <w:t xml:space="preserve">Supply: </w:t>
            </w:r>
            <w:r>
              <w:rPr>
                <w:rFonts w:ascii="Aptos" w:hAnsi="Aptos"/>
                <w:b w:val="0"/>
                <w:color w:val="1F2937"/>
                <w:sz w:val="16"/>
              </w:rPr>
              <w:t>Tutor activation, utilisation, quality and retention</w:t>
            </w:r>
          </w:p>
        </w:tc>
      </w:tr>
    </w:tbl>
    <w:sectPr w:rsidR="00FC693F" w:rsidRPr="0006063C" w:rsidSect="00034616">
      <w:footerReference w:type="default" r:id="rId10"/>
      <w:pgSz w:w="15840" w:h="12240" w:orient="landscape"/>
      <w:pgMar w:top="547" w:right="576" w:bottom="518" w:left="57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b w:val="0"/>
        <w:color w:val="607086"/>
        <w:sz w:val="16"/>
      </w:rPr>
      <w:t>ScienceDojo | Business Model Canvas |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973E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11243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1243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243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60708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