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"/>
      </w:pPr>
      <w:r>
        <w:drawing>
          <wp:inline xmlns:a="http://schemas.openxmlformats.org/drawingml/2006/main" xmlns:pic="http://schemas.openxmlformats.org/drawingml/2006/picture">
            <wp:extent cx="713232" cy="713232"/>
            <wp:docPr id="1" name="Picture 1" descr="ScienceDojo wordmark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iencedojo-wordmark-gradien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3232" cy="713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ScienceDojo</w:t>
      </w:r>
    </w:p>
    <w:p>
      <w:pPr>
        <w:pStyle w:val="Subtitle"/>
      </w:pPr>
      <w:r>
        <w:t>Human-first STEM tutoring, structured from first assessment to confident independent learning</w:t>
      </w:r>
    </w:p>
    <w:p>
      <w:pPr>
        <w:spacing w:after="140" w:line="276" w:lineRule="auto"/>
      </w:pPr>
      <w:r>
        <w:rPr>
          <w:rFonts w:ascii="Aptos" w:hAnsi="Aptos"/>
          <w:b/>
          <w:color w:val="3973E6"/>
          <w:sz w:val="22"/>
        </w:rPr>
        <w:t xml:space="preserve">The opportunity. </w:t>
      </w:r>
      <w:r>
        <w:rPr>
          <w:rFonts w:ascii="Aptos" w:hAnsi="Aptos"/>
          <w:b w:val="0"/>
          <w:color w:val="11243E"/>
          <w:sz w:val="22"/>
        </w:rPr>
        <w:t>Many capable students understand more than their grades show. Families often receive isolated lessons, fragmented feedback, and little visibility into what should happen between sessions.</w:t>
      </w:r>
    </w:p>
    <w:p>
      <w:pPr>
        <w:pStyle w:val="Heading1"/>
      </w:pPr>
      <w:r>
        <w:t>What ScienceDojo delivers</w:t>
      </w:r>
    </w:p>
    <w:p>
      <w:pPr>
        <w:spacing w:after="60" w:line="259" w:lineRule="auto"/>
      </w:pPr>
      <w:r>
        <w:rPr>
          <w:rFonts w:ascii="Aptos" w:hAnsi="Aptos"/>
          <w:b/>
          <w:color w:val="11243E"/>
          <w:sz w:val="19"/>
        </w:rPr>
        <w:t xml:space="preserve">Verified tutoring. </w:t>
      </w:r>
      <w:r>
        <w:rPr>
          <w:rFonts w:ascii="Aptos" w:hAnsi="Aptos"/>
          <w:b w:val="0"/>
          <w:color w:val="1F2937"/>
          <w:sz w:val="19"/>
        </w:rPr>
        <w:t>Families discover and book STEM tutors through a supported platform with onboarding, credential review, safeguarding processes, payments, and dispute handling.</w:t>
      </w:r>
    </w:p>
    <w:p>
      <w:pPr>
        <w:spacing w:after="60" w:line="259" w:lineRule="auto"/>
      </w:pPr>
      <w:r>
        <w:rPr>
          <w:rFonts w:ascii="Aptos" w:hAnsi="Aptos"/>
          <w:b/>
          <w:color w:val="11243E"/>
          <w:sz w:val="19"/>
        </w:rPr>
        <w:t xml:space="preserve">Continuity between lessons. </w:t>
      </w:r>
      <w:r>
        <w:rPr>
          <w:rFonts w:ascii="Aptos" w:hAnsi="Aptos"/>
          <w:b w:val="0"/>
          <w:color w:val="1F2937"/>
          <w:sz w:val="19"/>
        </w:rPr>
        <w:t>Class spaces connect lesson notes, homework, messaging, progress records, and live learning tools so support does not end when the call ends.</w:t>
      </w:r>
    </w:p>
    <w:p>
      <w:pPr>
        <w:spacing w:after="60" w:line="259" w:lineRule="auto"/>
      </w:pPr>
      <w:r>
        <w:rPr>
          <w:rFonts w:ascii="Aptos" w:hAnsi="Aptos"/>
          <w:b/>
          <w:color w:val="11243E"/>
          <w:sz w:val="19"/>
        </w:rPr>
        <w:t xml:space="preserve">Guided practice. </w:t>
      </w:r>
      <w:r>
        <w:rPr>
          <w:rFonts w:ascii="Aptos" w:hAnsi="Aptos"/>
          <w:b w:val="0"/>
          <w:color w:val="1F2937"/>
          <w:sz w:val="19"/>
        </w:rPr>
        <w:t>Practice Dojo offers open curriculum-aligned knowledge checks; premium Missions turn lesson context into personalised recall, reasoning, application, and error-correction tasks.</w:t>
      </w:r>
    </w:p>
    <w:p>
      <w:pPr>
        <w:spacing w:after="60" w:line="259" w:lineRule="auto"/>
      </w:pPr>
      <w:r>
        <w:rPr>
          <w:rFonts w:ascii="Aptos" w:hAnsi="Aptos"/>
          <w:b/>
          <w:color w:val="11243E"/>
          <w:sz w:val="19"/>
        </w:rPr>
        <w:t xml:space="preserve">Parent clarity. </w:t>
      </w:r>
      <w:r>
        <w:rPr>
          <w:rFonts w:ascii="Aptos" w:hAnsi="Aptos"/>
          <w:b w:val="0"/>
          <w:color w:val="1F2937"/>
          <w:sz w:val="19"/>
        </w:rPr>
        <w:t>Parents can see what was covered, what comes next, and how confidence and consistency are developing.</w:t>
      </w:r>
    </w:p>
    <w:p>
      <w:pPr>
        <w:pStyle w:val="Heading1"/>
      </w:pPr>
      <w:r>
        <w:t>Who it serves</w:t>
      </w:r>
    </w:p>
    <w:p>
      <w:pPr>
        <w:spacing w:after="100"/>
      </w:pPr>
      <w:r>
        <w:rPr>
          <w:rFonts w:ascii="Aptos" w:hAnsi="Aptos"/>
          <w:b/>
          <w:color w:val="11243E"/>
          <w:sz w:val="19"/>
        </w:rPr>
        <w:t>Students</w:t>
      </w:r>
      <w:r>
        <w:rPr>
          <w:rFonts w:ascii="Aptos" w:hAnsi="Aptos"/>
          <w:b w:val="0"/>
          <w:color w:val="1F2937"/>
          <w:sz w:val="19"/>
        </w:rPr>
        <w:t xml:space="preserve"> preparing for GCSE, IGCSE, A-Level and related STEM pathways.  </w:t>
      </w:r>
      <w:r>
        <w:rPr>
          <w:rFonts w:ascii="Aptos" w:hAnsi="Aptos"/>
          <w:b/>
          <w:color w:val="11243E"/>
          <w:sz w:val="19"/>
        </w:rPr>
        <w:t>Parents</w:t>
      </w:r>
      <w:r>
        <w:rPr>
          <w:rFonts w:ascii="Aptos" w:hAnsi="Aptos"/>
          <w:b w:val="0"/>
          <w:color w:val="1F2937"/>
          <w:sz w:val="19"/>
        </w:rPr>
        <w:t xml:space="preserve"> seeking trusted tutors, reliable communication, and visible learning progress.  </w:t>
      </w:r>
      <w:r>
        <w:rPr>
          <w:rFonts w:ascii="Aptos" w:hAnsi="Aptos"/>
          <w:b/>
          <w:color w:val="11243E"/>
          <w:sz w:val="19"/>
        </w:rPr>
        <w:t>Tutors</w:t>
      </w:r>
      <w:r>
        <w:rPr>
          <w:rFonts w:ascii="Aptos" w:hAnsi="Aptos"/>
          <w:b w:val="0"/>
          <w:color w:val="1F2937"/>
          <w:sz w:val="19"/>
        </w:rPr>
        <w:t xml:space="preserve"> who want qualified leads and an operating system for consistent teaching support.  </w:t>
      </w:r>
    </w:p>
    <w:p>
      <w:pPr>
        <w:pStyle w:val="Heading1"/>
      </w:pPr>
      <w:r>
        <w:t>Business model</w:t>
      </w:r>
    </w:p>
    <w:p>
      <w:pPr>
        <w:spacing w:after="60" w:line="259" w:lineRule="auto"/>
      </w:pPr>
      <w:r>
        <w:rPr>
          <w:rFonts w:ascii="Aptos" w:hAnsi="Aptos"/>
          <w:b/>
          <w:color w:val="11243E"/>
          <w:sz w:val="19"/>
        </w:rPr>
        <w:t xml:space="preserve">Core revenue. </w:t>
      </w:r>
      <w:r>
        <w:rPr>
          <w:rFonts w:ascii="Aptos" w:hAnsi="Aptos"/>
          <w:b w:val="0"/>
          <w:color w:val="1F2937"/>
          <w:sz w:val="19"/>
        </w:rPr>
        <w:t>A platform commission on completed tutoring bookings; the current platform setting defaults to 25%.</w:t>
      </w:r>
    </w:p>
    <w:p>
      <w:pPr>
        <w:spacing w:after="60" w:line="259" w:lineRule="auto"/>
      </w:pPr>
      <w:r>
        <w:rPr>
          <w:rFonts w:ascii="Aptos" w:hAnsi="Aptos"/>
          <w:b/>
          <w:color w:val="11243E"/>
          <w:sz w:val="19"/>
        </w:rPr>
        <w:t xml:space="preserve">Additional revenue. </w:t>
      </w:r>
      <w:r>
        <w:rPr>
          <w:rFonts w:ascii="Aptos" w:hAnsi="Aptos"/>
          <w:b w:val="0"/>
          <w:color w:val="1F2937"/>
          <w:sz w:val="19"/>
        </w:rPr>
        <w:t>FocusDojo Pro at €4.99/month or €39/year, with future potential for school partnerships and premium learning programmes.</w:t>
      </w:r>
    </w:p>
    <w:p>
      <w:pPr>
        <w:pStyle w:val="Heading1"/>
      </w:pPr>
      <w:r>
        <w:t>Why it can win</w:t>
      </w:r>
    </w:p>
    <w:p>
      <w:pPr>
        <w:spacing w:after="60" w:line="259" w:lineRule="auto"/>
      </w:pPr>
      <w:r>
        <w:rPr>
          <w:rFonts w:ascii="Aptos" w:hAnsi="Aptos"/>
          <w:b/>
          <w:color w:val="11243E"/>
          <w:sz w:val="19"/>
        </w:rPr>
        <w:t xml:space="preserve">A learning system, not only a marketplace. </w:t>
      </w:r>
      <w:r>
        <w:rPr>
          <w:rFonts w:ascii="Aptos" w:hAnsi="Aptos"/>
          <w:b w:val="0"/>
          <w:color w:val="1F2937"/>
          <w:sz w:val="19"/>
        </w:rPr>
        <w:t>The compounding asset is the connected record of assessment, lesson activity, tutor feedback, homework, practice, and progress.</w:t>
      </w:r>
    </w:p>
    <w:p>
      <w:pPr>
        <w:spacing w:after="60" w:line="259" w:lineRule="auto"/>
      </w:pPr>
      <w:r>
        <w:rPr>
          <w:rFonts w:ascii="Aptos" w:hAnsi="Aptos"/>
          <w:b/>
          <w:color w:val="11243E"/>
          <w:sz w:val="19"/>
        </w:rPr>
        <w:t xml:space="preserve">Human expertise stays central. </w:t>
      </w:r>
      <w:r>
        <w:rPr>
          <w:rFonts w:ascii="Aptos" w:hAnsi="Aptos"/>
          <w:b w:val="0"/>
          <w:color w:val="1F2937"/>
          <w:sz w:val="19"/>
        </w:rPr>
        <w:t>AI supports question generation and structured follow-up, while tutors remain the trusted relationship and learning authority.</w:t>
      </w:r>
    </w:p>
    <w:p>
      <w:pPr>
        <w:spacing w:after="60" w:line="259" w:lineRule="auto"/>
      </w:pPr>
      <w:r>
        <w:rPr>
          <w:rFonts w:ascii="Aptos" w:hAnsi="Aptos"/>
          <w:b/>
          <w:color w:val="11243E"/>
          <w:sz w:val="19"/>
        </w:rPr>
        <w:t xml:space="preserve">Operational foundations already exist. </w:t>
      </w:r>
      <w:r>
        <w:rPr>
          <w:rFonts w:ascii="Aptos" w:hAnsi="Aptos"/>
          <w:b w:val="0"/>
          <w:color w:val="1F2937"/>
          <w:sz w:val="19"/>
        </w:rPr>
        <w:t>The product includes multi-role dashboards, booking, payments and payouts, class spaces, messaging, reviews, tutor onboarding, safeguarding workflows, and administrative controls.</w:t>
      </w:r>
    </w:p>
    <w:p>
      <w:pPr>
        <w:pStyle w:val="Heading1"/>
      </w:pPr>
      <w:r>
        <w:t>Near-term validation focus</w:t>
      </w:r>
    </w:p>
    <w:p>
      <w:pPr>
        <w:spacing w:after="0" w:line="259" w:lineRule="auto"/>
      </w:pPr>
      <w:r>
        <w:rPr>
          <w:rFonts w:ascii="Aptos" w:hAnsi="Aptos"/>
          <w:b/>
          <w:color w:val="2FC4C9"/>
          <w:sz w:val="18"/>
        </w:rPr>
        <w:t xml:space="preserve">1. </w:t>
      </w:r>
      <w:r>
        <w:rPr>
          <w:rFonts w:ascii="Aptos" w:hAnsi="Aptos"/>
          <w:b w:val="0"/>
          <w:color w:val="1F2937"/>
          <w:sz w:val="18"/>
        </w:rPr>
        <w:t xml:space="preserve">Convert free assessments into first paid lessons.   </w:t>
      </w:r>
      <w:r>
        <w:rPr>
          <w:rFonts w:ascii="Aptos" w:hAnsi="Aptos"/>
          <w:b/>
          <w:color w:val="2FC4C9"/>
          <w:sz w:val="18"/>
        </w:rPr>
        <w:t xml:space="preserve">2. </w:t>
      </w:r>
      <w:r>
        <w:rPr>
          <w:rFonts w:ascii="Aptos" w:hAnsi="Aptos"/>
          <w:b w:val="0"/>
          <w:color w:val="1F2937"/>
          <w:sz w:val="18"/>
        </w:rPr>
        <w:t xml:space="preserve">Increase repeat bookings and mission completion between lessons.   </w:t>
      </w:r>
      <w:r>
        <w:rPr>
          <w:rFonts w:ascii="Aptos" w:hAnsi="Aptos"/>
          <w:b/>
          <w:color w:val="2FC4C9"/>
          <w:sz w:val="18"/>
        </w:rPr>
        <w:t xml:space="preserve">3. </w:t>
      </w:r>
      <w:r>
        <w:rPr>
          <w:rFonts w:ascii="Aptos" w:hAnsi="Aptos"/>
          <w:b w:val="0"/>
          <w:color w:val="1F2937"/>
          <w:sz w:val="18"/>
        </w:rPr>
        <w:t xml:space="preserve">Prove parent-reported confidence and tutor retention.   </w:t>
      </w:r>
      <w:r>
        <w:rPr>
          <w:rFonts w:ascii="Aptos" w:hAnsi="Aptos"/>
          <w:b/>
          <w:color w:val="2FC4C9"/>
          <w:sz w:val="18"/>
        </w:rPr>
        <w:t xml:space="preserve">4. </w:t>
      </w:r>
      <w:r>
        <w:rPr>
          <w:rFonts w:ascii="Aptos" w:hAnsi="Aptos"/>
          <w:b w:val="0"/>
          <w:color w:val="1F2937"/>
          <w:sz w:val="18"/>
        </w:rPr>
        <w:t>Pilot a university or regional partnership channel.</w:t>
      </w:r>
    </w:p>
    <w:sectPr w:rsidR="00FC693F" w:rsidRPr="0006063C" w:rsidSect="00034616">
      <w:footerReference w:type="default" r:id="rId10"/>
      <w:pgSz w:w="12240" w:h="15840"/>
      <w:pgMar w:top="893" w:right="893" w:bottom="835" w:left="893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Aptos" w:hAnsi="Aptos"/>
        <w:b w:val="0"/>
        <w:color w:val="607086"/>
        <w:sz w:val="16"/>
      </w:rPr>
      <w:t>ScienceDojo | General company overview | September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973E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 w:ascii="Aptos" w:hAnsi="Aptos"/>
      <w:b/>
      <w:bCs/>
      <w:color w:val="11243E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40"/>
      <w:outlineLvl w:val="2"/>
    </w:pPr>
    <w:rPr>
      <w:rFonts w:asciiTheme="majorHAnsi" w:eastAsiaTheme="majorEastAsia" w:hAnsiTheme="majorHAnsi" w:cstheme="majorBidi" w:ascii="Aptos" w:hAnsi="Aptos"/>
      <w:b/>
      <w:bCs/>
      <w:color w:val="11243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1243E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Aptos" w:hAnsi="Aptos"/>
      <w:b w:val="0"/>
      <w:i/>
      <w:iCs/>
      <w:color w:val="607086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