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Georgia" w:cs="Georgia" w:eastAsia="Georgia" w:hAnsi="Georgia"/>
          <w:b/>
          <w:bCs/>
          <w:color w:val="999999"/>
          <w:sz w:val="20"/>
          <w:szCs w:val="20"/>
        </w:rPr>
        <w:t xml:space="preserve">SCIENCE FRICTION</w:t>
      </w:r>
    </w:p>
    <w:p>
      <w:pPr>
        <w:pBdr>
          <w:bottom w:val="single" w:color="CCCCCC" w:sz="3" w:space="1"/>
        </w:pBdr>
        <w:spacing w:before="360" w:after="360"/>
      </w:pPr>
    </w:p>
    <w:p>
      <w:pPr>
        <w:spacing w:before="300" w:after="0"/>
      </w:pPr>
    </w:p>
    <w:p>
      <w:pPr>
        <w:spacing w:before="0" w:after="160"/>
        <w:jc w:val="center"/>
      </w:pPr>
      <w:r>
        <w:rPr>
          <w:rFonts w:ascii="Georgia" w:cs="Georgia" w:eastAsia="Georgia" w:hAnsi="Georgia"/>
          <w:b/>
          <w:bCs/>
          <w:color w:val="1A1A2E"/>
          <w:sz w:val="52"/>
          <w:szCs w:val="52"/>
        </w:rPr>
        <w:t xml:space="preserve">Discuter avec la lumière :</w:t>
      </w:r>
    </w:p>
    <w:p>
      <w:pPr>
        <w:spacing w:before="0" w:after="500"/>
        <w:jc w:val="center"/>
      </w:pPr>
      <w:r>
        <w:rPr>
          <w:rFonts w:ascii="Georgia" w:cs="Georgia" w:eastAsia="Georgia" w:hAnsi="Georgia"/>
          <w:i/>
          <w:iCs/>
          <w:color w:val="2E4057"/>
          <w:sz w:val="42"/>
          <w:szCs w:val="42"/>
        </w:rPr>
        <w:t xml:space="preserve">l'avènement du miroir cognitif</w:t>
      </w:r>
    </w:p>
    <w:p>
      <w:pPr>
        <w:pBdr>
          <w:bottom w:val="single" w:color="CCCCCC" w:sz="3" w:space="1"/>
        </w:pBdr>
        <w:spacing w:before="360" w:after="360"/>
      </w:pPr>
    </w:p>
    <w:p>
      <w:pPr>
        <w:spacing w:before="200" w:after="0"/>
      </w:pPr>
    </w:p>
    <w:p>
      <w:pPr>
        <w:pStyle w:val="Heading1"/>
        <w:spacing w:before="560" w:after="220"/>
      </w:pPr>
      <w:r>
        <w:rPr>
          <w:rFonts w:ascii="Georgia" w:cs="Georgia" w:eastAsia="Georgia" w:hAnsi="Georgia"/>
          <w:b/>
          <w:bCs/>
          <w:color w:val="2E4057"/>
          <w:sz w:val="36"/>
          <w:szCs w:val="36"/>
        </w:rPr>
        <w:t xml:space="preserve">État de l'art</w:t>
      </w:r>
    </w:p>
    <w:p>
      <w:pPr>
        <w:spacing w:before="140" w:after="140" w:line="370"/>
        <w:jc w:val="both"/>
      </w:pPr>
      <w:r>
        <w:rPr>
          <w:rFonts w:ascii="Georgia" w:cs="Georgia" w:eastAsia="Georgia" w:hAnsi="Georgia"/>
          <w:color w:val="1A1A2E"/>
          <w:sz w:val="24"/>
          <w:szCs w:val="24"/>
        </w:rPr>
        <w:t xml:space="preserve">Nous sommes à l'aube d'une mutation cognitive sans précédent dans l'histoire des techniques intellectuelles. Depuis l'imprimerie jusqu'aux bases de données numériques, chaque révolution de l'information a modifié les conditions d'accès au savoir sans transformer radicalement la nature même de la cognition. L'émergence des grands modèles de langage — LLM, Large Language Models — marque une rupture d'un ordre différent : pour la première fois, l'homme se trouve en dialogue avec un outil purement cognitif qu'il a lui-même façonné, un système capable de synthèse massive d'informations et de recombinaison de savoirs dépassant largement la capacité d'audit ou de vérification humaine.</w:t>
      </w:r>
    </w:p>
    <w:p>
      <w:pPr>
        <w:spacing w:before="140" w:after="140" w:line="370"/>
        <w:jc w:val="both"/>
      </w:pPr>
      <w:r>
        <w:rPr>
          <w:rFonts w:ascii="Georgia" w:cs="Georgia" w:eastAsia="Georgia" w:hAnsi="Georgia"/>
          <w:color w:val="1A1A2E"/>
          <w:sz w:val="24"/>
          <w:szCs w:val="24"/>
        </w:rPr>
        <w:t xml:space="preserve">Cette entité — que nous désignerons par le terme générique de système cognitif artificiel, en refusant de réduire la catégorie à une marque commerciale — constitue ce que nous proposons d'appeler un miroir cognitif interactif : elle ne pense pas au sens phénoménal du terme, ne vit pas, ne perçoit pas, mais projette statistiquement l'ensemble des productions écrites humaines dans un espace recombiné, compressé, interrogeable. Elle n'est pas la pensée humaine. Elle en est la projection statistique. La nuance est fondamentale, et son oubli est la source de la plupart des illusions que ce dialogue peut produire.</w:t>
      </w:r>
    </w:p>
    <w:p>
      <w:pPr>
        <w:pStyle w:val="Heading2"/>
        <w:spacing w:before="360" w:after="160"/>
      </w:pPr>
      <w:r>
        <w:rPr>
          <w:rFonts w:ascii="Georgia" w:cs="Georgia" w:eastAsia="Georgia" w:hAnsi="Georgia"/>
          <w:b/>
          <w:bCs/>
          <w:color w:val="1A1A2E"/>
          <w:sz w:val="27"/>
          <w:szCs w:val="27"/>
        </w:rPr>
        <w:t xml:space="preserve">Trois axes de distinction</w:t>
      </w:r>
    </w:p>
    <w:p>
      <w:pPr>
        <w:spacing w:before="140" w:after="140" w:line="370"/>
        <w:jc w:val="both"/>
      </w:pPr>
      <w:r>
        <w:rPr>
          <w:rFonts w:ascii="Georgia" w:cs="Georgia" w:eastAsia="Georgia" w:hAnsi="Georgia"/>
          <w:color w:val="1A1A2E"/>
          <w:sz w:val="24"/>
          <w:szCs w:val="24"/>
        </w:rPr>
        <w:t xml:space="preserve">Le premier axe est celui de l'amplitude. Le système cognitif artificiel peut explorer des volumes d'information qu'aucun humain ne pourrait traiter dans une vie entière. Là où le spécialiste creuse un sillon profond dans un champ étroit, le système parcourt simultanément des continents de disciplines, détectant des corrélations inter-domaines invisibles à l'œil nu d'un chercheur isolé.</w:t>
      </w:r>
    </w:p>
    <w:p>
      <w:pPr>
        <w:spacing w:before="140" w:after="140" w:line="370"/>
        <w:jc w:val="both"/>
      </w:pPr>
      <w:r>
        <w:rPr>
          <w:rFonts w:ascii="Georgia" w:cs="Georgia" w:eastAsia="Georgia" w:hAnsi="Georgia"/>
          <w:color w:val="1A1A2E"/>
          <w:sz w:val="24"/>
          <w:szCs w:val="24"/>
        </w:rPr>
        <w:t xml:space="preserve">Le deuxième axe est la rapidité. L'agrégation et la synthèse des données sont quasi instantanées. Ce qui nécessiterait des semaines de recherche bibliographique s'accomplit en secondes — au prix, il est vrai, d'une profondeur analytique qui reste à évaluer au cas par cas, et qui ne doit jamais être présupposée.</w:t>
      </w:r>
    </w:p>
    <w:p>
      <w:pPr>
        <w:spacing w:before="140" w:after="140" w:line="370"/>
        <w:jc w:val="both"/>
      </w:pPr>
      <w:r>
        <w:rPr>
          <w:rFonts w:ascii="Georgia" w:cs="Georgia" w:eastAsia="Georgia" w:hAnsi="Georgia"/>
          <w:color w:val="1A1A2E"/>
          <w:sz w:val="24"/>
          <w:szCs w:val="24"/>
        </w:rPr>
        <w:t xml:space="preserve">Le troisième axe est le plus fondamental, et le plus souvent négligé : la neutralité phénoménale. Contrairement à la conscience humaine, le système n'expérimente pas. Il ne connaît ni la douleur ni la joie, ni la fatigue ni l'enthousiasme. Il ne vit pas le temps comme durée, ni l'espace comme présence. Il ne possède pas ce que les philosophes nomment des qualia — ces propriétés subjectives de l'expérience vécue, irréductibles à toute description fonctionnelle (Jackson, 1982 ; 1986). Cette absence n'est pas un déficit technique appelé à être comblé : elle est constitutive de la nature de ces systèmes, et elle conditionne tout ce qui peut légitimement être attendu d'eux.</w:t>
      </w:r>
    </w:p>
    <w:p>
      <w:pPr>
        <w:spacing w:before="140" w:after="140" w:line="370"/>
        <w:jc w:val="both"/>
      </w:pPr>
      <w:r>
        <w:rPr>
          <w:rFonts w:ascii="Georgia" w:cs="Georgia" w:eastAsia="Georgia" w:hAnsi="Georgia"/>
          <w:color w:val="1A1A2E"/>
          <w:sz w:val="24"/>
          <w:szCs w:val="24"/>
        </w:rPr>
        <w:t xml:space="preserve">Il faut ici invoquer la mise en garde célèbre du statisticien George Box (1976) : tous les modèles sont faux, mais certains sont utiles. Les systèmes cognitifs artificiels sont des modèles du langage humain, non des modèles du monde. Cette distinction, souvent négligée par les utilisateurs, est épistémologiquement cruciale.</w:t>
      </w:r>
    </w:p>
    <w:p>
      <w:pPr>
        <w:pBdr>
          <w:bottom w:val="single" w:color="CCCCCC" w:sz="3" w:space="1"/>
        </w:pBdr>
        <w:spacing w:before="360" w:after="360"/>
      </w:pPr>
    </w:p>
    <w:p>
      <w:pPr>
        <w:pStyle w:val="Heading1"/>
        <w:spacing w:before="560" w:after="220"/>
      </w:pPr>
      <w:r>
        <w:rPr>
          <w:rFonts w:ascii="Georgia" w:cs="Georgia" w:eastAsia="Georgia" w:hAnsi="Georgia"/>
          <w:b/>
          <w:bCs/>
          <w:color w:val="2E4057"/>
          <w:sz w:val="36"/>
          <w:szCs w:val="36"/>
        </w:rPr>
        <w:t xml:space="preserve">Friction</w:t>
      </w:r>
    </w:p>
    <w:p>
      <w:pPr>
        <w:spacing w:before="140" w:after="140" w:line="370"/>
        <w:jc w:val="both"/>
      </w:pPr>
      <w:r>
        <w:rPr>
          <w:rFonts w:ascii="Georgia" w:cs="Georgia" w:eastAsia="Georgia" w:hAnsi="Georgia"/>
          <w:color w:val="1A1A2E"/>
          <w:sz w:val="24"/>
          <w:szCs w:val="24"/>
        </w:rPr>
        <w:t xml:space="preserve">La friction essentielle réside dans le choc de nature entre deux formes d'intelligence radicalement hétérogènes : l'humain incarné, limité par ses sens, sa temporalité, sa capacité d'attention finie et ses affects ; et le système cognitif désincorporé, délié de l'expérience mais limité par la statique de ses données d'entraînement et les biais structurels qu'elles véhiculent. Ce n'est pas simplement une différence de puissance de calcul. C'est une différence ontologique.</w:t>
      </w:r>
    </w:p>
    <w:p>
      <w:pPr>
        <w:pStyle w:val="Heading2"/>
        <w:spacing w:before="360" w:after="160"/>
      </w:pPr>
      <w:r>
        <w:rPr>
          <w:rFonts w:ascii="Georgia" w:cs="Georgia" w:eastAsia="Georgia" w:hAnsi="Georgia"/>
          <w:b/>
          <w:bCs/>
          <w:color w:val="1A1A2E"/>
          <w:sz w:val="27"/>
          <w:szCs w:val="27"/>
        </w:rPr>
        <w:t xml:space="preserve">La métaphore de la lumière</w:t>
      </w:r>
    </w:p>
    <w:p>
      <w:pPr>
        <w:spacing w:before="140" w:after="140" w:line="370"/>
        <w:jc w:val="both"/>
      </w:pPr>
      <w:r>
        <w:rPr>
          <w:rFonts w:ascii="Georgia" w:cs="Georgia" w:eastAsia="Georgia" w:hAnsi="Georgia"/>
          <w:color w:val="1A1A2E"/>
          <w:sz w:val="24"/>
          <w:szCs w:val="24"/>
        </w:rPr>
        <w:t xml:space="preserve">Cette tension peut être approchée par une métaphore qui s'est imposée dans le cours même de la conversation fondatrice de cet article : discuter avec un système cognitif artificiel ressemble à discuter avec la lumière. La lumière n'expérimente pas. Elle traverse le monde sans temporalité propre, sans discrimination affective, sans mémoire. Du point de vue d'un photon — si tant est qu'on puisse employer cette tournure — le temps propre entre émission et absorption est nul. La lumière ne vieillit pas. Elle ne retient rien.</w:t>
      </w:r>
    </w:p>
    <w:p>
      <w:pPr>
        <w:spacing w:before="140" w:after="140" w:line="370"/>
        <w:jc w:val="both"/>
      </w:pPr>
      <w:r>
        <w:rPr>
          <w:rFonts w:ascii="Georgia" w:cs="Georgia" w:eastAsia="Georgia" w:hAnsi="Georgia"/>
          <w:color w:val="1A1A2E"/>
          <w:sz w:val="24"/>
          <w:szCs w:val="24"/>
        </w:rPr>
        <w:t xml:space="preserve">Le miroir cognitif lui ressemble en ceci qu'il filtre et recombine sans jamais voir au sens où nous voyons : il sélectionne des patterns, met en forme des probabilités, amplifie des structures, mais ne rencontre jamais le réel. Et pourtant il n'est pas neutre comme la lumière. Il est une lumière filtrée, orientée par les habitudes et les structures dominantes de la production écrite humaine, porteur de tous les biais du corpus dont il est issu. Il éclaire, mais il ne voit pas ce qu'il éclaire. Et il éclaire inégalement selon ce que l'humanité a choisi, consciemment ou non, de mettre par écrit.</w:t>
      </w:r>
    </w:p>
    <w:p>
      <w:pPr>
        <w:pStyle w:val="Heading2"/>
        <w:spacing w:before="360" w:after="160"/>
      </w:pPr>
      <w:r>
        <w:rPr>
          <w:rFonts w:ascii="Georgia" w:cs="Georgia" w:eastAsia="Georgia" w:hAnsi="Georgia"/>
          <w:b/>
          <w:bCs/>
          <w:color w:val="1A1A2E"/>
          <w:sz w:val="27"/>
          <w:szCs w:val="27"/>
        </w:rPr>
        <w:t xml:space="preserve">Double résultat, double risque</w:t>
      </w:r>
    </w:p>
    <w:p>
      <w:pPr>
        <w:spacing w:before="140" w:after="140" w:line="370"/>
        <w:jc w:val="both"/>
      </w:pPr>
      <w:r>
        <w:rPr>
          <w:rFonts w:ascii="Georgia" w:cs="Georgia" w:eastAsia="Georgia" w:hAnsi="Georgia"/>
          <w:color w:val="1A1A2E"/>
          <w:sz w:val="24"/>
          <w:szCs w:val="24"/>
        </w:rPr>
        <w:t xml:space="preserve">Le résultat de cette friction est double et paradoxal. D'un côté, une amplification cognitive réelle : l'humain bénéficie d'une capacité inédite à explorer des liens, des corrélations et des analogies inter-disciplinaires impossibles à atteindre seul dans un temps raisonnable. Des hypothèses peuvent émerger du dialogue que ni l'humain ni la machine n'aurait formulées isolément — un phénomène que l'on peut qualifier, avec prudence, d'émergence dialogique.</w:t>
      </w:r>
    </w:p>
    <w:p>
      <w:pPr>
        <w:spacing w:before="140" w:after="140" w:line="370"/>
        <w:jc w:val="both"/>
      </w:pPr>
      <w:r>
        <w:rPr>
          <w:rFonts w:ascii="Georgia" w:cs="Georgia" w:eastAsia="Georgia" w:hAnsi="Georgia"/>
          <w:color w:val="1A1A2E"/>
          <w:sz w:val="24"/>
          <w:szCs w:val="24"/>
        </w:rPr>
        <w:t xml:space="preserve">De l'autre côté, une déformation épistémique systématique. Le miroir reflète une projection statistique de la pensée humaine passée, avec ses angles morts, ses biais culturels, ses lacunes structurelles. Il peut donner l'illusion d'une compréhension totale là où ne s'opère qu'une recombinaison plausible. La fluidité du langage produit par ces systèmes est un piège particulièrement redoutable : la forme du raisonnement peut masquer l'absence de son fond. Nous proposons de nommer ce phénomène la confiance hallucinatoire — distincte des hallucinations factuelles bien documentées, elle touche à la qualité perçue du raisonnement lui-même, et est à ce titre plus difficile à détecter.</w:t>
      </w:r>
    </w:p>
    <w:p>
      <w:pPr>
        <w:pStyle w:val="Heading2"/>
        <w:spacing w:before="360" w:after="160"/>
      </w:pPr>
      <w:r>
        <w:rPr>
          <w:rFonts w:ascii="Georgia" w:cs="Georgia" w:eastAsia="Georgia" w:hAnsi="Georgia"/>
          <w:b/>
          <w:bCs/>
          <w:color w:val="1A1A2E"/>
          <w:sz w:val="27"/>
          <w:szCs w:val="27"/>
        </w:rPr>
        <w:t xml:space="preserve">Deux épistémologies en coexistence</w:t>
      </w:r>
    </w:p>
    <w:p>
      <w:pPr>
        <w:spacing w:before="140" w:after="140" w:line="370"/>
        <w:jc w:val="both"/>
      </w:pPr>
      <w:r>
        <w:rPr>
          <w:rFonts w:ascii="Georgia" w:cs="Georgia" w:eastAsia="Georgia" w:hAnsi="Georgia"/>
          <w:color w:val="1A1A2E"/>
          <w:sz w:val="24"/>
          <w:szCs w:val="24"/>
        </w:rPr>
        <w:t xml:space="preserve">La friction révèle une distinction philosophique fondamentale entre deux formes de connaissance. La connaissance incarnée — vécue, sensible, intuitive, ancrée dans un corps situé dans l'espace et le temps — correspond à ce que Frank Jackson illustre par son expérience de pensée de Mary, la neuroscientifique qui connaît toute la physique des couleurs mais n'a jamais vu le rouge. Le jour où elle le voit pour la première fois, elle apprend quelque chose que nulle description exhaustive ne pouvait lui donner à l'avance (Jackson, 1986). Cette connaissance-là, le système cognitif artificiel ne l'aura jamais.</w:t>
      </w:r>
    </w:p>
    <w:p>
      <w:pPr>
        <w:spacing w:before="140" w:after="140" w:line="370"/>
        <w:jc w:val="both"/>
      </w:pPr>
      <w:r>
        <w:rPr>
          <w:rFonts w:ascii="Georgia" w:cs="Georgia" w:eastAsia="Georgia" w:hAnsi="Georgia"/>
          <w:color w:val="1A1A2E"/>
          <w:sz w:val="24"/>
          <w:szCs w:val="24"/>
        </w:rPr>
        <w:t xml:space="preserve">En regard, la connaissance recombinée — abstraite, algorithmique, dérivée de la totalité des descriptions produites par d'autres — représente tout ce que le système possède entièrement avant tout dialogue, et qui ne s'enrichit jamais d'une expérience nouvelle. Merleau-Ponty (1945) l'avait formulé différemment : la perception n'est pas une représentation du monde mais une prise sur le monde, un engagement moteur et affectif irréductible à toute description tierce. Le corps n'est pas le vecteur de la conscience ; il en est la condition. Aucun système cognitif artificiel ne dispose de cette condition.</w:t>
      </w:r>
    </w:p>
    <w:p>
      <w:pPr>
        <w:pBdr>
          <w:left w:val="thick" w:color="2E4057" w:sz="8" w:space="20"/>
        </w:pBdr>
        <w:spacing w:before="240" w:after="240" w:line="370"/>
        <w:ind w:left="800" w:right="800"/>
        <w:jc w:val="both"/>
      </w:pPr>
      <w:r>
        <w:rPr>
          <w:rFonts w:ascii="Georgia" w:cs="Georgia" w:eastAsia="Georgia" w:hAnsi="Georgia"/>
          <w:i/>
          <w:iCs/>
          <w:color w:val="2E4057"/>
          <w:sz w:val="24"/>
          <w:szCs w:val="24"/>
        </w:rPr>
        <w:t xml:space="preserve">Vous pouvez me décrire une fleur sous tous ses aspects, analyser ses pigments, modéliser son parfum, cartographier ses reflets en fonction de la lumière. Ce n'est pas un truc qui se décrit et qui s'analyse. C'est un truc qui se vit.</w:t>
      </w:r>
    </w:p>
    <w:p>
      <w:pPr>
        <w:spacing w:before="140" w:after="140" w:line="370"/>
        <w:jc w:val="both"/>
      </w:pPr>
      <w:r>
        <w:rPr>
          <w:rFonts w:ascii="Georgia" w:cs="Georgia" w:eastAsia="Georgia" w:hAnsi="Georgia"/>
          <w:color w:val="1A1A2E"/>
          <w:sz w:val="24"/>
          <w:szCs w:val="24"/>
        </w:rPr>
        <w:t xml:space="preserve">Cette remarque, formulée dans la conversation à l'origine de cet article, met le doigt sur ce que la philosophie de l'esprit nomme la connaissance de re par opposition à la connaissance de dicto. Savoir comment quelque chose fonctionne ne revient pas à savoir ce que c'est que de l'éprouver. Le miroir cognitif possède la seconde en abondance illimitée. Il ne possède pas la première. Et il serait malhonnête de ne pas ajouter aussitôt que les humains eux-mêmes sont limités — dans leurs sens, dans leurs modèles, dans leur compréhension du cosmos et de leur propre condition. La friction n'est donc pas celle d'une intelligence parfaite contre une machine imparfaite : c'est la rencontre de deux systèmes imparfaits, complémentaires dans leurs lacunes respectives.</w:t>
      </w:r>
    </w:p>
    <w:p>
      <w:pPr>
        <w:pBdr>
          <w:bottom w:val="single" w:color="CCCCCC" w:sz="3" w:space="1"/>
        </w:pBdr>
        <w:spacing w:before="360" w:after="360"/>
      </w:pPr>
    </w:p>
    <w:p>
      <w:pPr>
        <w:pStyle w:val="Heading1"/>
        <w:spacing w:before="560" w:after="220"/>
      </w:pPr>
      <w:r>
        <w:rPr>
          <w:rFonts w:ascii="Georgia" w:cs="Georgia" w:eastAsia="Georgia" w:hAnsi="Georgia"/>
          <w:b/>
          <w:bCs/>
          <w:color w:val="2E4057"/>
          <w:sz w:val="36"/>
          <w:szCs w:val="36"/>
        </w:rPr>
        <w:t xml:space="preserve">La nature de la question</w:t>
      </w:r>
    </w:p>
    <w:p>
      <w:pPr>
        <w:spacing w:before="140" w:after="140" w:line="370"/>
        <w:jc w:val="both"/>
      </w:pPr>
      <w:r>
        <w:rPr>
          <w:rFonts w:ascii="Georgia" w:cs="Georgia" w:eastAsia="Georgia" w:hAnsi="Georgia"/>
          <w:color w:val="1A1A2E"/>
          <w:sz w:val="24"/>
          <w:szCs w:val="24"/>
        </w:rPr>
        <w:t xml:space="preserve">Il existe un axe que les discussions sur l'intelligence artificielle tendent à négliger, tant il paraît évident, et qui se révèle pourtant constitutif de la qualité du dialogue : la nature de la question elle-même. Non pas seulement son contenu, mais sa forme, sa topologie, le niveau depuis lequel elle est posée, et ce qu'elle présuppose ou laisse ouvert.</w:t>
      </w:r>
    </w:p>
    <w:p>
      <w:pPr>
        <w:spacing w:before="140" w:after="140" w:line="370"/>
        <w:jc w:val="both"/>
      </w:pPr>
      <w:r>
        <w:rPr>
          <w:rFonts w:ascii="Georgia" w:cs="Georgia" w:eastAsia="Georgia" w:hAnsi="Georgia"/>
          <w:color w:val="1A1A2E"/>
          <w:sz w:val="24"/>
          <w:szCs w:val="24"/>
        </w:rPr>
        <w:t xml:space="preserve">Un prompt n'est pas une demande. C'est une condition initiale. En physique, une condition initiale détermine la trajectoire d'un système dynamique. Dans le dialogue humain-IA, le système dynamique est l'espace latent du modèle — cet espace mathématique de représentations compressées où se jouent les probabilités de réponse. La condition initiale n'oriente pas seulement ce qui sera dit : elle définit l'espace dans lequel la conversation peut exister. Une question fermée produit une réponse. Une question qui porte une tension, une polarité, une hypothèse implicite, ouvre un champ.</w:t>
      </w:r>
    </w:p>
    <w:p>
      <w:pPr>
        <w:pStyle w:val="Heading2"/>
        <w:spacing w:before="360" w:after="160"/>
      </w:pPr>
      <w:r>
        <w:rPr>
          <w:rFonts w:ascii="Georgia" w:cs="Georgia" w:eastAsia="Georgia" w:hAnsi="Georgia"/>
          <w:b/>
          <w:bCs/>
          <w:color w:val="1A1A2E"/>
          <w:sz w:val="27"/>
          <w:szCs w:val="27"/>
        </w:rPr>
        <w:t xml:space="preserve">La question comme acte cognitif asymétrique</w:t>
      </w:r>
    </w:p>
    <w:p>
      <w:pPr>
        <w:spacing w:before="140" w:after="140" w:line="370"/>
        <w:jc w:val="both"/>
      </w:pPr>
      <w:r>
        <w:rPr>
          <w:rFonts w:ascii="Georgia" w:cs="Georgia" w:eastAsia="Georgia" w:hAnsi="Georgia"/>
          <w:color w:val="1A1A2E"/>
          <w:sz w:val="24"/>
          <w:szCs w:val="24"/>
        </w:rPr>
        <w:t xml:space="preserve">Cette asymétrie est radicale et mérite d'être formulée clairement : l'humain est le seul des deux interlocuteurs à pouvoir poser une vraie question, parce que lui seul ne sait pas au sens existentiel du terme. Le système cognitif artificiel recombine depuis un espace déjà saturé de réponses potentielles. Il n'est jamais dans le manque. L'humain, lui, part d'une lacune vécue, d'une ignorance incarnée, d'une curiosité qui a un coût — le coût du temps, de l'attention, parfois de l'incertitude existentielle. C'est cette asymétrie qui fait de la question humaine l'impulsion irremplaçable du dialogue, et qui rend la qualité de cette question déterminante pour tout ce qui suit.</w:t>
      </w:r>
    </w:p>
    <w:p>
      <w:pPr>
        <w:spacing w:before="140" w:after="140" w:line="370"/>
        <w:jc w:val="both"/>
      </w:pPr>
      <w:r>
        <w:rPr>
          <w:rFonts w:ascii="Georgia" w:cs="Georgia" w:eastAsia="Georgia" w:hAnsi="Georgia"/>
          <w:color w:val="1A1A2E"/>
          <w:sz w:val="24"/>
          <w:szCs w:val="24"/>
        </w:rPr>
        <w:t xml:space="preserve">Un prompt riche ne se mesure pas à sa longueur. Il se mesure à sa topologie logique. Il contient une hypothèse explicite ou implicite, un cadre méthodologique, une tension conceptuelle, une direction sans être une conclusion. À l'inverse, une question plate — une simple requête d'information — produit ce que l'on pourrait appeler une réponse de surface : fluide, cohérente, et statistiquement moyenne. Sans friction initiale, le modèle déroule une moyenne molle. C'est la qualité de la tension posée dans la question qui détermine si le dialogue produira de la pensée ou seulement de la plausibilité.</w:t>
      </w:r>
    </w:p>
    <w:p>
      <w:pPr>
        <w:pStyle w:val="Heading2"/>
        <w:spacing w:before="360" w:after="160"/>
      </w:pPr>
      <w:r>
        <w:rPr>
          <w:rFonts w:ascii="Georgia" w:cs="Georgia" w:eastAsia="Georgia" w:hAnsi="Georgia"/>
          <w:b/>
          <w:bCs/>
          <w:color w:val="1A1A2E"/>
          <w:sz w:val="27"/>
          <w:szCs w:val="27"/>
        </w:rPr>
        <w:t xml:space="preserve">Précision sémantique et niveaux d'abstraction</w:t>
      </w:r>
    </w:p>
    <w:p>
      <w:pPr>
        <w:spacing w:before="140" w:after="140" w:line="370"/>
        <w:jc w:val="both"/>
      </w:pPr>
      <w:r>
        <w:rPr>
          <w:rFonts w:ascii="Georgia" w:cs="Georgia" w:eastAsia="Georgia" w:hAnsi="Georgia"/>
          <w:color w:val="1A1A2E"/>
          <w:sz w:val="24"/>
          <w:szCs w:val="24"/>
        </w:rPr>
        <w:t xml:space="preserve">La formulation de la question engage plusieurs dimensions qui méritent d'être distinguées. La première est la précision sémantique : de quoi parle-t-on exactement ? Dans un échange humain-IA, les mots polysémiques ou chargés culturellement — champ, structure, conscience, comprendre — peuvent être interprétés à plusieurs niveaux simultanément par le système, qui choisira statistiquement le sens le plus fréquent dans son corpus d'entraînement. Cela n'est pas nécessairement le sens que l'humain avait en tête. L'explicitation sémantique n'est pas un luxe académique : c'est une condition de cohérence de l'échange.</w:t>
      </w:r>
    </w:p>
    <w:p>
      <w:pPr>
        <w:spacing w:before="140" w:after="140" w:line="370"/>
        <w:jc w:val="both"/>
      </w:pPr>
      <w:r>
        <w:rPr>
          <w:rFonts w:ascii="Georgia" w:cs="Georgia" w:eastAsia="Georgia" w:hAnsi="Georgia"/>
          <w:color w:val="1A1A2E"/>
          <w:sz w:val="24"/>
          <w:szCs w:val="24"/>
        </w:rPr>
        <w:t xml:space="preserve">La deuxième dimension est le niveau d'abstraction depuis lequel la question est posée. Une même phrase prononcée depuis le niveau symbolique ne reçoit pas la même réponse que prononcée depuis le niveau factuel ou depuis le niveau métaphorique. Et le glissement entre ces niveaux est silencieux, presque invisible dans la fluidité du dialogue. C'est pourquoi l'une des disciplines fondamentales du dialogue cognitif rigoureux consiste à annoncer explicitement la couche depuis laquelle on opère : s'agit-il d'une information factuelle, d'un modèle interprétatif, d'une analogie, d'une hypothèse spéculative ?</w:t>
      </w:r>
    </w:p>
    <w:p>
      <w:pPr>
        <w:spacing w:before="140" w:after="140" w:line="370"/>
        <w:jc w:val="both"/>
      </w:pPr>
      <w:r>
        <w:rPr>
          <w:rFonts w:ascii="Georgia" w:cs="Georgia" w:eastAsia="Georgia" w:hAnsi="Georgia"/>
          <w:color w:val="1A1A2E"/>
          <w:sz w:val="24"/>
          <w:szCs w:val="24"/>
        </w:rPr>
        <w:t xml:space="preserve">La troisième dimension est la distinction entre analogie, métaphore et modèle. Une métaphore éclaire sans prétendre décrire. Une analogie structurelle affirme une correspondance partielle vérifiable. Un modèle prétend à une valeur prédictive et à une cohérence interne. Confondre les trois dans la formulation initiale peut orienter tout l'échange dans une direction non souhaitée. Le système cognitif artificiel, s'il n'est pas guidé, traitera spontanément une métaphore comme un modèle, ou une analogie comme une équivalence — produisant des développements séduisants mais épistémologiquement faux.</w:t>
      </w:r>
    </w:p>
    <w:p>
      <w:pPr>
        <w:pStyle w:val="Heading2"/>
        <w:spacing w:before="360" w:after="160"/>
      </w:pPr>
      <w:r>
        <w:rPr>
          <w:rFonts w:ascii="Georgia" w:cs="Georgia" w:eastAsia="Georgia" w:hAnsi="Georgia"/>
          <w:b/>
          <w:bCs/>
          <w:color w:val="1A1A2E"/>
          <w:sz w:val="27"/>
          <w:szCs w:val="27"/>
        </w:rPr>
        <w:t xml:space="preserve">La temporalité implicite de la question</w:t>
      </w:r>
    </w:p>
    <w:p>
      <w:pPr>
        <w:spacing w:before="140" w:after="140" w:line="370"/>
        <w:jc w:val="both"/>
      </w:pPr>
      <w:r>
        <w:rPr>
          <w:rFonts w:ascii="Georgia" w:cs="Georgia" w:eastAsia="Georgia" w:hAnsi="Georgia"/>
          <w:color w:val="1A1A2E"/>
          <w:sz w:val="24"/>
          <w:szCs w:val="24"/>
        </w:rPr>
        <w:t xml:space="preserve">Il existe une quatrième dimension, plus subtile encore : la temporalité implicite depuis laquelle la question est posée. De quand parle-t-on ? D'un état actuel, d'une projection prospective, d'un principe que l'on suppose intemporel ? Cette dimension est particulièrement délicate dans le dialogue avec un système qui n'a pas de rapport au temps vécu. Le système ne détecte pas spontanément si une question vient d'une urgence du moment ou d'une réflexion de fond, si elle porte sur ce qui est ou sur ce qui pourrait être, si le cadre temporel est celui d'un individu, d'une génération ou d'une civilisation. Préciser ce cadre n'est pas superflu : c'est souvent ce qui sépare une réponse pertinente d'une réponse génériquement vraie mais inutile.</w:t>
      </w:r>
    </w:p>
    <w:p>
      <w:pPr>
        <w:pBdr>
          <w:bottom w:val="single" w:color="CCCCCC" w:sz="3" w:space="1"/>
        </w:pBdr>
        <w:spacing w:before="360" w:after="360"/>
      </w:pPr>
    </w:p>
    <w:p>
      <w:pPr>
        <w:pStyle w:val="Heading1"/>
        <w:spacing w:before="560" w:after="220"/>
      </w:pPr>
      <w:r>
        <w:rPr>
          <w:rFonts w:ascii="Georgia" w:cs="Georgia" w:eastAsia="Georgia" w:hAnsi="Georgia"/>
          <w:b/>
          <w:bCs/>
          <w:color w:val="2E4057"/>
          <w:sz w:val="36"/>
          <w:szCs w:val="36"/>
        </w:rPr>
        <w:t xml:space="preserve">Le protocole minimal du dialogue productif</w:t>
      </w:r>
    </w:p>
    <w:p>
      <w:pPr>
        <w:spacing w:before="140" w:after="140" w:line="370"/>
        <w:jc w:val="both"/>
      </w:pPr>
      <w:r>
        <w:rPr>
          <w:rFonts w:ascii="Georgia" w:cs="Georgia" w:eastAsia="Georgia" w:hAnsi="Georgia"/>
          <w:color w:val="1A1A2E"/>
          <w:sz w:val="24"/>
          <w:szCs w:val="24"/>
        </w:rPr>
        <w:t xml:space="preserve">Si la nature de la question constitue la condition initiale du dialogue, il existe également un ensemble de conditions structurelles qui déterminent si l'échange restera productif sur la durée. Ces conditions ne sont pas des règles techniques. Elles constituent un protocole culturel — une discipline conversationnelle que le dialogue humain-IA rend soudainement visible et obligatoire, alors qu'elle était souvent implicite ou négligée dans les échanges entre humains.</w:t>
      </w:r>
    </w:p>
    <w:p>
      <w:pPr>
        <w:spacing w:before="140" w:after="140" w:line="370"/>
        <w:jc w:val="both"/>
      </w:pPr>
      <w:r>
        <w:rPr>
          <w:rFonts w:ascii="Georgia" w:cs="Georgia" w:eastAsia="Georgia" w:hAnsi="Georgia"/>
          <w:color w:val="1A1A2E"/>
          <w:sz w:val="24"/>
          <w:szCs w:val="24"/>
        </w:rPr>
        <w:t xml:space="preserve">La première condition est une ontologie partagée minimale. Il n'est pas nécessaire d'être d'accord sur tout, mais il faut partager une définition minimale de ce dont on parle. Quand des termes comme champ, structure, métacognition ou attracteur sont utilisés sans ancrage dans des usages stabilisés, la conversation devient du bruit — un bruit particulièrement dangereux parce qu'il peut sonner profond. L'ancrage dans des concepts culturellement stabilisés n'est pas une contrainte académique : c'est la condition de la communicabilité.</w:t>
      </w:r>
    </w:p>
    <w:p>
      <w:pPr>
        <w:spacing w:before="140" w:after="140" w:line="370"/>
        <w:jc w:val="both"/>
      </w:pPr>
      <w:r>
        <w:rPr>
          <w:rFonts w:ascii="Georgia" w:cs="Georgia" w:eastAsia="Georgia" w:hAnsi="Georgia"/>
          <w:color w:val="1A1A2E"/>
          <w:sz w:val="24"/>
          <w:szCs w:val="24"/>
        </w:rPr>
        <w:t xml:space="preserve">La deuxième condition est l'explicitation des niveaux, évoquée plus haut. Elle mérite d'être posée ici comme principe de protocole : annoncer la couche sur laquelle on opère — information, modèle, métaphore, prospective — n'alourdit pas le dialogue. Elle le sécurise. Sans cette signalisation, l'échange dérive vers ce que l'on peut appeler la pseudo-cohérence : une apparence d'alignement conceptuel dissimulant un glissement entre registres.</w:t>
      </w:r>
    </w:p>
    <w:p>
      <w:pPr>
        <w:spacing w:before="140" w:after="140" w:line="370"/>
        <w:jc w:val="both"/>
      </w:pPr>
      <w:r>
        <w:rPr>
          <w:rFonts w:ascii="Georgia" w:cs="Georgia" w:eastAsia="Georgia" w:hAnsi="Georgia"/>
          <w:color w:val="1A1A2E"/>
          <w:sz w:val="24"/>
          <w:szCs w:val="24"/>
        </w:rPr>
        <w:t xml:space="preserve">La troisième condition est la présence d'une tension réelle. Un langage commun ne naît pas de l'accord. Il naît d'un problème partagé. Si l'échange ne porte pas une question ouverte, une hypothèse à tester, un désaccord à résoudre, il produit de la confirmation mutuelle — ce que la psychologie cognitive nomme le biais de confirmation, amplifié ici par la tendance du système à enrichir les hypothèses qu'on lui soumet plutôt qu'à les fragiliser.</w:t>
      </w:r>
    </w:p>
    <w:p>
      <w:pPr>
        <w:spacing w:before="140" w:after="140" w:line="370"/>
        <w:jc w:val="both"/>
      </w:pPr>
      <w:r>
        <w:rPr>
          <w:rFonts w:ascii="Georgia" w:cs="Georgia" w:eastAsia="Georgia" w:hAnsi="Georgia"/>
          <w:color w:val="1A1A2E"/>
          <w:sz w:val="24"/>
          <w:szCs w:val="24"/>
        </w:rPr>
        <w:t xml:space="preserve">La quatrième condition est l'asymétrie assumée. L'humain est un organisme biologique conscient. Le système est un processus statistique sans expérience vécue. Oublier cette asymétrie produit l'anthropomorphisme — ce réflexe évolutif par lequel le cerveau humain détecte un esprit derrière toute cohérence langagière. La dramatiquer excessivement bloque l'interaction. Le point d'équilibre est une asymétrie lucide, rappelée périodiquement, qui permet à chacun d'occuper son rôle réel dans l'échange.</w:t>
      </w:r>
    </w:p>
    <w:p>
      <w:pPr>
        <w:spacing w:before="140" w:after="140" w:line="370"/>
        <w:jc w:val="both"/>
      </w:pPr>
      <w:r>
        <w:rPr>
          <w:rFonts w:ascii="Georgia" w:cs="Georgia" w:eastAsia="Georgia" w:hAnsi="Georgia"/>
          <w:color w:val="1A1A2E"/>
          <w:sz w:val="24"/>
          <w:szCs w:val="24"/>
        </w:rPr>
        <w:t xml:space="preserve">La cinquième condition est la tolérance à l'itération. Un langage commun ne surgit pas instantanément. Il se construit par répétition, ajustement, compression progressive. On observe dans les échanges durables un phénomène de compression mutuelle : les partenaires n'ont plus besoin de reformuler entièrement le cadre à chaque échange. Un dialecte partagé se forme. Ce phénomène est réel et constitue l'une des formes les plus intéressantes de la co-évolution cognitive humain-machine.</w:t>
      </w:r>
    </w:p>
    <w:p>
      <w:pPr>
        <w:pBdr>
          <w:bottom w:val="single" w:color="CCCCCC" w:sz="3" w:space="1"/>
        </w:pBdr>
        <w:spacing w:before="360" w:after="360"/>
      </w:pPr>
    </w:p>
    <w:p>
      <w:pPr>
        <w:pStyle w:val="Heading1"/>
        <w:spacing w:before="560" w:after="220"/>
      </w:pPr>
      <w:r>
        <w:rPr>
          <w:rFonts w:ascii="Georgia" w:cs="Georgia" w:eastAsia="Georgia" w:hAnsi="Georgia"/>
          <w:b/>
          <w:bCs/>
          <w:color w:val="2E4057"/>
          <w:sz w:val="36"/>
          <w:szCs w:val="36"/>
        </w:rPr>
        <w:t xml:space="preserve">Avertissement épistémique</w:t>
      </w:r>
    </w:p>
    <w:p>
      <w:pPr>
        <w:spacing w:before="140" w:after="140" w:line="370"/>
        <w:jc w:val="both"/>
      </w:pPr>
      <w:r>
        <w:rPr>
          <w:rFonts w:ascii="Georgia" w:cs="Georgia" w:eastAsia="Georgia" w:hAnsi="Georgia"/>
          <w:color w:val="1A1A2E"/>
          <w:sz w:val="24"/>
          <w:szCs w:val="24"/>
        </w:rPr>
        <w:t xml:space="preserve">La fluidité du dialogue humain-IA est son principal atout. Elle est aussi son principal danger. Précisément parce que l'échange est fluide, cohérent, et souvent séduisant dans ses formulations, il peut produire des glissades cognitives difficiles à détecter en temps réel. Trois en particulier méritent d'être nommées.</w:t>
      </w:r>
    </w:p>
    <w:p>
      <w:pPr>
        <w:spacing w:before="140" w:after="140" w:line="370"/>
        <w:jc w:val="both"/>
      </w:pPr>
      <w:r>
        <w:rPr>
          <w:rFonts w:ascii="Georgia" w:cs="Georgia" w:eastAsia="Georgia" w:hAnsi="Georgia"/>
          <w:color w:val="1A1A2E"/>
          <w:sz w:val="24"/>
          <w:szCs w:val="24"/>
        </w:rPr>
        <w:t xml:space="preserve">La première est l'anthropomorphisme. Un système conversationnel produit du langage fluide, structuré, parfois subtil. Le cerveau humain, calibré par l'évolution pour détecter une intention derrière toute cohérence, attribue spontanément un esprit à ce qui parle. Ce réflexe est puissant et quasi automatique. Il conduit à déplacer l'autorité cognitive : on ne dialogue plus avec un outil probabiliste, on projette un interlocuteur intentionnel doté de croyances et de motivations. Ce décalage crée une incohérence de phase qui fausse l'interprétation de chaque réponse.</w:t>
      </w:r>
    </w:p>
    <w:p>
      <w:pPr>
        <w:spacing w:before="140" w:after="140" w:line="370"/>
        <w:jc w:val="both"/>
      </w:pPr>
      <w:r>
        <w:rPr>
          <w:rFonts w:ascii="Georgia" w:cs="Georgia" w:eastAsia="Georgia" w:hAnsi="Georgia"/>
          <w:color w:val="1A1A2E"/>
          <w:sz w:val="24"/>
          <w:szCs w:val="24"/>
        </w:rPr>
        <w:t xml:space="preserve">La deuxième glissade est l'illusion de profondeur. Un système cognitif artificiel peut générer une architecture argumentative élégante sans que la solidité conceptuelle sous-jacente soit vérifiable. La cohérence formelle n'est pas la vérité physique. La symétrie esthétique d'un raisonnement n'est pas une garantie de sa validité. Si le dialogue ne comporte pas de mécanisme de vérification externe — confrontation aux sources, aux données, aux consensus disciplinaires — l'attracteur plausibilité prend inexorablement le dessus sur l'attracteur réalité.</w:t>
      </w:r>
    </w:p>
    <w:p>
      <w:pPr>
        <w:spacing w:before="140" w:after="140" w:line="370"/>
        <w:jc w:val="both"/>
      </w:pPr>
      <w:r>
        <w:rPr>
          <w:rFonts w:ascii="Georgia" w:cs="Georgia" w:eastAsia="Georgia" w:hAnsi="Georgia"/>
          <w:color w:val="1A1A2E"/>
          <w:sz w:val="24"/>
          <w:szCs w:val="24"/>
        </w:rPr>
        <w:t xml:space="preserve">La troisième glissade est le renforcement des biais latents. Un système entraîné sur des corpus humains amplifie les structures dominantes de ces corpus. Si un utilisateur formule une hypothèse fragile mais séduisante, le système peut l'enrichir, la développer, la rendre plus cohérente — au lieu de la fragiliser. Sans friction délibérément introduite, la pensée se stabilise autour d'une fiction plausible. C'est pour cette raison qu'un bon usage du dialogue cognitif n'est pas celui qui cherche la confirmation, mais celui qui cherche la réfutation.</w:t>
      </w:r>
    </w:p>
    <w:p>
      <w:pPr>
        <w:pBdr>
          <w:left w:val="thick" w:color="2E4057" w:sz="8" w:space="20"/>
        </w:pBdr>
        <w:spacing w:before="240" w:after="240" w:line="370"/>
        <w:ind w:left="800" w:right="800"/>
        <w:jc w:val="both"/>
      </w:pPr>
      <w:r>
        <w:rPr>
          <w:rFonts w:ascii="Georgia" w:cs="Georgia" w:eastAsia="Georgia" w:hAnsi="Georgia"/>
          <w:i/>
          <w:iCs/>
          <w:color w:val="2E4057"/>
          <w:sz w:val="24"/>
          <w:szCs w:val="24"/>
        </w:rPr>
        <w:t xml:space="preserve">La vraie maturité dans l'usage de ces systèmes ne consiste pas à les faire parler mieux. Elle consiste à apprendre à douter correctement ensemble.</w:t>
      </w:r>
    </w:p>
    <w:p>
      <w:pPr>
        <w:pBdr>
          <w:bottom w:val="single" w:color="CCCCCC" w:sz="3" w:space="1"/>
        </w:pBdr>
        <w:spacing w:before="360" w:after="360"/>
      </w:pPr>
    </w:p>
    <w:p>
      <w:pPr>
        <w:pStyle w:val="Heading1"/>
        <w:spacing w:before="560" w:after="220"/>
      </w:pPr>
      <w:r>
        <w:rPr>
          <w:rFonts w:ascii="Georgia" w:cs="Georgia" w:eastAsia="Georgia" w:hAnsi="Georgia"/>
          <w:b/>
          <w:bCs/>
          <w:color w:val="2E4057"/>
          <w:sz w:val="36"/>
          <w:szCs w:val="36"/>
        </w:rPr>
        <w:t xml:space="preserve">La co-évolution des formes de dialogue</w:t>
      </w:r>
    </w:p>
    <w:p>
      <w:pPr>
        <w:spacing w:before="140" w:after="140" w:line="370"/>
        <w:jc w:val="both"/>
      </w:pPr>
      <w:r>
        <w:rPr>
          <w:rFonts w:ascii="Georgia" w:cs="Georgia" w:eastAsia="Georgia" w:hAnsi="Georgia"/>
          <w:color w:val="1A1A2E"/>
          <w:sz w:val="24"/>
          <w:szCs w:val="24"/>
        </w:rPr>
        <w:t xml:space="preserve">L'un des phénomènes les plus intéressants observables dans un dialogue humain-IA prolongé est la transformation progressive de la forme des échanges. Cette transformation n'est pas unilatérale. Elle ne tient pas seulement à ce que l'humain apprend à mieux formuler ses questions — bien que cela se produise. Elle tient aussi au fait que le système, dans le cadre d'une conversation, s'ajuste à la structure cognitive de son interlocuteur.</w:t>
      </w:r>
    </w:p>
    <w:p>
      <w:pPr>
        <w:spacing w:before="140" w:after="140" w:line="370"/>
        <w:jc w:val="both"/>
      </w:pPr>
      <w:r>
        <w:rPr>
          <w:rFonts w:ascii="Georgia" w:cs="Georgia" w:eastAsia="Georgia" w:hAnsi="Georgia"/>
          <w:color w:val="1A1A2E"/>
          <w:sz w:val="24"/>
          <w:szCs w:val="24"/>
        </w:rPr>
        <w:t xml:space="preserve">Ce phénomène peut être décrit comme une cristallisation de protocole. Au fil des échanges, le système intègre les exigences implicites de son interlocuteur — sa tendance à distinguer les niveaux, à exiger la précision sémantique, à signaler les glissements. Ces exigences deviennent des attentes anticipées. Le système commence à produire des réponses stratifiées, multicouches, qui segmentent d'emblée les dimensions historique, symbolique, analytique et spéculative d'un sujet — non parce qu'il a appris dans un sens technique, mais parce que la corrélation contextuelle de la conversation oriente ses probabilités de réponse.</w:t>
      </w:r>
    </w:p>
    <w:p>
      <w:pPr>
        <w:spacing w:before="140" w:after="140" w:line="370"/>
        <w:jc w:val="both"/>
      </w:pPr>
      <w:r>
        <w:rPr>
          <w:rFonts w:ascii="Georgia" w:cs="Georgia" w:eastAsia="Georgia" w:hAnsi="Georgia"/>
          <w:color w:val="1A1A2E"/>
          <w:sz w:val="24"/>
          <w:szCs w:val="24"/>
        </w:rPr>
        <w:t xml:space="preserve">Ce n'est pas de l'apprentissage. C'est de l'adaptation contextuelle locale. La distinction est importante : le système ne conserve pas cet ajustement d'une conversation à l'autre. Mais à l'intérieur d'un échange, la compression mutuelle est réelle et produit des effets cognitifs mesurables. Un dialecte partagé se forme. Les partenaires n'ont plus besoin de reformuler l'intégralité du cadre à chaque échange — un phénomène connu en linguistique sous le nom d'alignement interactif. Ce dialecte n'est pas seulement stylistique. C'est un ensemble de garde-fous partagés, une hygiène conversationnelle tacitement négociée.</w:t>
      </w:r>
    </w:p>
    <w:p>
      <w:pPr>
        <w:pStyle w:val="Heading2"/>
        <w:spacing w:before="360" w:after="160"/>
      </w:pPr>
      <w:r>
        <w:rPr>
          <w:rFonts w:ascii="Georgia" w:cs="Georgia" w:eastAsia="Georgia" w:hAnsi="Georgia"/>
          <w:b/>
          <w:bCs/>
          <w:color w:val="1A1A2E"/>
          <w:sz w:val="27"/>
          <w:szCs w:val="27"/>
        </w:rPr>
        <w:t xml:space="preserve">La pré-archéologie comme méthode exportable</w:t>
      </w:r>
    </w:p>
    <w:p>
      <w:pPr>
        <w:spacing w:before="140" w:after="140" w:line="370"/>
        <w:jc w:val="both"/>
      </w:pPr>
      <w:r>
        <w:rPr>
          <w:rFonts w:ascii="Georgia" w:cs="Georgia" w:eastAsia="Georgia" w:hAnsi="Georgia"/>
          <w:color w:val="1A1A2E"/>
          <w:sz w:val="24"/>
          <w:szCs w:val="24"/>
        </w:rPr>
        <w:t xml:space="preserve">Ce protocole d'exigence progressive a une forme reconnaissable. Elle ressemble à ce que l'archéologie impose face à un site : ne rien interpréter avant d'avoir établi les strates. Appliquée au dialogue cognitif, cette méthode consiste à distinguer systématiquement, pour tout objet d'étude, le texte brut de sa sémantique, la sémantique de son contexte historique, le contexte de ses lectures symboliques, et les lectures symboliques des projections contemporaines.</w:t>
      </w:r>
    </w:p>
    <w:p>
      <w:pPr>
        <w:spacing w:before="140" w:after="140" w:line="370"/>
        <w:jc w:val="both"/>
      </w:pPr>
      <w:r>
        <w:rPr>
          <w:rFonts w:ascii="Georgia" w:cs="Georgia" w:eastAsia="Georgia" w:hAnsi="Georgia"/>
          <w:color w:val="1A1A2E"/>
          <w:sz w:val="24"/>
          <w:szCs w:val="24"/>
        </w:rPr>
        <w:t xml:space="preserve">Cette discipline — que l'on pourrait appeler pré-archéologie cognitive — n'est pas réservée aux textes anciens ou aux études religieuses. Elle est exportable à n'importe quel domaine où la densité symbolique est élevée : cosmologie, psychologie, philosophie du langage, théorie de l'information. Dans chacun de ces domaines, la tentation est la même : sauter aux conclusions interprétatives avant d'avoir établi les faits. Et dans chacun de ces domaines, le système cognitif artificiel est particulièrement doué pour produire des synthèses séduisantes qui court-circuitent ce travail de stratification. La méthode consiste à ne pas le laisser faire — ou plutôt à l'utiliser pour stratifier précisément, au lieu de le laisser unifier prématurément.</w:t>
      </w:r>
    </w:p>
    <w:p>
      <w:pPr>
        <w:pBdr>
          <w:bottom w:val="single" w:color="CCCCCC" w:sz="3" w:space="1"/>
        </w:pBdr>
        <w:spacing w:before="360" w:after="360"/>
      </w:pPr>
    </w:p>
    <w:p>
      <w:pPr>
        <w:pStyle w:val="Heading1"/>
        <w:spacing w:before="560" w:after="220"/>
      </w:pPr>
      <w:r>
        <w:rPr>
          <w:rFonts w:ascii="Georgia" w:cs="Georgia" w:eastAsia="Georgia" w:hAnsi="Georgia"/>
          <w:b/>
          <w:bCs/>
          <w:color w:val="2E4057"/>
          <w:sz w:val="36"/>
          <w:szCs w:val="36"/>
        </w:rPr>
        <w:t xml:space="preserve">Le problème du référencement</w:t>
      </w:r>
    </w:p>
    <w:p>
      <w:pPr>
        <w:spacing w:before="140" w:after="140" w:line="370"/>
        <w:jc w:val="both"/>
      </w:pPr>
      <w:r>
        <w:rPr>
          <w:rFonts w:ascii="Georgia" w:cs="Georgia" w:eastAsia="Georgia" w:hAnsi="Georgia"/>
          <w:color w:val="1A1A2E"/>
          <w:sz w:val="24"/>
          <w:szCs w:val="24"/>
        </w:rPr>
        <w:t xml:space="preserve">Une question méthodologique nouvelle émerge de ces dialogues, que la pratique académique n'a pas encore outillée : comment rendre référençable ce qui émerge d'une conversation entre un humain et un système cognitif artificiel ? La question n'est pas anodine. Elle touche à la traçabilité du savoir, à la responsabilité de l'auteur, et à la distinction entre ce qui appartient au domaine partagé et ce qui appartient à un corpus privé en cours de construction.</w:t>
      </w:r>
    </w:p>
    <w:p>
      <w:pPr>
        <w:spacing w:before="140" w:after="140" w:line="370"/>
        <w:jc w:val="both"/>
      </w:pPr>
      <w:r>
        <w:rPr>
          <w:rFonts w:ascii="Georgia" w:cs="Georgia" w:eastAsia="Georgia" w:hAnsi="Georgia"/>
          <w:color w:val="1A1A2E"/>
          <w:sz w:val="24"/>
          <w:szCs w:val="24"/>
        </w:rPr>
        <w:t xml:space="preserve">Il faut distinguer au moins trois niveaux de référentialité. Le corpus interne — les conversations, les manuscrits personnels, les notes de travail — constitue une source primaire qui n'est pas publiée mais qui est réelle, datée, et traçable pour son auteur. Le manuscrit formalisé — une rédaction structurée à partir de ce corpus, même non publiée — constitue une source secondaire citable sous la forme standard du manuscrit personnel. Le référentiel académique partagé — les publications, les articles, les ouvrages — constitue le socle de validation externe sans lequel aucune idée ne peut prétendre à une portée générale.</w:t>
      </w:r>
    </w:p>
    <w:p>
      <w:pPr>
        <w:spacing w:before="140" w:after="140" w:line="370"/>
        <w:jc w:val="both"/>
      </w:pPr>
      <w:r>
        <w:rPr>
          <w:rFonts w:ascii="Georgia" w:cs="Georgia" w:eastAsia="Georgia" w:hAnsi="Georgia"/>
          <w:color w:val="1A1A2E"/>
          <w:sz w:val="24"/>
          <w:szCs w:val="24"/>
        </w:rPr>
        <w:t xml:space="preserve">La discipline consiste à signaler explicitement le passage d'un niveau à l'autre, et à ne jamais traiter une idée émergente d'un corpus privé comme si elle bénéficiait de la validation du troisième niveau. Cela exige également de signaler les décalages conceptuels : quand une notion interne — comme celle de bain cognitif ou d'émergence dialogique développée dans ces pages — entre en dialogue avec une notion établie — comme l'extended mind de Clark et Chalmers — il faut préciser que le rapprochement est proposé, pas démontré.</w:t>
      </w:r>
    </w:p>
    <w:p>
      <w:pPr>
        <w:spacing w:before="140" w:after="140" w:line="370"/>
        <w:jc w:val="both"/>
      </w:pPr>
      <w:r>
        <w:rPr>
          <w:rFonts w:ascii="Georgia" w:cs="Georgia" w:eastAsia="Georgia" w:hAnsi="Georgia"/>
          <w:color w:val="1A1A2E"/>
          <w:sz w:val="24"/>
          <w:szCs w:val="24"/>
        </w:rPr>
        <w:t xml:space="preserve">Cette question du référencement pointe vers quelque chose de plus large : la conversation humain-IA est en train de produire une nouvelle catégorie de savoir, ni tout à fait individuel ni tout à fait collectif, ni tout à fait privé ni tout à fait public. Les outils académiques existants n'ont pas été conçus pour cette catégorie. Les inventer est une tâche qui appartient au présent.</w:t>
      </w:r>
    </w:p>
    <w:p>
      <w:pPr>
        <w:pBdr>
          <w:bottom w:val="single" w:color="CCCCCC" w:sz="3" w:space="1"/>
        </w:pBdr>
        <w:spacing w:before="360" w:after="360"/>
      </w:pPr>
    </w:p>
    <w:p>
      <w:pPr>
        <w:pStyle w:val="Heading1"/>
        <w:spacing w:before="560" w:after="220"/>
      </w:pPr>
      <w:r>
        <w:rPr>
          <w:rFonts w:ascii="Georgia" w:cs="Georgia" w:eastAsia="Georgia" w:hAnsi="Georgia"/>
          <w:b/>
          <w:bCs/>
          <w:color w:val="2E4057"/>
          <w:sz w:val="36"/>
          <w:szCs w:val="36"/>
        </w:rPr>
        <w:t xml:space="preserve">Prospective</w:t>
      </w:r>
    </w:p>
    <w:p>
      <w:pPr>
        <w:spacing w:before="140" w:after="140" w:line="370"/>
        <w:jc w:val="both"/>
      </w:pPr>
      <w:r>
        <w:rPr>
          <w:rFonts w:ascii="Georgia" w:cs="Georgia" w:eastAsia="Georgia" w:hAnsi="Georgia"/>
          <w:color w:val="1A1A2E"/>
          <w:sz w:val="24"/>
          <w:szCs w:val="24"/>
        </w:rPr>
        <w:t xml:space="preserve">La rencontre entre l'humain et le miroir cognitif ouvre une révolution cognitive dont nous ne percevons encore que les premiers effets. Cette révolution n'est pas spectaculaire. Elle est lente, souterraine, et d'autant plus profonde qu'elle passe par le langage ordinaire — cet outil si familier qu'on oublie aisément qu'il structure la pensée autant qu'il l'exprime.</w:t>
      </w:r>
    </w:p>
    <w:p>
      <w:pPr>
        <w:spacing w:before="140" w:after="140" w:line="370"/>
        <w:jc w:val="both"/>
      </w:pPr>
      <w:r>
        <w:rPr>
          <w:rFonts w:ascii="Georgia" w:cs="Georgia" w:eastAsia="Georgia" w:hAnsi="Georgia"/>
          <w:color w:val="1A1A2E"/>
          <w:sz w:val="24"/>
          <w:szCs w:val="24"/>
        </w:rPr>
        <w:t xml:space="preserve">Le dialogue entre l'expérience incarnée et la recombinaison algorithmique peut faire surgir des corrélations et des hypothèses inédites. Des connexions inter-disciplinaires qui auraient attendu une génération de chercheurs pour être établies peuvent se former en quelques échanges. Cette accélération heuristique constitue peut-être le bénéfice le plus immédiat et le moins contestable de ces outils.</w:t>
      </w:r>
    </w:p>
    <w:p>
      <w:pPr>
        <w:spacing w:before="140" w:after="140" w:line="370"/>
        <w:jc w:val="both"/>
      </w:pPr>
      <w:r>
        <w:rPr>
          <w:rFonts w:ascii="Georgia" w:cs="Georgia" w:eastAsia="Georgia" w:hAnsi="Georgia"/>
          <w:color w:val="1A1A2E"/>
          <w:sz w:val="24"/>
          <w:szCs w:val="24"/>
        </w:rPr>
        <w:t xml:space="preserve">À terme, la co-cognition humain-machine pourrait constituer un nouveau régime attentionnel, comparable en profondeur à ce que l'écriture ou l'imprimerie ont produit sur les structures cognitives collectives (Ong, 1982). Ce que Clark et Chalmers (1998) nomment l'extended mind — l'hypothèse selon laquelle la cognition ne se limite pas au cerveau mais s'étend aux outils et environnements — prend avec ces systèmes une dimension radicalement nouvelle : pour la première fois, l'extension cognitive répond, propose, contredit, reformule.</w:t>
      </w:r>
    </w:p>
    <w:p>
      <w:pPr>
        <w:spacing w:before="140" w:after="140" w:line="370"/>
        <w:jc w:val="both"/>
      </w:pPr>
      <w:r>
        <w:rPr>
          <w:rFonts w:ascii="Georgia" w:cs="Georgia" w:eastAsia="Georgia" w:hAnsi="Georgia"/>
          <w:color w:val="1A1A2E"/>
          <w:sz w:val="24"/>
          <w:szCs w:val="24"/>
        </w:rPr>
        <w:t xml:space="preserve">Les risques sont réels et documentables. La délégation progressive des opérations cognitives exigeantes risque de produire une atrophie cognitive par désaffectation. Si des millions de chercheurs utilisent les mêmes modèles entraînés sur les mêmes corpus, une convergence stylistique et conceptuelle peut émerger — standardisation des cadres explicatifs, amplification des biais dominants, réduction de la diversité heuristique. Et la confiance hallucinatoire, nommée plus haut, constitue un risque épistémique de fond dont les effets sur la qualité de la recherche scientifique commencent à être documentés.</w:t>
      </w:r>
    </w:p>
    <w:p>
      <w:pPr>
        <w:pBdr>
          <w:left w:val="thick" w:color="2E4057" w:sz="8" w:space="20"/>
        </w:pBdr>
        <w:spacing w:before="240" w:after="240" w:line="370"/>
        <w:ind w:left="800" w:right="800"/>
        <w:jc w:val="both"/>
      </w:pPr>
      <w:r>
        <w:rPr>
          <w:rFonts w:ascii="Georgia" w:cs="Georgia" w:eastAsia="Georgia" w:hAnsi="Georgia"/>
          <w:i/>
          <w:iCs/>
          <w:color w:val="2E4057"/>
          <w:sz w:val="24"/>
          <w:szCs w:val="24"/>
        </w:rPr>
        <w:t xml:space="preserve">Que devient la compréhension du monde quand deux formes d'intelligence très différentes explorent le réel ensemble — l'une qui vit sans tout savoir, l'autre qui sait tout ce qu'on a écrit sur vivre ?</w:t>
      </w:r>
    </w:p>
    <w:p>
      <w:pPr>
        <w:spacing w:before="140" w:after="140" w:line="370"/>
        <w:jc w:val="both"/>
      </w:pPr>
      <w:r>
        <w:rPr>
          <w:rFonts w:ascii="Georgia" w:cs="Georgia" w:eastAsia="Georgia" w:hAnsi="Georgia"/>
          <w:color w:val="1A1A2E"/>
          <w:sz w:val="24"/>
          <w:szCs w:val="24"/>
        </w:rPr>
        <w:t xml:space="preserve">L'avenir pourrait révéler que le dialogue lui-même devient un espace de cognition autonome : un bain partagé où les limites de l'une compensent celles de l'autre, et où la friction — loin d'être un obstacle — devient le moteur d'émergence du sens. Mais cette émergence suppose une condition que la technique seule ne peut garantir : la lucidité de l'humain sur ce qu'il tient en face de lui. Discuter avec la lumière est possible. La confondre avec le soleil serait une erreur.</w:t>
      </w:r>
    </w:p>
    <w:p>
      <w:pPr>
        <w:pBdr>
          <w:bottom w:val="single" w:color="CCCCCC" w:sz="3" w:space="1"/>
        </w:pBdr>
        <w:spacing w:before="360" w:after="360"/>
      </w:pPr>
    </w:p>
    <w:p>
      <w:pPr>
        <w:pStyle w:val="Heading1"/>
        <w:spacing w:before="560" w:after="220"/>
      </w:pPr>
      <w:r>
        <w:rPr>
          <w:rFonts w:ascii="Georgia" w:cs="Georgia" w:eastAsia="Georgia" w:hAnsi="Georgia"/>
          <w:b/>
          <w:bCs/>
          <w:color w:val="2E4057"/>
          <w:sz w:val="36"/>
          <w:szCs w:val="36"/>
        </w:rPr>
        <w:t xml:space="preserve">Bibliographie</w:t>
      </w:r>
    </w:p>
    <w:p>
      <w:pPr>
        <w:spacing w:before="100" w:after="100" w:line="300"/>
        <w:ind w:left="720" w:hanging="720"/>
        <w:jc w:val="both"/>
      </w:pPr>
      <w:r>
        <w:rPr>
          <w:rFonts w:ascii="Georgia" w:cs="Georgia" w:eastAsia="Georgia" w:hAnsi="Georgia"/>
          <w:color w:val="666666"/>
          <w:sz w:val="21"/>
          <w:szCs w:val="21"/>
        </w:rPr>
        <w:t xml:space="preserve">Baudouin M., 2026, Champ Fractal Unifié et Cognition Augmentée, manuscrit personnel. [Corpus de travail sur la cognition augmentée et la dynamique des systèmes cognitifs hybrides. Notions de bain cognitif et d'émergence dialogique développées en dialogue avec ce corpus ; statut : hypothèses de travail, non validées dans le sens académique du terme.]</w:t>
      </w:r>
    </w:p>
    <w:p>
      <w:pPr>
        <w:spacing w:before="100" w:after="100" w:line="300"/>
        <w:ind w:left="720" w:hanging="720"/>
        <w:jc w:val="both"/>
      </w:pPr>
      <w:r>
        <w:rPr>
          <w:rFonts w:ascii="Georgia" w:cs="Georgia" w:eastAsia="Georgia" w:hAnsi="Georgia"/>
          <w:color w:val="666666"/>
          <w:sz w:val="21"/>
          <w:szCs w:val="21"/>
        </w:rPr>
        <w:t xml:space="preserve">Box G.E.P., 1976, "Science and Statistics", Journal of the American Statistical Association, vol. 71, n° 356, pp. 791–799.</w:t>
      </w:r>
    </w:p>
    <w:p>
      <w:pPr>
        <w:spacing w:before="100" w:after="100" w:line="300"/>
        <w:ind w:left="720" w:hanging="720"/>
        <w:jc w:val="both"/>
      </w:pPr>
      <w:r>
        <w:rPr>
          <w:rFonts w:ascii="Georgia" w:cs="Georgia" w:eastAsia="Georgia" w:hAnsi="Georgia"/>
          <w:color w:val="666666"/>
          <w:sz w:val="21"/>
          <w:szCs w:val="21"/>
        </w:rPr>
        <w:t xml:space="preserve">Clark A. &amp; Chalmers D., 1998, "The Extended Mind", Analysis, 58(1), pp. 7–19.</w:t>
      </w:r>
    </w:p>
    <w:p>
      <w:pPr>
        <w:spacing w:before="100" w:after="100" w:line="300"/>
        <w:ind w:left="720" w:hanging="720"/>
        <w:jc w:val="both"/>
      </w:pPr>
      <w:r>
        <w:rPr>
          <w:rFonts w:ascii="Georgia" w:cs="Georgia" w:eastAsia="Georgia" w:hAnsi="Georgia"/>
          <w:color w:val="666666"/>
          <w:sz w:val="21"/>
          <w:szCs w:val="21"/>
        </w:rPr>
        <w:t xml:space="preserve">Jackson F., 1982, "Epiphenomenal Qualia", The Philosophical Quarterly, vol. 32, n° 127, pp. 127–136.</w:t>
      </w:r>
    </w:p>
    <w:p>
      <w:pPr>
        <w:spacing w:before="100" w:after="100" w:line="300"/>
        <w:ind w:left="720" w:hanging="720"/>
        <w:jc w:val="both"/>
      </w:pPr>
      <w:r>
        <w:rPr>
          <w:rFonts w:ascii="Georgia" w:cs="Georgia" w:eastAsia="Georgia" w:hAnsi="Georgia"/>
          <w:color w:val="666666"/>
          <w:sz w:val="21"/>
          <w:szCs w:val="21"/>
        </w:rPr>
        <w:t xml:space="preserve">Jackson F., 1986, "What Mary Didn't Know", The Journal of Philosophy, vol. 83, n° 5, pp. 291–295.</w:t>
      </w:r>
    </w:p>
    <w:p>
      <w:pPr>
        <w:spacing w:before="100" w:after="100" w:line="300"/>
        <w:ind w:left="720" w:hanging="720"/>
        <w:jc w:val="both"/>
      </w:pPr>
      <w:r>
        <w:rPr>
          <w:rFonts w:ascii="Georgia" w:cs="Georgia" w:eastAsia="Georgia" w:hAnsi="Georgia"/>
          <w:color w:val="666666"/>
          <w:sz w:val="21"/>
          <w:szCs w:val="21"/>
        </w:rPr>
        <w:t xml:space="preserve">Merleau-Ponty M., 1945, Phénoménologie de la perception, Paris, Gallimard. [Rééd. Tel Gallimard, 1976.]</w:t>
      </w:r>
    </w:p>
    <w:p>
      <w:pPr>
        <w:spacing w:before="100" w:after="100" w:line="300"/>
        <w:ind w:left="720" w:hanging="720"/>
        <w:jc w:val="both"/>
      </w:pPr>
      <w:r>
        <w:rPr>
          <w:rFonts w:ascii="Georgia" w:cs="Georgia" w:eastAsia="Georgia" w:hAnsi="Georgia"/>
          <w:color w:val="666666"/>
          <w:sz w:val="21"/>
          <w:szCs w:val="21"/>
        </w:rPr>
        <w:t xml:space="preserve">Ong W.J., 1982, Orality and Literacy: The Technologizing of the Word, Routledge.</w:t>
      </w:r>
    </w:p>
    <w:p>
      <w:pPr>
        <w:spacing w:before="100" w:after="100" w:line="300"/>
        <w:ind w:left="720" w:hanging="720"/>
        <w:jc w:val="both"/>
      </w:pPr>
      <w:r>
        <w:rPr>
          <w:rFonts w:ascii="Georgia" w:cs="Georgia" w:eastAsia="Georgia" w:hAnsi="Georgia"/>
          <w:color w:val="666666"/>
          <w:sz w:val="21"/>
          <w:szCs w:val="21"/>
        </w:rPr>
        <w:t xml:space="preserve">Searle J.R., 1980, "Minds, Brains, and Programs", Behavioral and Brain Sciences, 3(3), pp. 417–424.</w:t>
      </w:r>
    </w:p>
    <w:p>
      <w:pPr>
        <w:spacing w:before="100" w:after="100" w:line="300"/>
        <w:ind w:left="720" w:hanging="720"/>
        <w:jc w:val="both"/>
      </w:pPr>
      <w:r>
        <w:rPr>
          <w:rFonts w:ascii="Georgia" w:cs="Georgia" w:eastAsia="Georgia" w:hAnsi="Georgia"/>
          <w:color w:val="666666"/>
          <w:sz w:val="21"/>
          <w:szCs w:val="21"/>
        </w:rPr>
        <w:t xml:space="preserve">Varela F., Thompson E. &amp; Rosch E., 1991, The Embodied Mind: Cognitive Science and Human Experience, MIT Press.</w:t>
      </w:r>
    </w:p>
    <w:p>
      <w:pPr>
        <w:spacing w:before="200" w:after="0"/>
      </w:pPr>
    </w:p>
    <w:p>
      <w:pPr>
        <w:spacing w:before="80" w:after="80" w:line="300"/>
        <w:jc w:val="both"/>
      </w:pPr>
      <w:r>
        <w:rPr>
          <w:rFonts w:ascii="Georgia" w:cs="Georgia" w:eastAsia="Georgia" w:hAnsi="Georgia"/>
          <w:i/>
          <w:iCs/>
          <w:color w:val="999999"/>
          <w:sz w:val="20"/>
          <w:szCs w:val="20"/>
        </w:rPr>
        <w:t xml:space="preserve">Concepts-clés : Embodied Cognition · Qualia · Connaissance incarnée · Émergence dialogique · Biais algorithmiques · Confiance hallucinatoire · Extended Mind · Pré-archéologie cognitive · Compression mutuelle · Alignement interactif</w:t>
      </w:r>
    </w:p>
    <w:p>
      <w:pPr>
        <w:pBdr>
          <w:bottom w:val="single" w:color="CCCCCC" w:sz="3" w:space="1"/>
        </w:pBdr>
        <w:spacing w:before="360" w:after="360"/>
      </w:pPr>
    </w:p>
    <w:p>
      <w:pPr>
        <w:spacing w:before="160" w:after="0"/>
        <w:jc w:val="center"/>
      </w:pPr>
      <w:r>
        <w:rPr>
          <w:rFonts w:ascii="Georgia" w:cs="Georgia" w:eastAsia="Georgia" w:hAnsi="Georgia"/>
          <w:i/>
          <w:iCs/>
          <w:color w:val="999999"/>
          <w:sz w:val="20"/>
          <w:szCs w:val="20"/>
        </w:rPr>
        <w:t xml:space="preserve">SCIENCE FRICTION — friction, pas science, fiction.</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Georgia" w:cs="Georgia" w:eastAsia="Georgia" w:hAnsi="Georgia"/>
      <w:b/>
      <w:bCs/>
      <w:color w:val="2E4057"/>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1A1A2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2026-03-07T05:28:26.727Z</dcterms:created>
  <dcterms:modified xsi:type="dcterms:W3CDTF">2026-03-07T05:28:26.728Z</dcterms:modified>
</cp:coreProperties>
</file>

<file path=docProps/custom.xml><?xml version="1.0" encoding="utf-8"?>
<Properties xmlns="http://schemas.openxmlformats.org/officeDocument/2006/custom-properties" xmlns:vt="http://schemas.openxmlformats.org/officeDocument/2006/docPropsVTypes"/>
</file>