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D8E416" w14:textId="0624958A" w:rsidR="008F14BD" w:rsidRPr="008F14BD" w:rsidRDefault="008F14BD" w:rsidP="008F14BD">
      <w:pPr>
        <w:rPr>
          <w:b/>
          <w:bCs/>
          <w:lang w:eastAsia="en-US"/>
        </w:rPr>
      </w:pPr>
      <w:bookmarkStart w:id="0" w:name="_Toc283456923"/>
      <w:r w:rsidRPr="008F14BD">
        <w:rPr>
          <w:rFonts w:cs="Times New Roman (Headings CS)"/>
          <w:b/>
          <w:bCs/>
          <w:sz w:val="28"/>
          <w:szCs w:val="28"/>
        </w:rPr>
        <w:t xml:space="preserve">XSEDE Scientific Impact Metrics for the Yearly Report between </w:t>
      </w:r>
      <w:r w:rsidRPr="008F14BD">
        <w:rPr>
          <w:rFonts w:ascii="Segoe UI" w:hAnsi="Segoe UI" w:cs="Segoe UI"/>
          <w:b/>
          <w:bCs/>
          <w:color w:val="333333"/>
          <w:spacing w:val="5"/>
          <w:shd w:val="clear" w:color="auto" w:fill="FFFFFF"/>
          <w:lang w:eastAsia="en-US"/>
        </w:rPr>
        <w:t>May 1, 2020 to Apr 30, 202</w:t>
      </w:r>
      <w:r w:rsidRPr="008F14BD">
        <w:rPr>
          <w:rFonts w:ascii="Segoe UI" w:hAnsi="Segoe UI" w:cs="Segoe UI"/>
          <w:b/>
          <w:bCs/>
          <w:color w:val="333333"/>
          <w:spacing w:val="5"/>
          <w:shd w:val="clear" w:color="auto" w:fill="FFFFFF"/>
          <w:lang w:eastAsia="en-US"/>
        </w:rPr>
        <w:t>1</w:t>
      </w:r>
      <w:r>
        <w:rPr>
          <w:b/>
          <w:bCs/>
          <w:lang w:eastAsia="en-US"/>
        </w:rPr>
        <w:t xml:space="preserve"> </w:t>
      </w:r>
      <w:r w:rsidRPr="008F14BD">
        <w:rPr>
          <w:rFonts w:cs="Times New Roman (Headings CS)"/>
          <w:b/>
          <w:bCs/>
          <w:sz w:val="28"/>
          <w:szCs w:val="28"/>
        </w:rPr>
        <w:t xml:space="preserve">and the Period between </w:t>
      </w:r>
      <w:r w:rsidRPr="008F14BD">
        <w:rPr>
          <w:rFonts w:ascii="Segoe UI" w:hAnsi="Segoe UI" w:cs="Segoe UI"/>
          <w:b/>
          <w:bCs/>
          <w:color w:val="333333"/>
          <w:spacing w:val="5"/>
          <w:shd w:val="clear" w:color="auto" w:fill="FFFFFF"/>
          <w:lang w:eastAsia="en-US"/>
        </w:rPr>
        <w:t>Feb 1, 2021 - Apr 30, 2021</w:t>
      </w:r>
    </w:p>
    <w:p w14:paraId="2D4319A5" w14:textId="2CB2F8DC" w:rsidR="008F14BD" w:rsidRDefault="008F14BD" w:rsidP="008F14BD">
      <w:pPr>
        <w:pStyle w:val="Title"/>
        <w:rPr>
          <w:rFonts w:cs="Times New Roman (Headings CS)"/>
          <w:b/>
          <w:bCs/>
          <w:sz w:val="28"/>
          <w:szCs w:val="28"/>
        </w:rPr>
      </w:pPr>
    </w:p>
    <w:p w14:paraId="023B8D23" w14:textId="77777777" w:rsidR="008F14BD" w:rsidRPr="00B80DCD" w:rsidRDefault="008F14BD" w:rsidP="008F14BD"/>
    <w:p w14:paraId="41A2220D" w14:textId="7C9667A5" w:rsidR="008F14BD" w:rsidRPr="005A7963" w:rsidRDefault="008F14BD" w:rsidP="008F14BD">
      <w:proofErr w:type="spellStart"/>
      <w:r w:rsidRPr="00F700B9">
        <w:rPr>
          <w:rFonts w:asciiTheme="minorHAnsi" w:hAnsiTheme="minorHAnsi" w:cstheme="majorHAnsi"/>
          <w:color w:val="333333"/>
          <w:spacing w:val="5"/>
        </w:rPr>
        <w:t>Fugang</w:t>
      </w:r>
      <w:proofErr w:type="spellEnd"/>
      <w:r w:rsidRPr="00F700B9">
        <w:rPr>
          <w:rFonts w:asciiTheme="minorHAnsi" w:hAnsiTheme="minorHAnsi" w:cstheme="majorHAnsi"/>
          <w:color w:val="333333"/>
          <w:spacing w:val="5"/>
        </w:rPr>
        <w:t xml:space="preserve"> Wang, Gregor von Laszewski</w:t>
      </w:r>
      <w:r w:rsidRPr="00F700B9">
        <w:rPr>
          <w:rFonts w:asciiTheme="minorHAnsi" w:hAnsiTheme="minorHAnsi" w:cstheme="majorHAnsi"/>
          <w:color w:val="333333"/>
          <w:spacing w:val="5"/>
        </w:rPr>
        <w:br/>
      </w:r>
      <w:r>
        <w:rPr>
          <w:rFonts w:asciiTheme="minorHAnsi" w:hAnsiTheme="minorHAnsi" w:cstheme="majorHAnsi"/>
          <w:color w:val="333333"/>
          <w:spacing w:val="5"/>
        </w:rPr>
        <w:t>Apr</w:t>
      </w:r>
      <w:r w:rsidRPr="00F700B9">
        <w:rPr>
          <w:rFonts w:asciiTheme="minorHAnsi" w:hAnsiTheme="minorHAnsi" w:cstheme="majorHAnsi"/>
          <w:color w:val="333333"/>
          <w:spacing w:val="5"/>
        </w:rPr>
        <w:t xml:space="preserve"> 30, 20</w:t>
      </w:r>
      <w:r>
        <w:rPr>
          <w:rFonts w:asciiTheme="minorHAnsi" w:hAnsiTheme="minorHAnsi" w:cstheme="majorHAnsi"/>
          <w:color w:val="333333"/>
          <w:spacing w:val="5"/>
        </w:rPr>
        <w:t>2</w:t>
      </w:r>
      <w:r w:rsidR="00E5776A">
        <w:rPr>
          <w:rFonts w:asciiTheme="minorHAnsi" w:hAnsiTheme="minorHAnsi" w:cstheme="majorHAnsi"/>
          <w:color w:val="333333"/>
          <w:spacing w:val="5"/>
        </w:rPr>
        <w:t>1</w:t>
      </w:r>
      <w:r w:rsidRPr="00F700B9">
        <w:rPr>
          <w:rFonts w:asciiTheme="minorHAnsi" w:hAnsiTheme="minorHAnsi" w:cstheme="majorHAnsi"/>
          <w:color w:val="333333"/>
          <w:spacing w:val="5"/>
        </w:rPr>
        <w:br/>
        <w:t>Technical Report, Indiana University, Bloomington, IN</w:t>
      </w:r>
    </w:p>
    <w:p w14:paraId="017FD19C" w14:textId="77777777" w:rsidR="00A22AAC" w:rsidRPr="005A7963" w:rsidRDefault="00A22AAC" w:rsidP="00A22AAC"/>
    <w:p w14:paraId="1F99026C" w14:textId="77777777" w:rsidR="00A22AAC" w:rsidRDefault="00A22AAC" w:rsidP="00A22AAC">
      <w:pPr>
        <w:pStyle w:val="Heading2"/>
      </w:pPr>
      <w:r>
        <w:t>Scientific Impact Metrics (SIM)</w:t>
      </w:r>
      <w:bookmarkEnd w:id="0"/>
    </w:p>
    <w:p w14:paraId="4BFEBE47" w14:textId="77777777" w:rsidR="00A22AAC" w:rsidRDefault="00A22AAC" w:rsidP="00A22AAC">
      <w:pPr>
        <w:ind w:left="432"/>
        <w:jc w:val="both"/>
      </w:pPr>
    </w:p>
    <w:p w14:paraId="06D6955B" w14:textId="41E5A14B" w:rsidR="00A22AAC" w:rsidRDefault="00A22AAC" w:rsidP="00A22AAC">
      <w:pPr>
        <w:ind w:left="432"/>
        <w:jc w:val="both"/>
      </w:pPr>
      <w:r>
        <w:t>This appendix presents the current Scientific Impact Metrics data as of April 30 of year 20</w:t>
      </w:r>
      <w:r w:rsidR="00EB5838">
        <w:t>2</w:t>
      </w:r>
      <w:r w:rsidR="009E7A65">
        <w:t>1 as well as updated analysis based on a new data set</w:t>
      </w:r>
      <w:r>
        <w:t xml:space="preserve">. This is part of the </w:t>
      </w:r>
      <w:r w:rsidRPr="000C159F">
        <w:rPr>
          <w:rStyle w:val="st"/>
          <w:i/>
        </w:rPr>
        <w:t>XD Metrics Service (</w:t>
      </w:r>
      <w:r w:rsidRPr="000C159F">
        <w:rPr>
          <w:rStyle w:val="Emphasis"/>
        </w:rPr>
        <w:t>XMS</w:t>
      </w:r>
      <w:r w:rsidRPr="000C159F">
        <w:rPr>
          <w:rStyle w:val="st"/>
          <w:i/>
        </w:rPr>
        <w:t xml:space="preserve">) </w:t>
      </w:r>
      <w:r>
        <w:rPr>
          <w:rStyle w:val="st"/>
          <w:i/>
        </w:rPr>
        <w:t>(</w:t>
      </w:r>
      <w:r>
        <w:rPr>
          <w:rStyle w:val="st"/>
        </w:rPr>
        <w:t>formerly</w:t>
      </w:r>
      <w:r w:rsidRPr="000C159F">
        <w:rPr>
          <w:rStyle w:val="Emphasis"/>
        </w:rPr>
        <w:t xml:space="preserve"> NSF Technology Audit Service</w:t>
      </w:r>
      <w:r w:rsidRPr="000C159F">
        <w:rPr>
          <w:rStyle w:val="st"/>
        </w:rPr>
        <w:t xml:space="preserve"> </w:t>
      </w:r>
      <w:r w:rsidRPr="006628E6">
        <w:rPr>
          <w:rStyle w:val="st"/>
          <w:i/>
        </w:rPr>
        <w:t>(</w:t>
      </w:r>
      <w:r w:rsidRPr="006628E6">
        <w:rPr>
          <w:rStyle w:val="Emphasis"/>
        </w:rPr>
        <w:t>TAS</w:t>
      </w:r>
      <w:r w:rsidRPr="006628E6">
        <w:rPr>
          <w:rStyle w:val="st"/>
          <w:i/>
        </w:rPr>
        <w:t>)</w:t>
      </w:r>
      <w:r>
        <w:rPr>
          <w:rStyle w:val="st"/>
          <w:i/>
        </w:rPr>
        <w:t>)</w:t>
      </w:r>
      <w:r>
        <w:t xml:space="preserve"> effort.</w:t>
      </w:r>
    </w:p>
    <w:p w14:paraId="712C80E6" w14:textId="205E345D" w:rsidR="00A22AAC" w:rsidRDefault="00A22AAC" w:rsidP="00A22AAC">
      <w:pPr>
        <w:pStyle w:val="Heading3"/>
      </w:pPr>
      <w:bookmarkStart w:id="1" w:name="_Toc283456924"/>
      <w:r>
        <w:t>Summary Impact Metrics</w:t>
      </w:r>
      <w:bookmarkEnd w:id="1"/>
      <w:r w:rsidR="009E7A65">
        <w:t xml:space="preserve"> for XSEDE</w:t>
      </w:r>
    </w:p>
    <w:p w14:paraId="5359E446" w14:textId="356192EB" w:rsidR="00A22AAC" w:rsidRDefault="00A22AAC" w:rsidP="00A22AAC">
      <w:pPr>
        <w:ind w:left="576"/>
        <w:jc w:val="both"/>
      </w:pPr>
      <w:r>
        <w:t xml:space="preserve">Table SIM-1 shows the essential scientific summary impact metrics as of April 30 of year </w:t>
      </w:r>
      <w:r w:rsidR="00EB5838">
        <w:t>202</w:t>
      </w:r>
      <w:r w:rsidR="009E7A65">
        <w:t>1</w:t>
      </w:r>
      <w:r>
        <w:t xml:space="preserve">. The increasing values for each metric are listed in the table indicating the changes during the last quarter. By calculating such metrics </w:t>
      </w:r>
      <w:proofErr w:type="gramStart"/>
      <w:r>
        <w:t>periodically</w:t>
      </w:r>
      <w:proofErr w:type="gramEnd"/>
      <w:r>
        <w:t xml:space="preserve"> we can show the trends, as depicted in Figure SIM-2 and Figure SIM-3. Both show steadily increasing trends.</w:t>
      </w:r>
    </w:p>
    <w:p w14:paraId="7B4E1A75" w14:textId="77777777" w:rsidR="0057737C" w:rsidRPr="00354CCF" w:rsidRDefault="0057737C" w:rsidP="00A22AAC">
      <w:pPr>
        <w:ind w:left="576"/>
        <w:jc w:val="both"/>
      </w:pPr>
    </w:p>
    <w:p w14:paraId="3A9740D9" w14:textId="77777777" w:rsidR="00A22AAC" w:rsidRDefault="00A22AAC" w:rsidP="00A22AAC">
      <w:pPr>
        <w:jc w:val="center"/>
      </w:pPr>
      <w:r w:rsidRPr="00E85C93">
        <w:t xml:space="preserve">Table SIM-1: Overall </w:t>
      </w:r>
      <w:r>
        <w:t>Scientific Impact Metrics D</w:t>
      </w:r>
      <w:r w:rsidRPr="00E85C93">
        <w:t>ata</w:t>
      </w:r>
    </w:p>
    <w:tbl>
      <w:tblPr>
        <w:tblW w:w="8270" w:type="dxa"/>
        <w:jc w:val="righ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54"/>
        <w:gridCol w:w="1571"/>
        <w:gridCol w:w="1514"/>
        <w:gridCol w:w="1371"/>
        <w:gridCol w:w="1080"/>
        <w:gridCol w:w="1080"/>
      </w:tblGrid>
      <w:tr w:rsidR="00A22AAC" w:rsidRPr="006207D1" w14:paraId="6FD38EEB" w14:textId="77777777" w:rsidTr="00027321">
        <w:trPr>
          <w:trHeight w:val="989"/>
          <w:jc w:val="right"/>
        </w:trPr>
        <w:tc>
          <w:tcPr>
            <w:tcW w:w="1654" w:type="dxa"/>
            <w:shd w:val="clear" w:color="auto" w:fill="C0C0C0"/>
            <w:vAlign w:val="center"/>
            <w:hideMark/>
          </w:tcPr>
          <w:p w14:paraId="579FA27E" w14:textId="77777777" w:rsidR="00A22AAC" w:rsidRPr="006207D1" w:rsidRDefault="00A22AAC" w:rsidP="005D19B8">
            <w:pPr>
              <w:jc w:val="center"/>
              <w:rPr>
                <w:color w:val="000000"/>
                <w:sz w:val="20"/>
                <w:szCs w:val="20"/>
              </w:rPr>
            </w:pPr>
            <w:r w:rsidRPr="006207D1"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571" w:type="dxa"/>
            <w:shd w:val="clear" w:color="auto" w:fill="C0C0C0"/>
            <w:vAlign w:val="center"/>
            <w:hideMark/>
          </w:tcPr>
          <w:p w14:paraId="22299790" w14:textId="1231D186" w:rsidR="00A22AAC" w:rsidRPr="006207D1" w:rsidRDefault="00A22AAC" w:rsidP="005D19B8">
            <w:pPr>
              <w:jc w:val="center"/>
              <w:rPr>
                <w:color w:val="000000"/>
                <w:sz w:val="20"/>
                <w:szCs w:val="20"/>
              </w:rPr>
            </w:pPr>
            <w:r w:rsidRPr="006207D1">
              <w:rPr>
                <w:color w:val="000000"/>
                <w:sz w:val="20"/>
                <w:szCs w:val="20"/>
              </w:rPr>
              <w:t>Number of externally verified</w:t>
            </w:r>
            <w:r>
              <w:rPr>
                <w:color w:val="000000"/>
                <w:sz w:val="20"/>
                <w:szCs w:val="20"/>
              </w:rPr>
              <w:t xml:space="preserve"> unique p</w:t>
            </w:r>
            <w:r w:rsidRPr="006207D1">
              <w:rPr>
                <w:color w:val="000000"/>
                <w:sz w:val="20"/>
                <w:szCs w:val="20"/>
              </w:rPr>
              <w:t>ublications</w:t>
            </w:r>
            <w:r w:rsidR="00EB5838">
              <w:rPr>
                <w:color w:val="000000"/>
                <w:sz w:val="20"/>
                <w:szCs w:val="20"/>
              </w:rPr>
              <w:t>*</w:t>
            </w:r>
          </w:p>
        </w:tc>
        <w:tc>
          <w:tcPr>
            <w:tcW w:w="1514" w:type="dxa"/>
            <w:shd w:val="clear" w:color="auto" w:fill="C0C0C0"/>
            <w:vAlign w:val="center"/>
            <w:hideMark/>
          </w:tcPr>
          <w:p w14:paraId="30A83659" w14:textId="77777777" w:rsidR="00A22AAC" w:rsidRPr="006207D1" w:rsidRDefault="00A22AAC" w:rsidP="005D19B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i10-index (Number of p</w:t>
            </w:r>
            <w:r w:rsidRPr="006207D1">
              <w:rPr>
                <w:color w:val="000000"/>
                <w:sz w:val="20"/>
                <w:szCs w:val="20"/>
              </w:rPr>
              <w:t>ublications cited at least 10 times)</w:t>
            </w:r>
          </w:p>
        </w:tc>
        <w:tc>
          <w:tcPr>
            <w:tcW w:w="1371" w:type="dxa"/>
            <w:shd w:val="clear" w:color="auto" w:fill="C0C0C0"/>
            <w:vAlign w:val="center"/>
            <w:hideMark/>
          </w:tcPr>
          <w:p w14:paraId="4039AF4D" w14:textId="1C3FAB6B" w:rsidR="00A22AAC" w:rsidRPr="006207D1" w:rsidRDefault="00A22AAC" w:rsidP="005D19B8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Overall c</w:t>
            </w:r>
            <w:r w:rsidRPr="006207D1">
              <w:rPr>
                <w:color w:val="000000"/>
                <w:sz w:val="20"/>
                <w:szCs w:val="20"/>
              </w:rPr>
              <w:t>itation count</w:t>
            </w:r>
            <w:r w:rsidR="00EB5838">
              <w:rPr>
                <w:color w:val="000000"/>
                <w:sz w:val="20"/>
                <w:szCs w:val="20"/>
              </w:rPr>
              <w:t>*</w:t>
            </w:r>
          </w:p>
        </w:tc>
        <w:tc>
          <w:tcPr>
            <w:tcW w:w="1080" w:type="dxa"/>
            <w:shd w:val="clear" w:color="auto" w:fill="C0C0C0"/>
            <w:vAlign w:val="center"/>
            <w:hideMark/>
          </w:tcPr>
          <w:p w14:paraId="0006F4F1" w14:textId="77777777" w:rsidR="00A22AAC" w:rsidRPr="006207D1" w:rsidRDefault="00A22AAC" w:rsidP="005D19B8">
            <w:pPr>
              <w:jc w:val="center"/>
              <w:rPr>
                <w:color w:val="000000"/>
                <w:sz w:val="20"/>
                <w:szCs w:val="20"/>
              </w:rPr>
            </w:pPr>
            <w:r w:rsidRPr="006207D1">
              <w:rPr>
                <w:color w:val="000000"/>
                <w:sz w:val="20"/>
                <w:szCs w:val="20"/>
              </w:rPr>
              <w:t>h-index</w:t>
            </w:r>
          </w:p>
        </w:tc>
        <w:tc>
          <w:tcPr>
            <w:tcW w:w="1080" w:type="dxa"/>
            <w:shd w:val="clear" w:color="auto" w:fill="C0C0C0"/>
            <w:vAlign w:val="center"/>
            <w:hideMark/>
          </w:tcPr>
          <w:p w14:paraId="25EF7E78" w14:textId="77777777" w:rsidR="00A22AAC" w:rsidRPr="006207D1" w:rsidRDefault="00A22AAC" w:rsidP="005D19B8">
            <w:pPr>
              <w:jc w:val="center"/>
              <w:rPr>
                <w:color w:val="000000"/>
                <w:sz w:val="20"/>
                <w:szCs w:val="20"/>
              </w:rPr>
            </w:pPr>
            <w:r w:rsidRPr="006207D1">
              <w:rPr>
                <w:color w:val="000000"/>
                <w:sz w:val="20"/>
                <w:szCs w:val="20"/>
              </w:rPr>
              <w:t>g-index</w:t>
            </w:r>
          </w:p>
        </w:tc>
      </w:tr>
      <w:tr w:rsidR="0057737C" w:rsidRPr="006207D1" w14:paraId="23B03F5F" w14:textId="77777777" w:rsidTr="00027321">
        <w:trPr>
          <w:trHeight w:val="575"/>
          <w:jc w:val="right"/>
        </w:trPr>
        <w:tc>
          <w:tcPr>
            <w:tcW w:w="1654" w:type="dxa"/>
            <w:shd w:val="clear" w:color="auto" w:fill="auto"/>
            <w:vAlign w:val="center"/>
            <w:hideMark/>
          </w:tcPr>
          <w:p w14:paraId="221EC63C" w14:textId="77777777" w:rsidR="0057737C" w:rsidRPr="006207D1" w:rsidRDefault="0057737C" w:rsidP="0057737C">
            <w:pPr>
              <w:jc w:val="center"/>
              <w:rPr>
                <w:color w:val="000000"/>
                <w:sz w:val="20"/>
                <w:szCs w:val="20"/>
              </w:rPr>
            </w:pPr>
            <w:r w:rsidRPr="006207D1">
              <w:rPr>
                <w:color w:val="000000" w:themeColor="text1"/>
                <w:sz w:val="20"/>
                <w:szCs w:val="20"/>
              </w:rPr>
              <w:t>Since 2005 (TG+XD)</w:t>
            </w:r>
          </w:p>
        </w:tc>
        <w:tc>
          <w:tcPr>
            <w:tcW w:w="1571" w:type="dxa"/>
            <w:shd w:val="clear" w:color="auto" w:fill="auto"/>
            <w:vAlign w:val="bottom"/>
            <w:hideMark/>
          </w:tcPr>
          <w:p w14:paraId="11A79ED4" w14:textId="72241741" w:rsidR="0057737C" w:rsidRPr="006207D1" w:rsidRDefault="0057737C" w:rsidP="0057737C">
            <w:pPr>
              <w:jc w:val="right"/>
              <w:rPr>
                <w:color w:val="000000"/>
                <w:sz w:val="20"/>
                <w:szCs w:val="20"/>
              </w:rPr>
            </w:pPr>
            <w:r w:rsidRPr="0057737C">
              <w:rPr>
                <w:rFonts w:ascii="Calibri" w:hAnsi="Calibri"/>
                <w:color w:val="000000"/>
              </w:rPr>
              <w:t>19</w:t>
            </w:r>
            <w:r>
              <w:rPr>
                <w:rFonts w:ascii="Calibri" w:hAnsi="Calibri"/>
                <w:color w:val="000000"/>
              </w:rPr>
              <w:t>,</w:t>
            </w:r>
            <w:r w:rsidRPr="0057737C">
              <w:rPr>
                <w:rFonts w:ascii="Calibri" w:hAnsi="Calibri"/>
                <w:color w:val="000000"/>
              </w:rPr>
              <w:t>939</w:t>
            </w:r>
          </w:p>
        </w:tc>
        <w:tc>
          <w:tcPr>
            <w:tcW w:w="1514" w:type="dxa"/>
            <w:shd w:val="clear" w:color="auto" w:fill="auto"/>
            <w:vAlign w:val="bottom"/>
            <w:hideMark/>
          </w:tcPr>
          <w:p w14:paraId="6684D2E0" w14:textId="3E9CFDF2" w:rsidR="0057737C" w:rsidRPr="006207D1" w:rsidRDefault="0057737C" w:rsidP="0057737C">
            <w:pPr>
              <w:jc w:val="right"/>
              <w:rPr>
                <w:color w:val="000000"/>
                <w:sz w:val="20"/>
                <w:szCs w:val="20"/>
              </w:rPr>
            </w:pPr>
            <w:r w:rsidRPr="0057737C">
              <w:rPr>
                <w:rFonts w:ascii="Calibri" w:hAnsi="Calibri"/>
                <w:color w:val="000000"/>
              </w:rPr>
              <w:t>11</w:t>
            </w:r>
            <w:r>
              <w:rPr>
                <w:rFonts w:ascii="Calibri" w:hAnsi="Calibri"/>
                <w:color w:val="000000"/>
              </w:rPr>
              <w:t>,</w:t>
            </w:r>
            <w:r w:rsidRPr="0057737C">
              <w:rPr>
                <w:rFonts w:ascii="Calibri" w:hAnsi="Calibri"/>
                <w:color w:val="000000"/>
              </w:rPr>
              <w:t>756</w:t>
            </w:r>
          </w:p>
        </w:tc>
        <w:tc>
          <w:tcPr>
            <w:tcW w:w="1371" w:type="dxa"/>
            <w:shd w:val="clear" w:color="auto" w:fill="auto"/>
            <w:vAlign w:val="bottom"/>
            <w:hideMark/>
          </w:tcPr>
          <w:p w14:paraId="109ACD7E" w14:textId="1A635FE4" w:rsidR="0057737C" w:rsidRPr="004A2B0B" w:rsidRDefault="0057737C" w:rsidP="0057737C">
            <w:pPr>
              <w:jc w:val="right"/>
              <w:rPr>
                <w:color w:val="000000"/>
                <w:sz w:val="20"/>
                <w:szCs w:val="20"/>
                <w:vertAlign w:val="superscript"/>
              </w:rPr>
            </w:pPr>
            <w:r w:rsidRPr="0057737C">
              <w:rPr>
                <w:rFonts w:ascii="Calibri" w:hAnsi="Calibri"/>
                <w:color w:val="000000"/>
              </w:rPr>
              <w:t>745</w:t>
            </w:r>
            <w:r>
              <w:rPr>
                <w:rFonts w:ascii="Calibri" w:hAnsi="Calibri"/>
                <w:color w:val="000000"/>
              </w:rPr>
              <w:t>,</w:t>
            </w:r>
            <w:r w:rsidRPr="0057737C">
              <w:rPr>
                <w:rFonts w:ascii="Calibri" w:hAnsi="Calibri"/>
                <w:color w:val="000000"/>
              </w:rPr>
              <w:t>107</w:t>
            </w:r>
          </w:p>
        </w:tc>
        <w:tc>
          <w:tcPr>
            <w:tcW w:w="1080" w:type="dxa"/>
            <w:shd w:val="clear" w:color="auto" w:fill="auto"/>
            <w:vAlign w:val="bottom"/>
            <w:hideMark/>
          </w:tcPr>
          <w:p w14:paraId="1DCA26C1" w14:textId="272FC5CA" w:rsidR="0057737C" w:rsidRPr="006207D1" w:rsidRDefault="0057737C" w:rsidP="0057737C">
            <w:pPr>
              <w:jc w:val="right"/>
              <w:rPr>
                <w:color w:val="000000"/>
                <w:sz w:val="20"/>
                <w:szCs w:val="20"/>
              </w:rPr>
            </w:pPr>
            <w:r w:rsidRPr="0057737C">
              <w:rPr>
                <w:rFonts w:ascii="Calibri" w:hAnsi="Calibri"/>
                <w:color w:val="000000"/>
              </w:rPr>
              <w:t>281</w:t>
            </w:r>
          </w:p>
        </w:tc>
        <w:tc>
          <w:tcPr>
            <w:tcW w:w="1080" w:type="dxa"/>
            <w:shd w:val="clear" w:color="auto" w:fill="auto"/>
            <w:vAlign w:val="bottom"/>
            <w:hideMark/>
          </w:tcPr>
          <w:p w14:paraId="6F3D74A1" w14:textId="64606B79" w:rsidR="0057737C" w:rsidRPr="006207D1" w:rsidRDefault="0057737C" w:rsidP="0057737C">
            <w:pPr>
              <w:jc w:val="right"/>
              <w:rPr>
                <w:color w:val="000000"/>
                <w:sz w:val="20"/>
                <w:szCs w:val="20"/>
              </w:rPr>
            </w:pPr>
            <w:r w:rsidRPr="0057737C">
              <w:rPr>
                <w:rFonts w:ascii="Calibri" w:hAnsi="Calibri"/>
                <w:color w:val="000000"/>
              </w:rPr>
              <w:t>508</w:t>
            </w:r>
          </w:p>
        </w:tc>
      </w:tr>
      <w:tr w:rsidR="0057737C" w:rsidRPr="006207D1" w14:paraId="0CBF7963" w14:textId="77777777" w:rsidTr="00027321">
        <w:trPr>
          <w:trHeight w:val="314"/>
          <w:jc w:val="right"/>
        </w:trPr>
        <w:tc>
          <w:tcPr>
            <w:tcW w:w="1654" w:type="dxa"/>
            <w:shd w:val="clear" w:color="auto" w:fill="auto"/>
            <w:vAlign w:val="center"/>
            <w:hideMark/>
          </w:tcPr>
          <w:p w14:paraId="3B7BF528" w14:textId="77777777" w:rsidR="0057737C" w:rsidRPr="006207D1" w:rsidRDefault="0057737C" w:rsidP="0057737C">
            <w:pPr>
              <w:jc w:val="center"/>
              <w:rPr>
                <w:color w:val="000000"/>
                <w:sz w:val="20"/>
                <w:szCs w:val="20"/>
              </w:rPr>
            </w:pPr>
            <w:r w:rsidRPr="006207D1">
              <w:rPr>
                <w:color w:val="000000" w:themeColor="text1"/>
                <w:sz w:val="20"/>
                <w:szCs w:val="20"/>
              </w:rPr>
              <w:t>Since 2011 (XD)</w:t>
            </w:r>
          </w:p>
        </w:tc>
        <w:tc>
          <w:tcPr>
            <w:tcW w:w="1571" w:type="dxa"/>
            <w:shd w:val="clear" w:color="auto" w:fill="auto"/>
            <w:vAlign w:val="bottom"/>
            <w:hideMark/>
          </w:tcPr>
          <w:p w14:paraId="1D78CA9D" w14:textId="6D9D178A" w:rsidR="0057737C" w:rsidRPr="006207D1" w:rsidRDefault="0057737C" w:rsidP="0057737C">
            <w:pPr>
              <w:jc w:val="right"/>
              <w:rPr>
                <w:color w:val="000000"/>
                <w:sz w:val="20"/>
                <w:szCs w:val="20"/>
              </w:rPr>
            </w:pPr>
            <w:r w:rsidRPr="0057737C">
              <w:rPr>
                <w:rFonts w:ascii="Calibri" w:hAnsi="Calibri"/>
                <w:color w:val="000000"/>
              </w:rPr>
              <w:t>17</w:t>
            </w:r>
            <w:r>
              <w:rPr>
                <w:rFonts w:ascii="Calibri" w:hAnsi="Calibri"/>
                <w:color w:val="000000"/>
              </w:rPr>
              <w:t>,</w:t>
            </w:r>
            <w:r w:rsidRPr="0057737C">
              <w:rPr>
                <w:rFonts w:ascii="Calibri" w:hAnsi="Calibri"/>
                <w:color w:val="000000"/>
              </w:rPr>
              <w:t>375</w:t>
            </w:r>
          </w:p>
        </w:tc>
        <w:tc>
          <w:tcPr>
            <w:tcW w:w="1514" w:type="dxa"/>
            <w:shd w:val="clear" w:color="auto" w:fill="auto"/>
            <w:vAlign w:val="bottom"/>
            <w:hideMark/>
          </w:tcPr>
          <w:p w14:paraId="3E019CA9" w14:textId="27C70DA6" w:rsidR="0057737C" w:rsidRPr="006207D1" w:rsidRDefault="0057737C" w:rsidP="0057737C">
            <w:pPr>
              <w:jc w:val="right"/>
              <w:rPr>
                <w:color w:val="000000"/>
                <w:sz w:val="20"/>
                <w:szCs w:val="20"/>
              </w:rPr>
            </w:pPr>
            <w:r w:rsidRPr="0057737C">
              <w:rPr>
                <w:rFonts w:ascii="Calibri" w:hAnsi="Calibri"/>
                <w:color w:val="000000"/>
              </w:rPr>
              <w:t>9</w:t>
            </w:r>
            <w:r>
              <w:rPr>
                <w:rFonts w:ascii="Calibri" w:hAnsi="Calibri"/>
                <w:color w:val="000000"/>
              </w:rPr>
              <w:t>,</w:t>
            </w:r>
            <w:r w:rsidRPr="0057737C">
              <w:rPr>
                <w:rFonts w:ascii="Calibri" w:hAnsi="Calibri"/>
                <w:color w:val="000000"/>
              </w:rPr>
              <w:t>699</w:t>
            </w:r>
          </w:p>
        </w:tc>
        <w:tc>
          <w:tcPr>
            <w:tcW w:w="1371" w:type="dxa"/>
            <w:shd w:val="clear" w:color="auto" w:fill="auto"/>
            <w:vAlign w:val="bottom"/>
            <w:hideMark/>
          </w:tcPr>
          <w:p w14:paraId="5EE3DF00" w14:textId="71626559" w:rsidR="0057737C" w:rsidRPr="006207D1" w:rsidRDefault="0057737C" w:rsidP="0057737C">
            <w:pPr>
              <w:jc w:val="right"/>
              <w:rPr>
                <w:color w:val="000000"/>
                <w:sz w:val="20"/>
                <w:szCs w:val="20"/>
              </w:rPr>
            </w:pPr>
            <w:r w:rsidRPr="0057737C">
              <w:rPr>
                <w:rFonts w:ascii="Calibri" w:hAnsi="Calibri"/>
                <w:color w:val="000000"/>
              </w:rPr>
              <w:t>531</w:t>
            </w:r>
            <w:r>
              <w:rPr>
                <w:rFonts w:ascii="Calibri" w:hAnsi="Calibri"/>
                <w:color w:val="000000"/>
              </w:rPr>
              <w:t>,</w:t>
            </w:r>
            <w:r w:rsidRPr="0057737C">
              <w:rPr>
                <w:rFonts w:ascii="Calibri" w:hAnsi="Calibri"/>
                <w:color w:val="000000"/>
              </w:rPr>
              <w:t>764</w:t>
            </w:r>
          </w:p>
        </w:tc>
        <w:tc>
          <w:tcPr>
            <w:tcW w:w="1080" w:type="dxa"/>
            <w:shd w:val="clear" w:color="auto" w:fill="auto"/>
            <w:vAlign w:val="bottom"/>
            <w:hideMark/>
          </w:tcPr>
          <w:p w14:paraId="66EEFA82" w14:textId="28927CC3" w:rsidR="0057737C" w:rsidRPr="006207D1" w:rsidRDefault="0057737C" w:rsidP="0057737C">
            <w:pPr>
              <w:jc w:val="right"/>
              <w:rPr>
                <w:color w:val="000000"/>
                <w:sz w:val="20"/>
                <w:szCs w:val="20"/>
              </w:rPr>
            </w:pPr>
            <w:r w:rsidRPr="0057737C">
              <w:rPr>
                <w:rFonts w:ascii="Calibri" w:hAnsi="Calibri"/>
                <w:color w:val="000000"/>
              </w:rPr>
              <w:t>233</w:t>
            </w:r>
          </w:p>
        </w:tc>
        <w:tc>
          <w:tcPr>
            <w:tcW w:w="1080" w:type="dxa"/>
            <w:shd w:val="clear" w:color="auto" w:fill="auto"/>
            <w:vAlign w:val="bottom"/>
            <w:hideMark/>
          </w:tcPr>
          <w:p w14:paraId="790D4290" w14:textId="3860BC49" w:rsidR="0057737C" w:rsidRPr="006207D1" w:rsidRDefault="0057737C" w:rsidP="0057737C">
            <w:pPr>
              <w:jc w:val="right"/>
              <w:rPr>
                <w:color w:val="000000"/>
                <w:sz w:val="20"/>
                <w:szCs w:val="20"/>
              </w:rPr>
            </w:pPr>
            <w:r w:rsidRPr="0057737C">
              <w:rPr>
                <w:rFonts w:ascii="Calibri" w:hAnsi="Calibri"/>
                <w:color w:val="000000"/>
              </w:rPr>
              <w:t>405</w:t>
            </w:r>
          </w:p>
        </w:tc>
      </w:tr>
      <w:tr w:rsidR="0057737C" w:rsidRPr="006207D1" w14:paraId="0F614F74" w14:textId="77777777" w:rsidTr="00027321">
        <w:trPr>
          <w:trHeight w:val="314"/>
          <w:jc w:val="right"/>
        </w:trPr>
        <w:tc>
          <w:tcPr>
            <w:tcW w:w="1654" w:type="dxa"/>
            <w:shd w:val="clear" w:color="auto" w:fill="auto"/>
            <w:vAlign w:val="center"/>
          </w:tcPr>
          <w:p w14:paraId="28A0942C" w14:textId="77777777" w:rsidR="0057737C" w:rsidRDefault="0057737C" w:rsidP="0057737C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Change since last quarter</w:t>
            </w:r>
          </w:p>
          <w:p w14:paraId="33612138" w14:textId="77777777" w:rsidR="0057737C" w:rsidRPr="006207D1" w:rsidRDefault="0057737C" w:rsidP="0057737C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(TG+XD)</w:t>
            </w:r>
          </w:p>
        </w:tc>
        <w:tc>
          <w:tcPr>
            <w:tcW w:w="1571" w:type="dxa"/>
            <w:shd w:val="clear" w:color="auto" w:fill="auto"/>
            <w:vAlign w:val="bottom"/>
          </w:tcPr>
          <w:p w14:paraId="304434E4" w14:textId="2A56C32E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</w:t>
            </w:r>
            <w:r w:rsidRPr="0057737C">
              <w:rPr>
                <w:rFonts w:ascii="Calibri" w:hAnsi="Calibri"/>
                <w:color w:val="000000"/>
              </w:rPr>
              <w:t>499</w:t>
            </w:r>
          </w:p>
        </w:tc>
        <w:tc>
          <w:tcPr>
            <w:tcW w:w="1514" w:type="dxa"/>
            <w:shd w:val="clear" w:color="auto" w:fill="auto"/>
            <w:vAlign w:val="bottom"/>
          </w:tcPr>
          <w:p w14:paraId="43ADD69C" w14:textId="26E047AF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</w:t>
            </w:r>
            <w:r w:rsidRPr="0057737C">
              <w:rPr>
                <w:rFonts w:ascii="Calibri" w:hAnsi="Calibri"/>
                <w:color w:val="000000"/>
              </w:rPr>
              <w:t>422</w:t>
            </w:r>
          </w:p>
        </w:tc>
        <w:tc>
          <w:tcPr>
            <w:tcW w:w="1371" w:type="dxa"/>
            <w:shd w:val="clear" w:color="auto" w:fill="auto"/>
            <w:vAlign w:val="bottom"/>
          </w:tcPr>
          <w:p w14:paraId="7F0EF8F5" w14:textId="55536054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</w:t>
            </w:r>
            <w:r w:rsidRPr="0057737C">
              <w:rPr>
                <w:rFonts w:ascii="Calibri" w:hAnsi="Calibri"/>
                <w:color w:val="000000"/>
              </w:rPr>
              <w:t>35</w:t>
            </w:r>
            <w:r>
              <w:rPr>
                <w:rFonts w:ascii="Calibri" w:hAnsi="Calibri"/>
                <w:color w:val="000000"/>
              </w:rPr>
              <w:t>,</w:t>
            </w:r>
            <w:r w:rsidRPr="0057737C">
              <w:rPr>
                <w:rFonts w:ascii="Calibri" w:hAnsi="Calibri"/>
                <w:color w:val="000000"/>
              </w:rPr>
              <w:t>766</w:t>
            </w:r>
          </w:p>
        </w:tc>
        <w:tc>
          <w:tcPr>
            <w:tcW w:w="1080" w:type="dxa"/>
            <w:shd w:val="clear" w:color="auto" w:fill="auto"/>
            <w:vAlign w:val="bottom"/>
          </w:tcPr>
          <w:p w14:paraId="7C71CA7B" w14:textId="7AA36A5A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</w:t>
            </w:r>
            <w:r w:rsidRPr="0057737C"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1080" w:type="dxa"/>
            <w:shd w:val="clear" w:color="auto" w:fill="auto"/>
            <w:vAlign w:val="bottom"/>
          </w:tcPr>
          <w:p w14:paraId="3471DE13" w14:textId="6A33F7DA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</w:t>
            </w:r>
            <w:r w:rsidRPr="0057737C">
              <w:rPr>
                <w:rFonts w:ascii="Calibri" w:hAnsi="Calibri"/>
                <w:color w:val="000000"/>
              </w:rPr>
              <w:t>12</w:t>
            </w:r>
          </w:p>
        </w:tc>
      </w:tr>
      <w:tr w:rsidR="0057737C" w:rsidRPr="006207D1" w14:paraId="4C3294FC" w14:textId="77777777" w:rsidTr="00027321">
        <w:trPr>
          <w:trHeight w:val="314"/>
          <w:jc w:val="right"/>
        </w:trPr>
        <w:tc>
          <w:tcPr>
            <w:tcW w:w="1654" w:type="dxa"/>
            <w:shd w:val="clear" w:color="auto" w:fill="auto"/>
            <w:vAlign w:val="center"/>
          </w:tcPr>
          <w:p w14:paraId="2331D2BC" w14:textId="77777777" w:rsidR="0057737C" w:rsidRDefault="0057737C" w:rsidP="0057737C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Change since last year</w:t>
            </w:r>
          </w:p>
          <w:p w14:paraId="496E359C" w14:textId="77777777" w:rsidR="0057737C" w:rsidRPr="006207D1" w:rsidRDefault="0057737C" w:rsidP="0057737C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(TG+XD)</w:t>
            </w:r>
          </w:p>
        </w:tc>
        <w:tc>
          <w:tcPr>
            <w:tcW w:w="1571" w:type="dxa"/>
            <w:shd w:val="clear" w:color="auto" w:fill="auto"/>
            <w:vAlign w:val="bottom"/>
          </w:tcPr>
          <w:p w14:paraId="240B8E2C" w14:textId="7208D206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+2,098</w:t>
            </w:r>
          </w:p>
        </w:tc>
        <w:tc>
          <w:tcPr>
            <w:tcW w:w="1514" w:type="dxa"/>
            <w:shd w:val="clear" w:color="auto" w:fill="auto"/>
            <w:vAlign w:val="bottom"/>
          </w:tcPr>
          <w:p w14:paraId="6A59E20F" w14:textId="576E2ECF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+1,703</w:t>
            </w:r>
          </w:p>
        </w:tc>
        <w:tc>
          <w:tcPr>
            <w:tcW w:w="1371" w:type="dxa"/>
            <w:shd w:val="clear" w:color="auto" w:fill="auto"/>
            <w:vAlign w:val="bottom"/>
          </w:tcPr>
          <w:p w14:paraId="15423C82" w14:textId="4C6DF3DB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+139,172</w:t>
            </w:r>
          </w:p>
        </w:tc>
        <w:tc>
          <w:tcPr>
            <w:tcW w:w="1080" w:type="dxa"/>
            <w:shd w:val="clear" w:color="auto" w:fill="auto"/>
            <w:vAlign w:val="bottom"/>
          </w:tcPr>
          <w:p w14:paraId="2917FFA6" w14:textId="3130FD0A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+26</w:t>
            </w:r>
          </w:p>
        </w:tc>
        <w:tc>
          <w:tcPr>
            <w:tcW w:w="1080" w:type="dxa"/>
            <w:shd w:val="clear" w:color="auto" w:fill="auto"/>
            <w:vAlign w:val="bottom"/>
          </w:tcPr>
          <w:p w14:paraId="18B75488" w14:textId="3F68325D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+48</w:t>
            </w:r>
          </w:p>
        </w:tc>
      </w:tr>
      <w:tr w:rsidR="0057737C" w:rsidRPr="00876AEB" w14:paraId="1C8EED13" w14:textId="77777777" w:rsidTr="00027321">
        <w:trPr>
          <w:trHeight w:val="314"/>
          <w:jc w:val="right"/>
        </w:trPr>
        <w:tc>
          <w:tcPr>
            <w:tcW w:w="1654" w:type="dxa"/>
            <w:shd w:val="clear" w:color="auto" w:fill="auto"/>
            <w:vAlign w:val="center"/>
          </w:tcPr>
          <w:p w14:paraId="4B8A6E7F" w14:textId="77777777" w:rsidR="0057737C" w:rsidRDefault="0057737C" w:rsidP="0057737C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Change since last quarter</w:t>
            </w:r>
          </w:p>
          <w:p w14:paraId="18BDEE02" w14:textId="77777777" w:rsidR="0057737C" w:rsidRDefault="0057737C" w:rsidP="0057737C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(XD)</w:t>
            </w:r>
          </w:p>
        </w:tc>
        <w:tc>
          <w:tcPr>
            <w:tcW w:w="1571" w:type="dxa"/>
            <w:shd w:val="clear" w:color="auto" w:fill="auto"/>
            <w:vAlign w:val="bottom"/>
          </w:tcPr>
          <w:p w14:paraId="49607D78" w14:textId="66B85B75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</w:t>
            </w:r>
            <w:r w:rsidRPr="0057737C">
              <w:rPr>
                <w:rFonts w:ascii="Calibri" w:hAnsi="Calibri"/>
                <w:color w:val="000000"/>
              </w:rPr>
              <w:t>497</w:t>
            </w:r>
          </w:p>
        </w:tc>
        <w:tc>
          <w:tcPr>
            <w:tcW w:w="1514" w:type="dxa"/>
            <w:shd w:val="clear" w:color="auto" w:fill="auto"/>
            <w:vAlign w:val="bottom"/>
          </w:tcPr>
          <w:p w14:paraId="15BA4E05" w14:textId="49997B9C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</w:t>
            </w:r>
            <w:r w:rsidRPr="0057737C">
              <w:rPr>
                <w:rFonts w:ascii="Calibri" w:hAnsi="Calibri"/>
                <w:color w:val="000000"/>
              </w:rPr>
              <w:t>415</w:t>
            </w:r>
          </w:p>
        </w:tc>
        <w:tc>
          <w:tcPr>
            <w:tcW w:w="1371" w:type="dxa"/>
            <w:shd w:val="clear" w:color="auto" w:fill="auto"/>
            <w:vAlign w:val="bottom"/>
          </w:tcPr>
          <w:p w14:paraId="274FDF19" w14:textId="34532DFD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</w:t>
            </w:r>
            <w:r w:rsidRPr="0057737C">
              <w:rPr>
                <w:rFonts w:ascii="Calibri" w:hAnsi="Calibri"/>
                <w:color w:val="000000"/>
              </w:rPr>
              <w:t>32</w:t>
            </w:r>
            <w:r>
              <w:rPr>
                <w:rFonts w:ascii="Calibri" w:hAnsi="Calibri"/>
                <w:color w:val="000000"/>
              </w:rPr>
              <w:t>,</w:t>
            </w:r>
            <w:r w:rsidRPr="0057737C">
              <w:rPr>
                <w:rFonts w:ascii="Calibri" w:hAnsi="Calibri"/>
                <w:color w:val="000000"/>
              </w:rPr>
              <w:t>312</w:t>
            </w:r>
          </w:p>
        </w:tc>
        <w:tc>
          <w:tcPr>
            <w:tcW w:w="1080" w:type="dxa"/>
            <w:shd w:val="clear" w:color="auto" w:fill="auto"/>
            <w:vAlign w:val="bottom"/>
          </w:tcPr>
          <w:p w14:paraId="3E2E8E49" w14:textId="76181E18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</w:t>
            </w:r>
            <w:r w:rsidRPr="0057737C"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1080" w:type="dxa"/>
            <w:shd w:val="clear" w:color="auto" w:fill="auto"/>
            <w:vAlign w:val="bottom"/>
          </w:tcPr>
          <w:p w14:paraId="1B1555F2" w14:textId="16478119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</w:t>
            </w:r>
            <w:r w:rsidRPr="0057737C">
              <w:rPr>
                <w:rFonts w:ascii="Calibri" w:hAnsi="Calibri"/>
                <w:color w:val="000000"/>
              </w:rPr>
              <w:t>14</w:t>
            </w:r>
          </w:p>
        </w:tc>
      </w:tr>
      <w:tr w:rsidR="0057737C" w:rsidRPr="006207D1" w14:paraId="79E529C3" w14:textId="77777777" w:rsidTr="00027321">
        <w:trPr>
          <w:trHeight w:val="314"/>
          <w:jc w:val="right"/>
        </w:trPr>
        <w:tc>
          <w:tcPr>
            <w:tcW w:w="1654" w:type="dxa"/>
            <w:shd w:val="clear" w:color="auto" w:fill="auto"/>
            <w:vAlign w:val="center"/>
          </w:tcPr>
          <w:p w14:paraId="3229A24F" w14:textId="41E0EF3C" w:rsidR="0057737C" w:rsidRPr="004A2B0B" w:rsidRDefault="0057737C" w:rsidP="0057737C">
            <w:pPr>
              <w:jc w:val="center"/>
              <w:rPr>
                <w:color w:val="000000" w:themeColor="text1"/>
                <w:sz w:val="20"/>
                <w:szCs w:val="20"/>
                <w:vertAlign w:val="superscript"/>
              </w:rPr>
            </w:pPr>
            <w:r>
              <w:rPr>
                <w:color w:val="000000" w:themeColor="text1"/>
                <w:sz w:val="20"/>
                <w:szCs w:val="20"/>
              </w:rPr>
              <w:t>Change from a year ago</w:t>
            </w:r>
          </w:p>
          <w:p w14:paraId="02447137" w14:textId="77777777" w:rsidR="0057737C" w:rsidRDefault="0057737C" w:rsidP="0057737C">
            <w:pPr>
              <w:jc w:val="center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(XD)</w:t>
            </w:r>
          </w:p>
        </w:tc>
        <w:tc>
          <w:tcPr>
            <w:tcW w:w="1571" w:type="dxa"/>
            <w:shd w:val="clear" w:color="auto" w:fill="auto"/>
            <w:vAlign w:val="bottom"/>
          </w:tcPr>
          <w:p w14:paraId="16B80D85" w14:textId="6FE82462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+2,080</w:t>
            </w:r>
          </w:p>
        </w:tc>
        <w:tc>
          <w:tcPr>
            <w:tcW w:w="1514" w:type="dxa"/>
            <w:shd w:val="clear" w:color="auto" w:fill="auto"/>
            <w:vAlign w:val="bottom"/>
          </w:tcPr>
          <w:p w14:paraId="2DEB662F" w14:textId="29BC623A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+1,676</w:t>
            </w:r>
          </w:p>
        </w:tc>
        <w:tc>
          <w:tcPr>
            <w:tcW w:w="1371" w:type="dxa"/>
            <w:shd w:val="clear" w:color="auto" w:fill="auto"/>
            <w:vAlign w:val="bottom"/>
          </w:tcPr>
          <w:p w14:paraId="3ABBF2C4" w14:textId="17B9DEBF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+124,521</w:t>
            </w:r>
          </w:p>
        </w:tc>
        <w:tc>
          <w:tcPr>
            <w:tcW w:w="1080" w:type="dxa"/>
            <w:shd w:val="clear" w:color="auto" w:fill="auto"/>
            <w:vAlign w:val="bottom"/>
          </w:tcPr>
          <w:p w14:paraId="575D0CF0" w14:textId="50A30E11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+33</w:t>
            </w:r>
          </w:p>
        </w:tc>
        <w:tc>
          <w:tcPr>
            <w:tcW w:w="1080" w:type="dxa"/>
            <w:shd w:val="clear" w:color="auto" w:fill="auto"/>
            <w:vAlign w:val="bottom"/>
          </w:tcPr>
          <w:p w14:paraId="27C634D2" w14:textId="1A5F835C" w:rsidR="0057737C" w:rsidRPr="00876AEB" w:rsidRDefault="0057737C" w:rsidP="0057737C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+56</w:t>
            </w:r>
          </w:p>
        </w:tc>
      </w:tr>
      <w:tr w:rsidR="00A22AAC" w:rsidRPr="006207D1" w14:paraId="37FF29E6" w14:textId="77777777" w:rsidTr="00027321">
        <w:trPr>
          <w:trHeight w:val="314"/>
          <w:jc w:val="right"/>
        </w:trPr>
        <w:tc>
          <w:tcPr>
            <w:tcW w:w="8270" w:type="dxa"/>
            <w:gridSpan w:val="6"/>
            <w:shd w:val="clear" w:color="auto" w:fill="auto"/>
            <w:vAlign w:val="center"/>
          </w:tcPr>
          <w:p w14:paraId="0F5AD7CE" w14:textId="77777777" w:rsidR="00A22AAC" w:rsidRDefault="00EB5838" w:rsidP="00EB5838">
            <w:pPr>
              <w:ind w:left="1440"/>
              <w:rPr>
                <w:color w:val="000000" w:themeColor="text1"/>
                <w:sz w:val="18"/>
              </w:rPr>
            </w:pPr>
            <w:r>
              <w:rPr>
                <w:color w:val="000000" w:themeColor="text1"/>
                <w:sz w:val="18"/>
              </w:rPr>
              <w:t xml:space="preserve">                              </w:t>
            </w:r>
            <w:r w:rsidRPr="00EB5838">
              <w:rPr>
                <w:color w:val="000000" w:themeColor="text1"/>
                <w:sz w:val="18"/>
              </w:rPr>
              <w:t>*</w:t>
            </w:r>
            <w:r>
              <w:rPr>
                <w:color w:val="000000" w:themeColor="text1"/>
                <w:sz w:val="18"/>
              </w:rPr>
              <w:t xml:space="preserve"> </w:t>
            </w:r>
            <w:r w:rsidR="00A22AAC" w:rsidRPr="00EB5838">
              <w:rPr>
                <w:color w:val="000000" w:themeColor="text1"/>
                <w:sz w:val="18"/>
              </w:rPr>
              <w:t>Data updated as of April 30</w:t>
            </w:r>
            <w:r w:rsidR="00A22AAC" w:rsidRPr="00EB5838">
              <w:rPr>
                <w:color w:val="000000" w:themeColor="text1"/>
                <w:sz w:val="18"/>
                <w:vertAlign w:val="superscript"/>
              </w:rPr>
              <w:t>th</w:t>
            </w:r>
            <w:r w:rsidR="00A22AAC" w:rsidRPr="00EB5838">
              <w:rPr>
                <w:color w:val="000000" w:themeColor="text1"/>
                <w:sz w:val="18"/>
              </w:rPr>
              <w:t>, 202</w:t>
            </w:r>
            <w:r w:rsidR="009E7A65">
              <w:rPr>
                <w:color w:val="000000" w:themeColor="text1"/>
                <w:sz w:val="18"/>
              </w:rPr>
              <w:t>1</w:t>
            </w:r>
          </w:p>
          <w:p w14:paraId="678016FF" w14:textId="79F11E65" w:rsidR="0062486D" w:rsidRPr="00EB5838" w:rsidRDefault="0062486D" w:rsidP="0062486D">
            <w:pPr>
              <w:rPr>
                <w:color w:val="000000" w:themeColor="text1"/>
                <w:sz w:val="18"/>
              </w:rPr>
            </w:pPr>
            <w:r w:rsidRPr="004A2B0B">
              <w:rPr>
                <w:color w:val="000000" w:themeColor="text1"/>
                <w:sz w:val="18"/>
                <w:szCs w:val="20"/>
              </w:rPr>
              <w:t>Note</w:t>
            </w:r>
            <w:r>
              <w:rPr>
                <w:color w:val="000000" w:themeColor="text1"/>
                <w:sz w:val="18"/>
                <w:szCs w:val="20"/>
              </w:rPr>
              <w:t xml:space="preserve">: </w:t>
            </w:r>
            <w:r w:rsidRPr="004A2B0B">
              <w:rPr>
                <w:color w:val="000000" w:themeColor="text1"/>
                <w:sz w:val="18"/>
                <w:szCs w:val="20"/>
              </w:rPr>
              <w:t>Th</w:t>
            </w:r>
            <w:r>
              <w:rPr>
                <w:color w:val="000000" w:themeColor="text1"/>
                <w:sz w:val="18"/>
                <w:szCs w:val="20"/>
              </w:rPr>
              <w:t xml:space="preserve">e quarterly comparison was against Jan 31, 2021. The </w:t>
            </w:r>
            <w:r w:rsidRPr="004A2B0B">
              <w:rPr>
                <w:color w:val="000000" w:themeColor="text1"/>
                <w:sz w:val="18"/>
                <w:szCs w:val="20"/>
              </w:rPr>
              <w:t xml:space="preserve">yearly comparison was against </w:t>
            </w:r>
            <w:r>
              <w:rPr>
                <w:color w:val="000000" w:themeColor="text1"/>
                <w:sz w:val="18"/>
                <w:szCs w:val="20"/>
              </w:rPr>
              <w:t>April 30,</w:t>
            </w:r>
            <w:r w:rsidRPr="004A2B0B">
              <w:rPr>
                <w:color w:val="000000" w:themeColor="text1"/>
                <w:sz w:val="18"/>
                <w:szCs w:val="20"/>
              </w:rPr>
              <w:t xml:space="preserve"> 20</w:t>
            </w:r>
            <w:r>
              <w:rPr>
                <w:color w:val="000000" w:themeColor="text1"/>
                <w:sz w:val="18"/>
                <w:szCs w:val="20"/>
              </w:rPr>
              <w:t>20</w:t>
            </w:r>
            <w:r w:rsidRPr="004A2B0B">
              <w:rPr>
                <w:color w:val="000000" w:themeColor="text1"/>
                <w:sz w:val="18"/>
                <w:szCs w:val="20"/>
              </w:rPr>
              <w:t>.</w:t>
            </w:r>
          </w:p>
        </w:tc>
      </w:tr>
    </w:tbl>
    <w:p w14:paraId="52F740A8" w14:textId="77777777" w:rsidR="00A22AAC" w:rsidRDefault="00A22AAC" w:rsidP="00A22AAC">
      <w:pPr>
        <w:jc w:val="both"/>
      </w:pPr>
    </w:p>
    <w:p w14:paraId="727860A5" w14:textId="77777777" w:rsidR="00A22AAC" w:rsidRDefault="00A22AAC" w:rsidP="00A22AAC">
      <w:pPr>
        <w:pStyle w:val="Heading3"/>
      </w:pPr>
      <w:bookmarkStart w:id="2" w:name="_Toc283456925"/>
      <w:r>
        <w:lastRenderedPageBreak/>
        <w:t>Historical Trend</w:t>
      </w:r>
      <w:bookmarkEnd w:id="2"/>
    </w:p>
    <w:p w14:paraId="0F207E33" w14:textId="77777777" w:rsidR="00A22AAC" w:rsidRDefault="00A22AAC" w:rsidP="00A22AAC">
      <w:pPr>
        <w:ind w:left="576"/>
        <w:jc w:val="both"/>
      </w:pPr>
      <w:r>
        <w:t>Figure SIM-2 and SIM-3 show the increasing quarterly trend regarding publications, citations, and other impact metrics such as H-Index and G-Index. Both suggest the increasing impact of XSEDE during the past years, based on verified unique publication count; citation count; H-index and G-index.</w:t>
      </w:r>
    </w:p>
    <w:p w14:paraId="6C961F80" w14:textId="5D0AC846" w:rsidR="00A22AAC" w:rsidRDefault="00707F3F" w:rsidP="00A22AAC">
      <w:pPr>
        <w:jc w:val="center"/>
      </w:pPr>
      <w:r>
        <w:rPr>
          <w:noProof/>
        </w:rPr>
        <w:drawing>
          <wp:inline distT="0" distB="0" distL="0" distR="0" wp14:anchorId="01B1FB00" wp14:editId="53F65B64">
            <wp:extent cx="5486400" cy="2580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5B73" w14:textId="77777777" w:rsidR="00A22AAC" w:rsidRDefault="00A22AAC" w:rsidP="00A22AAC">
      <w:pPr>
        <w:ind w:left="540"/>
        <w:jc w:val="both"/>
        <w:rPr>
          <w:i/>
        </w:rPr>
      </w:pPr>
      <w:r>
        <w:rPr>
          <w:i/>
        </w:rPr>
        <w:t xml:space="preserve">Figure SIM-2. Counts of all externally verified publications for TG/XD (since 2005) and XD (since 2011) and of those being cited at least 10 times (i10-index). </w:t>
      </w:r>
    </w:p>
    <w:p w14:paraId="71181E9F" w14:textId="77777777" w:rsidR="00A22AAC" w:rsidRDefault="00A22AAC" w:rsidP="00A22AAC">
      <w:pPr>
        <w:ind w:left="540"/>
        <w:jc w:val="both"/>
        <w:rPr>
          <w:i/>
        </w:rPr>
      </w:pPr>
    </w:p>
    <w:p w14:paraId="455B9D6B" w14:textId="1D5B6B6E" w:rsidR="00A22AAC" w:rsidRDefault="00707F3F" w:rsidP="00A22AAC">
      <w:pPr>
        <w:jc w:val="center"/>
      </w:pPr>
      <w:r>
        <w:rPr>
          <w:noProof/>
        </w:rPr>
        <w:drawing>
          <wp:inline distT="0" distB="0" distL="0" distR="0" wp14:anchorId="57352EBB" wp14:editId="31490B2E">
            <wp:extent cx="5486400" cy="25203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DBD3" w14:textId="77777777" w:rsidR="00A22AAC" w:rsidRPr="001B0862" w:rsidRDefault="00A22AAC" w:rsidP="00A22AAC">
      <w:pPr>
        <w:ind w:left="540"/>
        <w:jc w:val="both"/>
        <w:rPr>
          <w:i/>
        </w:rPr>
      </w:pPr>
      <w:r>
        <w:rPr>
          <w:i/>
        </w:rPr>
        <w:t>Figure SIM-3. Accumulated citation count (line, left axis) as well as h-index and g-index metrics (bar, right axis) for TG/XD (since 2005) and XD (since 2011).</w:t>
      </w:r>
    </w:p>
    <w:p w14:paraId="4BF69516" w14:textId="38172E06" w:rsidR="0073113A" w:rsidRDefault="0073113A"/>
    <w:p w14:paraId="214A1A40" w14:textId="59A4078E" w:rsidR="00991C97" w:rsidRDefault="00991C97" w:rsidP="00991C97">
      <w:pPr>
        <w:pStyle w:val="Heading3"/>
      </w:pPr>
      <w:r>
        <w:t>Top FOS trend analysis based on historical data</w:t>
      </w:r>
    </w:p>
    <w:p w14:paraId="32DDBC6D" w14:textId="3C67B1E4" w:rsidR="00991C97" w:rsidRDefault="00991C97" w:rsidP="00991C97">
      <w:pPr>
        <w:ind w:left="576"/>
      </w:pPr>
      <w:r>
        <w:t xml:space="preserve">We have conducted some new historical trend analysis based on the data we have been collecting. Figure </w:t>
      </w:r>
      <w:r w:rsidR="00532B46">
        <w:rPr>
          <w:i/>
        </w:rPr>
        <w:t>SIM-4</w:t>
      </w:r>
      <w:r>
        <w:t xml:space="preserve"> and </w:t>
      </w:r>
      <w:r w:rsidR="00532B46">
        <w:rPr>
          <w:i/>
        </w:rPr>
        <w:t>SIM-5</w:t>
      </w:r>
      <w:r>
        <w:t xml:space="preserve"> show the Top 20 Field of Study by number of publications and citation count for the past 5 years. The data point for each year was the snapshot at end of that year.</w:t>
      </w:r>
    </w:p>
    <w:p w14:paraId="7F927DC2" w14:textId="77777777" w:rsidR="00991C97" w:rsidRDefault="00991C97" w:rsidP="00991C97">
      <w:pPr>
        <w:ind w:left="576"/>
        <w:jc w:val="center"/>
      </w:pPr>
      <w:r>
        <w:rPr>
          <w:noProof/>
        </w:rPr>
        <w:lastRenderedPageBreak/>
        <w:drawing>
          <wp:inline distT="0" distB="0" distL="0" distR="0" wp14:anchorId="683673C3" wp14:editId="0C03EB84">
            <wp:extent cx="4574911" cy="3327400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178" cy="333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FA7F" w14:textId="71205C74" w:rsidR="00991C97" w:rsidRPr="00DB6822" w:rsidRDefault="00532B46" w:rsidP="00DB6822">
      <w:pPr>
        <w:ind w:left="540"/>
        <w:jc w:val="both"/>
        <w:rPr>
          <w:i/>
        </w:rPr>
      </w:pPr>
      <w:r>
        <w:rPr>
          <w:i/>
        </w:rPr>
        <w:t xml:space="preserve">Figure SIM-4. </w:t>
      </w:r>
      <w:r w:rsidR="00991C97" w:rsidRPr="00DB6822">
        <w:rPr>
          <w:i/>
        </w:rPr>
        <w:t xml:space="preserve">Top 20 Field of Study with </w:t>
      </w:r>
      <w:r w:rsidRPr="00DB6822">
        <w:rPr>
          <w:i/>
        </w:rPr>
        <w:t>the greatest</w:t>
      </w:r>
      <w:r w:rsidR="00991C97" w:rsidRPr="00DB6822">
        <w:rPr>
          <w:i/>
        </w:rPr>
        <w:t xml:space="preserve"> number of publications by year</w:t>
      </w:r>
    </w:p>
    <w:p w14:paraId="2809BAF2" w14:textId="77777777" w:rsidR="00991C97" w:rsidRDefault="00991C97" w:rsidP="00991C97">
      <w:pPr>
        <w:ind w:left="576"/>
        <w:jc w:val="center"/>
      </w:pPr>
      <w:r>
        <w:rPr>
          <w:noProof/>
        </w:rPr>
        <w:drawing>
          <wp:inline distT="0" distB="0" distL="0" distR="0" wp14:anchorId="0D6EDB1B" wp14:editId="70D85E77">
            <wp:extent cx="4574540" cy="3327131"/>
            <wp:effectExtent l="0" t="0" r="0" b="635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4289" cy="335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A378" w14:textId="23EE3BBA" w:rsidR="00991C97" w:rsidRPr="00DB6822" w:rsidRDefault="00532B46" w:rsidP="00DB6822">
      <w:pPr>
        <w:ind w:left="540"/>
        <w:jc w:val="both"/>
        <w:rPr>
          <w:i/>
        </w:rPr>
      </w:pPr>
      <w:r>
        <w:rPr>
          <w:i/>
        </w:rPr>
        <w:t>Figure SIM-5</w:t>
      </w:r>
      <w:r w:rsidR="00991C97" w:rsidRPr="00DB6822">
        <w:rPr>
          <w:i/>
        </w:rPr>
        <w:t>. Top 20 Field of Study with most citations received by year</w:t>
      </w:r>
    </w:p>
    <w:p w14:paraId="05762245" w14:textId="77777777" w:rsidR="00DB6822" w:rsidRDefault="00DB6822" w:rsidP="00991C97">
      <w:pPr>
        <w:ind w:left="576"/>
        <w:jc w:val="center"/>
      </w:pPr>
    </w:p>
    <w:p w14:paraId="286CE5FF" w14:textId="5D35BFF0" w:rsidR="00991C97" w:rsidRDefault="00991C97" w:rsidP="00991C97">
      <w:pPr>
        <w:ind w:left="576"/>
      </w:pPr>
      <w:r>
        <w:t xml:space="preserve">Figure </w:t>
      </w:r>
      <w:r w:rsidR="00532B46">
        <w:rPr>
          <w:i/>
        </w:rPr>
        <w:t>SIM-4</w:t>
      </w:r>
      <w:r>
        <w:t xml:space="preserve"> shows the new publication increasing trend for different FOS. E.g., We see consistent increasing for the top 3 FOS, Biophysics, Material Science, and Chemistry, while the Molecular Bioscience almost stayed flat. In Figure </w:t>
      </w:r>
      <w:r w:rsidR="00532B46">
        <w:rPr>
          <w:i/>
        </w:rPr>
        <w:t>SIM-5</w:t>
      </w:r>
      <w:r>
        <w:t xml:space="preserve"> we see that the Material Science has gained significantly on the citations, which seems reflecting well that that has been a hot research field recently.</w:t>
      </w:r>
    </w:p>
    <w:p w14:paraId="74C03256" w14:textId="3E09C47E" w:rsidR="00991C97" w:rsidRDefault="00991C97" w:rsidP="00991C97">
      <w:pPr>
        <w:ind w:left="576"/>
        <w:jc w:val="center"/>
      </w:pPr>
    </w:p>
    <w:p w14:paraId="0C58111F" w14:textId="21CA42BD" w:rsidR="00991C97" w:rsidRDefault="00991C97" w:rsidP="00991C97">
      <w:pPr>
        <w:pStyle w:val="Heading3"/>
      </w:pPr>
      <w:r>
        <w:t>Updated analysis with the new Semantic Scholar dataset</w:t>
      </w:r>
    </w:p>
    <w:p w14:paraId="299579C0" w14:textId="77777777" w:rsidR="00991C97" w:rsidRDefault="00991C97" w:rsidP="00991C97">
      <w:pPr>
        <w:ind w:left="576"/>
      </w:pPr>
    </w:p>
    <w:p w14:paraId="666C8A06" w14:textId="47353134" w:rsidR="00991C97" w:rsidRDefault="00991C97" w:rsidP="00991C97">
      <w:pPr>
        <w:ind w:left="576"/>
      </w:pPr>
      <w:r>
        <w:t xml:space="preserve">We have been exploring other data sources to be integrated into our data integration and analytical framework. Recently we have assessed the use of Semantic Scholar, a public publication dataset, in the use of our analysis. This dataset has over 186 million publication records (as of end of February 2021) which was published as a series of compressed text files. We have developed the data injection and integration workflow (Figure </w:t>
      </w:r>
      <w:r w:rsidR="00532B46">
        <w:rPr>
          <w:i/>
        </w:rPr>
        <w:t>SIM-6</w:t>
      </w:r>
      <w:r>
        <w:t xml:space="preserve">) and was able to use this dataset to carry on updated analysis of </w:t>
      </w:r>
      <w:proofErr w:type="gramStart"/>
      <w:r>
        <w:t>peers</w:t>
      </w:r>
      <w:proofErr w:type="gramEnd"/>
      <w:r>
        <w:t xml:space="preserve"> comparison and Field Weighted Citation Index (FWCI) analysis. We are showing the results in the following subsections.</w:t>
      </w:r>
    </w:p>
    <w:p w14:paraId="6CF7E8C3" w14:textId="77777777" w:rsidR="00991C97" w:rsidRDefault="00991C97" w:rsidP="00991C97">
      <w:pPr>
        <w:ind w:left="576"/>
        <w:jc w:val="center"/>
      </w:pPr>
      <w:r>
        <w:rPr>
          <w:noProof/>
        </w:rPr>
        <w:drawing>
          <wp:inline distT="0" distB="0" distL="0" distR="0" wp14:anchorId="37ACFC42" wp14:editId="025641BA">
            <wp:extent cx="4936067" cy="1852168"/>
            <wp:effectExtent l="0" t="0" r="444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7166" cy="18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5FD8" w14:textId="59DB34A5" w:rsidR="00991C97" w:rsidRDefault="00532B46" w:rsidP="00DB6822">
      <w:pPr>
        <w:ind w:left="540"/>
        <w:jc w:val="both"/>
      </w:pPr>
      <w:r>
        <w:rPr>
          <w:i/>
        </w:rPr>
        <w:t xml:space="preserve">Figure SIM-6. </w:t>
      </w:r>
      <w:r w:rsidR="00991C97" w:rsidRPr="00DB6822">
        <w:rPr>
          <w:i/>
        </w:rPr>
        <w:t>Semantic Scholar dataset integration and analysis workflow</w:t>
      </w:r>
    </w:p>
    <w:p w14:paraId="65CEEDF5" w14:textId="676F20F4" w:rsidR="00991C97" w:rsidRDefault="00991C97" w:rsidP="00991C97">
      <w:pPr>
        <w:ind w:left="576"/>
      </w:pPr>
    </w:p>
    <w:p w14:paraId="4E8BC005" w14:textId="78E9B546" w:rsidR="00991C97" w:rsidRDefault="00991C97" w:rsidP="00991C97">
      <w:pPr>
        <w:pStyle w:val="Heading4"/>
        <w:numPr>
          <w:ilvl w:val="3"/>
          <w:numId w:val="9"/>
        </w:numPr>
      </w:pPr>
      <w:proofErr w:type="gramStart"/>
      <w:r>
        <w:t>Peers</w:t>
      </w:r>
      <w:proofErr w:type="gramEnd"/>
      <w:r>
        <w:t xml:space="preserve"> comparison results</w:t>
      </w:r>
    </w:p>
    <w:p w14:paraId="62526EDC" w14:textId="00D507A9" w:rsidR="00991C97" w:rsidRPr="006C7FE9" w:rsidRDefault="00991C97" w:rsidP="00991C97">
      <w:pPr>
        <w:spacing w:after="120"/>
        <w:ind w:left="576"/>
        <w:rPr>
          <w:rFonts w:ascii="Cambria" w:eastAsiaTheme="minorHAnsi" w:hAnsi="Cambria" w:cstheme="minorBidi"/>
          <w:sz w:val="22"/>
          <w:szCs w:val="22"/>
        </w:rPr>
      </w:pPr>
      <w:r>
        <w:t xml:space="preserve">We had introduced the </w:t>
      </w:r>
      <w:proofErr w:type="gramStart"/>
      <w:r>
        <w:t>peers</w:t>
      </w:r>
      <w:proofErr w:type="gramEnd"/>
      <w:r>
        <w:t xml:space="preserve"> comparison as a way to evaluate the scientific impact of a group of publications for a virtual organization and have published some analysis results for XSEDE before. With the access to the new </w:t>
      </w:r>
      <w:proofErr w:type="gramStart"/>
      <w:r>
        <w:t>dataset</w:t>
      </w:r>
      <w:proofErr w:type="gramEnd"/>
      <w:r>
        <w:t xml:space="preserve"> we were able to conduct an updated peers comparison analysis. In this updated study</w:t>
      </w:r>
      <w:r w:rsidRPr="006C7FE9">
        <w:rPr>
          <w:rFonts w:ascii="Cambria" w:eastAsiaTheme="minorHAnsi" w:hAnsi="Cambria" w:cstheme="minorBidi"/>
          <w:sz w:val="22"/>
          <w:szCs w:val="22"/>
        </w:rPr>
        <w:t xml:space="preserve"> we have compared 12461 XSEDE publications from 231 publication venues against their peers. Each</w:t>
      </w:r>
      <w:r>
        <w:t xml:space="preserve"> </w:t>
      </w:r>
      <w:r w:rsidRPr="006C7FE9">
        <w:rPr>
          <w:rFonts w:ascii="Cambria" w:eastAsiaTheme="minorHAnsi" w:hAnsi="Cambria" w:cstheme="minorBidi"/>
          <w:sz w:val="22"/>
          <w:szCs w:val="22"/>
        </w:rPr>
        <w:t>publication venue has at least 10 XSEDE publications published on them to avoid the possible statistically insignificant</w:t>
      </w:r>
      <w:r>
        <w:t xml:space="preserve"> </w:t>
      </w:r>
      <w:r w:rsidRPr="006C7FE9">
        <w:rPr>
          <w:rFonts w:ascii="Cambria" w:eastAsiaTheme="minorHAnsi" w:hAnsi="Cambria" w:cstheme="minorBidi"/>
          <w:sz w:val="22"/>
          <w:szCs w:val="22"/>
        </w:rPr>
        <w:t xml:space="preserve">results if too few publications appear in a publication. Figure </w:t>
      </w:r>
      <w:r w:rsidR="00443EA0">
        <w:rPr>
          <w:i/>
        </w:rPr>
        <w:t>SIM-7</w:t>
      </w:r>
      <w:r w:rsidRPr="006C7FE9">
        <w:rPr>
          <w:rFonts w:ascii="Cambria" w:eastAsiaTheme="minorHAnsi" w:hAnsi="Cambria" w:cstheme="minorBidi"/>
          <w:sz w:val="22"/>
          <w:szCs w:val="22"/>
        </w:rPr>
        <w:t xml:space="preserve"> shows the average percentile ranking score for each</w:t>
      </w:r>
      <w:r>
        <w:t xml:space="preserve"> </w:t>
      </w:r>
      <w:r w:rsidRPr="006C7FE9">
        <w:rPr>
          <w:rFonts w:ascii="Cambria" w:eastAsiaTheme="minorHAnsi" w:hAnsi="Cambria" w:cstheme="minorBidi"/>
          <w:sz w:val="22"/>
          <w:szCs w:val="22"/>
        </w:rPr>
        <w:t xml:space="preserve">publication venue, sorted in descending order. The horizontal red line is the baseline of score 50. </w:t>
      </w:r>
      <w:r>
        <w:t>It clearly</w:t>
      </w:r>
      <w:r w:rsidRPr="006C7FE9">
        <w:rPr>
          <w:rFonts w:ascii="Cambria" w:eastAsiaTheme="minorHAnsi" w:hAnsi="Cambria" w:cstheme="minorBidi"/>
          <w:sz w:val="22"/>
          <w:szCs w:val="22"/>
        </w:rPr>
        <w:t xml:space="preserve"> shows</w:t>
      </w:r>
      <w:r>
        <w:t xml:space="preserve"> </w:t>
      </w:r>
      <w:r w:rsidRPr="006C7FE9">
        <w:rPr>
          <w:rFonts w:ascii="Cambria" w:eastAsiaTheme="minorHAnsi" w:hAnsi="Cambria" w:cstheme="minorBidi"/>
          <w:sz w:val="22"/>
          <w:szCs w:val="22"/>
        </w:rPr>
        <w:t>that for the majority of the 231 publication venues the XSEDE publications had received more citations compared to an</w:t>
      </w:r>
      <w:r>
        <w:t xml:space="preserve"> </w:t>
      </w:r>
      <w:r w:rsidRPr="006C7FE9">
        <w:rPr>
          <w:rFonts w:ascii="Cambria" w:eastAsiaTheme="minorHAnsi" w:hAnsi="Cambria" w:cstheme="minorBidi"/>
          <w:sz w:val="22"/>
          <w:szCs w:val="22"/>
        </w:rPr>
        <w:t>average peer.</w:t>
      </w:r>
    </w:p>
    <w:p w14:paraId="0F73CF1B" w14:textId="408429E3" w:rsidR="00991C97" w:rsidRDefault="00991C97" w:rsidP="00991C97">
      <w:pPr>
        <w:ind w:left="576"/>
      </w:pPr>
      <w:r w:rsidRPr="006C7FE9">
        <w:rPr>
          <w:rFonts w:ascii="Cambria" w:eastAsiaTheme="minorHAnsi" w:hAnsi="Cambria" w:cstheme="minorBidi"/>
          <w:sz w:val="22"/>
          <w:szCs w:val="22"/>
        </w:rPr>
        <w:t xml:space="preserve">Figure </w:t>
      </w:r>
      <w:r w:rsidR="00532B46">
        <w:rPr>
          <w:i/>
        </w:rPr>
        <w:t>SIM-</w:t>
      </w:r>
      <w:r w:rsidR="00443EA0">
        <w:rPr>
          <w:i/>
        </w:rPr>
        <w:t>8</w:t>
      </w:r>
      <w:r w:rsidRPr="006C7FE9">
        <w:rPr>
          <w:rFonts w:ascii="Cambria" w:eastAsiaTheme="minorHAnsi" w:hAnsi="Cambria" w:cstheme="minorBidi"/>
          <w:sz w:val="22"/>
          <w:szCs w:val="22"/>
        </w:rPr>
        <w:t xml:space="preserve"> shows the histogram of the averaged percentile ranking score for each publication venue. The distribution</w:t>
      </w:r>
      <w:r>
        <w:t xml:space="preserve"> </w:t>
      </w:r>
      <w:r w:rsidRPr="006C7FE9">
        <w:rPr>
          <w:rFonts w:ascii="Cambria" w:eastAsiaTheme="minorHAnsi" w:hAnsi="Cambria" w:cstheme="minorBidi"/>
          <w:sz w:val="22"/>
          <w:szCs w:val="22"/>
        </w:rPr>
        <w:t>skews towards the right side suggesting that the XSEDE</w:t>
      </w:r>
      <w:r>
        <w:t xml:space="preserve"> </w:t>
      </w:r>
      <w:r w:rsidRPr="006C7FE9">
        <w:rPr>
          <w:rFonts w:ascii="Cambria" w:eastAsiaTheme="minorHAnsi" w:hAnsi="Cambria" w:cstheme="minorBidi"/>
          <w:sz w:val="22"/>
          <w:szCs w:val="22"/>
        </w:rPr>
        <w:t>publications, in general, received more citations than the</w:t>
      </w:r>
      <w:r>
        <w:t xml:space="preserve"> </w:t>
      </w:r>
      <w:r w:rsidRPr="006C7FE9">
        <w:rPr>
          <w:rFonts w:ascii="Cambria" w:eastAsiaTheme="minorHAnsi" w:hAnsi="Cambria" w:cstheme="minorBidi"/>
          <w:sz w:val="22"/>
          <w:szCs w:val="22"/>
        </w:rPr>
        <w:t>average peers.</w:t>
      </w:r>
    </w:p>
    <w:p w14:paraId="68DD08D6" w14:textId="77777777" w:rsidR="00991C97" w:rsidRDefault="00991C97" w:rsidP="00991C97">
      <w:pPr>
        <w:ind w:left="576"/>
        <w:jc w:val="center"/>
      </w:pPr>
      <w:r>
        <w:rPr>
          <w:noProof/>
        </w:rPr>
        <w:lastRenderedPageBreak/>
        <w:drawing>
          <wp:inline distT="0" distB="0" distL="0" distR="0" wp14:anchorId="42243691" wp14:editId="024E22C9">
            <wp:extent cx="5257800" cy="324900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397" cy="325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E545" w14:textId="2A7DF36F" w:rsidR="00991C97" w:rsidRDefault="00532B46" w:rsidP="00DB6822">
      <w:pPr>
        <w:ind w:left="540"/>
        <w:jc w:val="both"/>
      </w:pPr>
      <w:r>
        <w:rPr>
          <w:i/>
        </w:rPr>
        <w:t>Figure SIM-7</w:t>
      </w:r>
      <w:r w:rsidR="00991C97" w:rsidRPr="00DB6822">
        <w:rPr>
          <w:i/>
        </w:rPr>
        <w:t>. Average percentile ranking score of XSEDE publications by journal</w:t>
      </w:r>
    </w:p>
    <w:p w14:paraId="24702E48" w14:textId="77777777" w:rsidR="00991C97" w:rsidRDefault="00991C97" w:rsidP="00991C97">
      <w:pPr>
        <w:ind w:left="576"/>
      </w:pPr>
    </w:p>
    <w:p w14:paraId="7EAC4C0F" w14:textId="77777777" w:rsidR="00991C97" w:rsidRDefault="00991C97" w:rsidP="00991C97">
      <w:pPr>
        <w:ind w:left="576"/>
        <w:jc w:val="center"/>
      </w:pPr>
      <w:r>
        <w:rPr>
          <w:noProof/>
        </w:rPr>
        <w:drawing>
          <wp:inline distT="0" distB="0" distL="0" distR="0" wp14:anchorId="0A9935CA" wp14:editId="32B145C7">
            <wp:extent cx="5029200" cy="310774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840" cy="311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CC5E" w14:textId="6B130C40" w:rsidR="00991C97" w:rsidRPr="00DB6822" w:rsidRDefault="00532B46" w:rsidP="00DB6822">
      <w:pPr>
        <w:ind w:left="540"/>
        <w:jc w:val="both"/>
        <w:rPr>
          <w:i/>
        </w:rPr>
      </w:pPr>
      <w:r>
        <w:rPr>
          <w:i/>
        </w:rPr>
        <w:t>Figure SIM-8</w:t>
      </w:r>
      <w:r w:rsidR="00991C97" w:rsidRPr="00DB6822">
        <w:rPr>
          <w:i/>
        </w:rPr>
        <w:t>. Distribution of the percentile ranking scores of XSEDE publications</w:t>
      </w:r>
    </w:p>
    <w:p w14:paraId="3C38E148" w14:textId="77777777" w:rsidR="00DB6822" w:rsidRDefault="00DB6822" w:rsidP="00991C97">
      <w:pPr>
        <w:ind w:left="576"/>
        <w:rPr>
          <w:rFonts w:ascii="Cambria" w:eastAsiaTheme="minorHAnsi" w:hAnsi="Cambria" w:cstheme="minorBidi"/>
          <w:sz w:val="22"/>
          <w:szCs w:val="22"/>
        </w:rPr>
      </w:pPr>
    </w:p>
    <w:p w14:paraId="0E2301CD" w14:textId="200D606C" w:rsidR="00991C97" w:rsidRPr="00770AB1" w:rsidRDefault="00991C97" w:rsidP="00991C97">
      <w:pPr>
        <w:ind w:left="576"/>
        <w:rPr>
          <w:rFonts w:ascii="Cambria" w:eastAsiaTheme="minorHAnsi" w:hAnsi="Cambria" w:cstheme="minorBidi"/>
          <w:sz w:val="22"/>
          <w:szCs w:val="22"/>
        </w:rPr>
      </w:pPr>
      <w:r w:rsidRPr="00770AB1">
        <w:rPr>
          <w:rFonts w:ascii="Cambria" w:eastAsiaTheme="minorHAnsi" w:hAnsi="Cambria" w:cstheme="minorBidi"/>
          <w:sz w:val="22"/>
          <w:szCs w:val="22"/>
        </w:rPr>
        <w:t>When grouping the percentile ranking scores by the publication’s identified field of study, we obtain the result as</w:t>
      </w:r>
      <w:r>
        <w:t xml:space="preserve"> </w:t>
      </w:r>
      <w:r w:rsidRPr="00770AB1">
        <w:rPr>
          <w:rFonts w:ascii="Cambria" w:eastAsiaTheme="minorHAnsi" w:hAnsi="Cambria" w:cstheme="minorBidi"/>
          <w:sz w:val="22"/>
          <w:szCs w:val="22"/>
        </w:rPr>
        <w:t xml:space="preserve">shown in Figure </w:t>
      </w:r>
      <w:r w:rsidR="00532B46">
        <w:rPr>
          <w:i/>
        </w:rPr>
        <w:t>SIM-</w:t>
      </w:r>
      <w:r w:rsidR="00443EA0">
        <w:rPr>
          <w:i/>
        </w:rPr>
        <w:t>9</w:t>
      </w:r>
      <w:r w:rsidRPr="00770AB1">
        <w:rPr>
          <w:rFonts w:ascii="Cambria" w:eastAsiaTheme="minorHAnsi" w:hAnsi="Cambria" w:cstheme="minorBidi"/>
          <w:sz w:val="22"/>
          <w:szCs w:val="22"/>
        </w:rPr>
        <w:t xml:space="preserve">. </w:t>
      </w:r>
      <w:r>
        <w:t xml:space="preserve">Here </w:t>
      </w:r>
      <w:r w:rsidRPr="00770AB1">
        <w:rPr>
          <w:rFonts w:ascii="Cambria" w:eastAsiaTheme="minorHAnsi" w:hAnsi="Cambria" w:cstheme="minorBidi"/>
          <w:sz w:val="22"/>
          <w:szCs w:val="22"/>
        </w:rPr>
        <w:t xml:space="preserve">we </w:t>
      </w:r>
      <w:r>
        <w:t xml:space="preserve">also </w:t>
      </w:r>
      <w:r w:rsidRPr="00770AB1">
        <w:rPr>
          <w:rFonts w:ascii="Cambria" w:eastAsiaTheme="minorHAnsi" w:hAnsi="Cambria" w:cstheme="minorBidi"/>
          <w:sz w:val="22"/>
          <w:szCs w:val="22"/>
        </w:rPr>
        <w:t>discarded the data points for a few fields of study due to the limited number (less than</w:t>
      </w:r>
      <w:r>
        <w:t xml:space="preserve"> </w:t>
      </w:r>
      <w:r w:rsidRPr="00770AB1">
        <w:rPr>
          <w:rFonts w:ascii="Cambria" w:eastAsiaTheme="minorHAnsi" w:hAnsi="Cambria" w:cstheme="minorBidi"/>
          <w:sz w:val="22"/>
          <w:szCs w:val="22"/>
        </w:rPr>
        <w:t>10) of XSEDE publications. The results show that the average percentile ranking score is above 50</w:t>
      </w:r>
      <w:r>
        <w:t xml:space="preserve"> for most FOS</w:t>
      </w:r>
      <w:r w:rsidRPr="00770AB1">
        <w:rPr>
          <w:rFonts w:ascii="Cambria" w:eastAsiaTheme="minorHAnsi" w:hAnsi="Cambria" w:cstheme="minorBidi"/>
          <w:sz w:val="22"/>
          <w:szCs w:val="22"/>
        </w:rPr>
        <w:t>.</w:t>
      </w:r>
    </w:p>
    <w:p w14:paraId="7008CC2B" w14:textId="77777777" w:rsidR="00991C97" w:rsidRDefault="00991C97" w:rsidP="00991C97">
      <w:pPr>
        <w:ind w:left="576"/>
      </w:pPr>
      <w:r w:rsidRPr="00770AB1">
        <w:rPr>
          <w:rFonts w:ascii="Cambria" w:eastAsiaTheme="minorHAnsi" w:hAnsi="Cambria" w:cstheme="minorBidi"/>
          <w:sz w:val="22"/>
          <w:szCs w:val="22"/>
        </w:rPr>
        <w:t xml:space="preserve">In one of our previous </w:t>
      </w:r>
      <w:proofErr w:type="gramStart"/>
      <w:r w:rsidRPr="00770AB1">
        <w:rPr>
          <w:rFonts w:ascii="Cambria" w:eastAsiaTheme="minorHAnsi" w:hAnsi="Cambria" w:cstheme="minorBidi"/>
          <w:sz w:val="22"/>
          <w:szCs w:val="22"/>
        </w:rPr>
        <w:t>studies</w:t>
      </w:r>
      <w:proofErr w:type="gramEnd"/>
      <w:r w:rsidRPr="00770AB1">
        <w:rPr>
          <w:rFonts w:ascii="Cambria" w:eastAsiaTheme="minorHAnsi" w:hAnsi="Cambria" w:cstheme="minorBidi"/>
          <w:sz w:val="22"/>
          <w:szCs w:val="22"/>
        </w:rPr>
        <w:t xml:space="preserve"> we have conducted the peers comparison analysis based on the data of more</w:t>
      </w:r>
      <w:r>
        <w:t xml:space="preserve"> </w:t>
      </w:r>
      <w:r w:rsidRPr="00770AB1">
        <w:rPr>
          <w:rFonts w:ascii="Cambria" w:eastAsiaTheme="minorHAnsi" w:hAnsi="Cambria" w:cstheme="minorBidi"/>
          <w:sz w:val="22"/>
          <w:szCs w:val="22"/>
        </w:rPr>
        <w:t xml:space="preserve">than 5000 publications from about 120 publication venues. </w:t>
      </w:r>
      <w:r w:rsidRPr="00770AB1">
        <w:rPr>
          <w:rFonts w:ascii="Cambria" w:eastAsiaTheme="minorHAnsi" w:hAnsi="Cambria" w:cstheme="minorBidi"/>
          <w:sz w:val="22"/>
          <w:szCs w:val="22"/>
        </w:rPr>
        <w:lastRenderedPageBreak/>
        <w:t xml:space="preserve">Now with more data available over a longer period of time we could verify the trend due to its similar results. </w:t>
      </w:r>
      <w:r w:rsidRPr="00770AB1">
        <w:t>Hence,</w:t>
      </w:r>
      <w:r w:rsidRPr="00770AB1">
        <w:rPr>
          <w:rFonts w:ascii="Cambria" w:eastAsiaTheme="minorHAnsi" w:hAnsi="Cambria" w:cstheme="minorBidi"/>
          <w:sz w:val="22"/>
          <w:szCs w:val="22"/>
        </w:rPr>
        <w:t xml:space="preserve"> we assess that the studies</w:t>
      </w:r>
      <w:r>
        <w:t>’</w:t>
      </w:r>
      <w:r w:rsidRPr="00770AB1">
        <w:rPr>
          <w:rFonts w:ascii="Cambria" w:eastAsiaTheme="minorHAnsi" w:hAnsi="Cambria" w:cstheme="minorBidi"/>
          <w:sz w:val="22"/>
          <w:szCs w:val="22"/>
        </w:rPr>
        <w:t xml:space="preserve"> results validate each other and</w:t>
      </w:r>
      <w:r>
        <w:t xml:space="preserve"> </w:t>
      </w:r>
      <w:r w:rsidRPr="00770AB1">
        <w:rPr>
          <w:rFonts w:ascii="Cambria" w:eastAsiaTheme="minorHAnsi" w:hAnsi="Cambria" w:cstheme="minorBidi"/>
          <w:sz w:val="22"/>
          <w:szCs w:val="22"/>
        </w:rPr>
        <w:t>show the consistent performance of XSEDE publications.</w:t>
      </w:r>
    </w:p>
    <w:p w14:paraId="1C8D7E64" w14:textId="77777777" w:rsidR="00991C97" w:rsidRDefault="00991C97" w:rsidP="00991C97">
      <w:pPr>
        <w:ind w:left="576"/>
        <w:jc w:val="center"/>
      </w:pPr>
      <w:r>
        <w:rPr>
          <w:noProof/>
        </w:rPr>
        <w:drawing>
          <wp:inline distT="0" distB="0" distL="0" distR="0" wp14:anchorId="55CEA106" wp14:editId="7304478B">
            <wp:extent cx="5029200" cy="310948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6656" cy="312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8409" w14:textId="2A141495" w:rsidR="00991C97" w:rsidRDefault="00532B46" w:rsidP="00DB6822">
      <w:pPr>
        <w:ind w:left="540"/>
        <w:jc w:val="both"/>
      </w:pPr>
      <w:r>
        <w:rPr>
          <w:i/>
        </w:rPr>
        <w:t>Figure SIM-9</w:t>
      </w:r>
      <w:r w:rsidR="00991C97" w:rsidRPr="00DB6822">
        <w:rPr>
          <w:i/>
        </w:rPr>
        <w:t>. Average percentile ranking score of XSEDE publications by Field of Study</w:t>
      </w:r>
      <w:r w:rsidR="00991C97">
        <w:br/>
      </w:r>
    </w:p>
    <w:p w14:paraId="757458EF" w14:textId="62C5DAFD" w:rsidR="00991C97" w:rsidRDefault="00991C97" w:rsidP="00991C97">
      <w:pPr>
        <w:pStyle w:val="Heading4"/>
        <w:numPr>
          <w:ilvl w:val="3"/>
          <w:numId w:val="9"/>
        </w:numPr>
      </w:pPr>
      <w:r>
        <w:t>Field Weighted Citation Impact analysis</w:t>
      </w:r>
    </w:p>
    <w:p w14:paraId="0B84B8D8" w14:textId="77777777" w:rsidR="00991C97" w:rsidRDefault="00991C97" w:rsidP="00991C97">
      <w:pPr>
        <w:ind w:left="576"/>
      </w:pPr>
    </w:p>
    <w:p w14:paraId="7DB3FF38" w14:textId="4D388B9A" w:rsidR="00991C97" w:rsidRDefault="00991C97" w:rsidP="00991C97">
      <w:pPr>
        <w:ind w:left="576"/>
      </w:pPr>
      <w:r w:rsidRPr="00770AB1">
        <w:rPr>
          <w:rFonts w:ascii="Cambria" w:eastAsiaTheme="minorHAnsi" w:hAnsi="Cambria" w:cstheme="minorBidi"/>
          <w:sz w:val="22"/>
          <w:szCs w:val="22"/>
        </w:rPr>
        <w:t xml:space="preserve">We also repeated the FWCI analysis based on the new dataset to obtain updated results as depicted in Figure </w:t>
      </w:r>
      <w:r w:rsidR="00532B46">
        <w:rPr>
          <w:i/>
        </w:rPr>
        <w:t>SIM-</w:t>
      </w:r>
      <w:r w:rsidR="00443EA0">
        <w:rPr>
          <w:i/>
        </w:rPr>
        <w:t>10</w:t>
      </w:r>
      <w:r w:rsidRPr="00770AB1">
        <w:rPr>
          <w:rFonts w:ascii="Cambria" w:eastAsiaTheme="minorHAnsi" w:hAnsi="Cambria" w:cstheme="minorBidi"/>
          <w:sz w:val="22"/>
          <w:szCs w:val="22"/>
        </w:rPr>
        <w:t xml:space="preserve">. It lists the FWCI values for each field of study. The horizontal red line shows the baseline at 1. It shows that for all the FOS the FWCI values are </w:t>
      </w:r>
      <w:r>
        <w:t>at least around 2</w:t>
      </w:r>
      <w:r w:rsidRPr="00770AB1">
        <w:rPr>
          <w:rFonts w:ascii="Cambria" w:eastAsiaTheme="minorHAnsi" w:hAnsi="Cambria" w:cstheme="minorBidi"/>
          <w:sz w:val="22"/>
          <w:szCs w:val="22"/>
        </w:rPr>
        <w:t xml:space="preserve">, which indicates that the XSEDE publications in each FOS received </w:t>
      </w:r>
      <w:r>
        <w:t xml:space="preserve">far </w:t>
      </w:r>
      <w:r w:rsidRPr="00770AB1">
        <w:rPr>
          <w:rFonts w:ascii="Cambria" w:eastAsiaTheme="minorHAnsi" w:hAnsi="Cambria" w:cstheme="minorBidi"/>
          <w:sz w:val="22"/>
          <w:szCs w:val="22"/>
        </w:rPr>
        <w:t>more citations than expected. For the Geography, Computer Science, and Engineering the publications received about 8 times more citations than expected from the field average.</w:t>
      </w:r>
    </w:p>
    <w:p w14:paraId="3305565B" w14:textId="6ECEA6BD" w:rsidR="00532B46" w:rsidRDefault="00532B46" w:rsidP="00991C97">
      <w:pPr>
        <w:ind w:left="576"/>
      </w:pPr>
    </w:p>
    <w:p w14:paraId="05BDD4F3" w14:textId="77777777" w:rsidR="00532B46" w:rsidRDefault="00532B46" w:rsidP="00532B46"/>
    <w:p w14:paraId="08DF9E05" w14:textId="77777777" w:rsidR="00532B46" w:rsidRPr="00770AB1" w:rsidRDefault="00532B46" w:rsidP="00991C97">
      <w:pPr>
        <w:spacing w:after="120"/>
        <w:ind w:left="576"/>
        <w:rPr>
          <w:rFonts w:ascii="Cambria" w:eastAsiaTheme="minorHAnsi" w:hAnsi="Cambria" w:cstheme="minorBidi"/>
          <w:sz w:val="22"/>
          <w:szCs w:val="22"/>
        </w:rPr>
      </w:pPr>
    </w:p>
    <w:p w14:paraId="7D5315DB" w14:textId="77777777" w:rsidR="00991C97" w:rsidRDefault="00991C97" w:rsidP="00991C97">
      <w:pPr>
        <w:ind w:left="576"/>
        <w:jc w:val="center"/>
      </w:pPr>
      <w:r>
        <w:rPr>
          <w:noProof/>
        </w:rPr>
        <w:lastRenderedPageBreak/>
        <w:drawing>
          <wp:inline distT="0" distB="0" distL="0" distR="0" wp14:anchorId="06399849" wp14:editId="6A93D480">
            <wp:extent cx="4573712" cy="282786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6722" cy="284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5EFA" w14:textId="0EF2418E" w:rsidR="00991C97" w:rsidRPr="00DB6822" w:rsidRDefault="00532B46" w:rsidP="00DB6822">
      <w:pPr>
        <w:ind w:left="540"/>
        <w:jc w:val="both"/>
        <w:rPr>
          <w:i/>
        </w:rPr>
      </w:pPr>
      <w:r>
        <w:rPr>
          <w:i/>
        </w:rPr>
        <w:t>Figure SIM-10</w:t>
      </w:r>
      <w:r w:rsidR="00991C97" w:rsidRPr="00DB6822">
        <w:rPr>
          <w:i/>
        </w:rPr>
        <w:t>. Field Weighted Citation Index for XSEDE publications</w:t>
      </w:r>
    </w:p>
    <w:p w14:paraId="2C9A96BB" w14:textId="697DB464" w:rsidR="00991C97" w:rsidRDefault="00991C97" w:rsidP="00991C97">
      <w:pPr>
        <w:ind w:left="576"/>
      </w:pPr>
    </w:p>
    <w:p w14:paraId="41954BCA" w14:textId="3405B2EE" w:rsidR="00991C97" w:rsidRDefault="00991C97" w:rsidP="00991C97">
      <w:pPr>
        <w:pStyle w:val="Heading4"/>
        <w:numPr>
          <w:ilvl w:val="3"/>
          <w:numId w:val="9"/>
        </w:numPr>
        <w:tabs>
          <w:tab w:val="num" w:pos="360"/>
        </w:tabs>
      </w:pPr>
      <w:r>
        <w:t>Highly cited papers</w:t>
      </w:r>
    </w:p>
    <w:p w14:paraId="178965A4" w14:textId="77777777" w:rsidR="00991C97" w:rsidRDefault="00991C97" w:rsidP="00991C97">
      <w:pPr>
        <w:ind w:left="576"/>
      </w:pPr>
    </w:p>
    <w:p w14:paraId="0D0D1594" w14:textId="630CD3A2" w:rsidR="00991C97" w:rsidRDefault="00991C97" w:rsidP="00991C97">
      <w:pPr>
        <w:ind w:left="576"/>
      </w:pPr>
      <w:r w:rsidRPr="00AF29CE">
        <w:rPr>
          <w:rFonts w:ascii="Cambria" w:eastAsiaTheme="minorHAnsi" w:hAnsi="Cambria" w:cstheme="minorBidi"/>
          <w:sz w:val="22"/>
          <w:szCs w:val="22"/>
        </w:rPr>
        <w:t>With access to the much larger publication dataset, we can also identify for each field of study the highly cited papers.</w:t>
      </w:r>
      <w:r>
        <w:t xml:space="preserve"> </w:t>
      </w:r>
      <w:r w:rsidRPr="00AF29CE">
        <w:rPr>
          <w:rFonts w:ascii="Cambria" w:eastAsiaTheme="minorHAnsi" w:hAnsi="Cambria" w:cstheme="minorBidi"/>
          <w:sz w:val="22"/>
          <w:szCs w:val="22"/>
        </w:rPr>
        <w:t>We consider the top 5% and top 1% most cited papers for the results reported here. Hence, we can find out what portion</w:t>
      </w:r>
      <w:r>
        <w:t xml:space="preserve"> </w:t>
      </w:r>
      <w:r w:rsidRPr="00AF29CE">
        <w:rPr>
          <w:rFonts w:ascii="Cambria" w:eastAsiaTheme="minorHAnsi" w:hAnsi="Cambria" w:cstheme="minorBidi"/>
          <w:sz w:val="22"/>
          <w:szCs w:val="22"/>
        </w:rPr>
        <w:t xml:space="preserve">of XSEDE publications fall into those groups. </w:t>
      </w:r>
      <w:r>
        <w:t>Again,</w:t>
      </w:r>
      <w:r w:rsidRPr="00AF29CE">
        <w:rPr>
          <w:rFonts w:ascii="Cambria" w:eastAsiaTheme="minorHAnsi" w:hAnsi="Cambria" w:cstheme="minorBidi"/>
          <w:sz w:val="22"/>
          <w:szCs w:val="22"/>
        </w:rPr>
        <w:t xml:space="preserve"> we excluded the few fields of study that had a very small</w:t>
      </w:r>
      <w:r>
        <w:t xml:space="preserve"> </w:t>
      </w:r>
      <w:r w:rsidRPr="00AF29CE">
        <w:rPr>
          <w:rFonts w:ascii="Cambria" w:eastAsiaTheme="minorHAnsi" w:hAnsi="Cambria" w:cstheme="minorBidi"/>
          <w:sz w:val="22"/>
          <w:szCs w:val="22"/>
        </w:rPr>
        <w:t>number of publications identified as belonging to them (less than 10) due to the same reason as mentioned in the</w:t>
      </w:r>
      <w:r>
        <w:t xml:space="preserve"> </w:t>
      </w:r>
      <w:r w:rsidRPr="00AF29CE">
        <w:rPr>
          <w:rFonts w:ascii="Cambria" w:eastAsiaTheme="minorHAnsi" w:hAnsi="Cambria" w:cstheme="minorBidi"/>
          <w:sz w:val="22"/>
          <w:szCs w:val="22"/>
        </w:rPr>
        <w:t xml:space="preserve">previous sections. Figure </w:t>
      </w:r>
      <w:r w:rsidR="00532B46">
        <w:rPr>
          <w:i/>
        </w:rPr>
        <w:t>SIM-1</w:t>
      </w:r>
      <w:r w:rsidR="00443EA0">
        <w:rPr>
          <w:i/>
        </w:rPr>
        <w:t>1</w:t>
      </w:r>
      <w:r w:rsidRPr="00AF29CE">
        <w:rPr>
          <w:rFonts w:ascii="Cambria" w:eastAsiaTheme="minorHAnsi" w:hAnsi="Cambria" w:cstheme="minorBidi"/>
          <w:sz w:val="22"/>
          <w:szCs w:val="22"/>
        </w:rPr>
        <w:t xml:space="preserve"> shows the actual numbers, percentages for each field of study that fall into the top 5% and top</w:t>
      </w:r>
      <w:r>
        <w:t xml:space="preserve"> </w:t>
      </w:r>
      <w:r w:rsidRPr="00AF29CE">
        <w:rPr>
          <w:rFonts w:ascii="Cambria" w:eastAsiaTheme="minorHAnsi" w:hAnsi="Cambria" w:cstheme="minorBidi"/>
          <w:sz w:val="22"/>
          <w:szCs w:val="22"/>
        </w:rPr>
        <w:t>1% categories, as well as the number of XSEDE publications belonging to that field of study. The blue and yellow lines</w:t>
      </w:r>
      <w:r>
        <w:t xml:space="preserve"> </w:t>
      </w:r>
      <w:r w:rsidRPr="00AF29CE">
        <w:rPr>
          <w:rFonts w:ascii="Cambria" w:eastAsiaTheme="minorHAnsi" w:hAnsi="Cambria" w:cstheme="minorBidi"/>
          <w:sz w:val="22"/>
          <w:szCs w:val="22"/>
        </w:rPr>
        <w:t>indicate the 5% and 1% baseline</w:t>
      </w:r>
      <w:r>
        <w:t>, respectively</w:t>
      </w:r>
      <w:r w:rsidRPr="00AF29CE">
        <w:rPr>
          <w:rFonts w:ascii="Cambria" w:eastAsiaTheme="minorHAnsi" w:hAnsi="Cambria" w:cstheme="minorBidi"/>
          <w:sz w:val="22"/>
          <w:szCs w:val="22"/>
        </w:rPr>
        <w:t>. All fields of study show a disproportionately higher percentage of XSEDE publications</w:t>
      </w:r>
      <w:r>
        <w:t xml:space="preserve"> </w:t>
      </w:r>
      <w:r w:rsidRPr="00AF29CE">
        <w:rPr>
          <w:rFonts w:ascii="Cambria" w:eastAsiaTheme="minorHAnsi" w:hAnsi="Cambria" w:cstheme="minorBidi"/>
          <w:sz w:val="22"/>
          <w:szCs w:val="22"/>
        </w:rPr>
        <w:t>fall into the highly cited papers categories. As a</w:t>
      </w:r>
      <w:r>
        <w:t>n</w:t>
      </w:r>
      <w:r w:rsidRPr="00AF29CE">
        <w:rPr>
          <w:rFonts w:ascii="Cambria" w:eastAsiaTheme="minorHAnsi" w:hAnsi="Cambria" w:cstheme="minorBidi"/>
          <w:sz w:val="22"/>
          <w:szCs w:val="22"/>
        </w:rPr>
        <w:t xml:space="preserve"> </w:t>
      </w:r>
      <w:r w:rsidRPr="00AF29CE">
        <w:t>example,</w:t>
      </w:r>
      <w:r w:rsidRPr="00AF29CE">
        <w:rPr>
          <w:rFonts w:ascii="Cambria" w:eastAsiaTheme="minorHAnsi" w:hAnsi="Cambria" w:cstheme="minorBidi"/>
          <w:sz w:val="22"/>
          <w:szCs w:val="22"/>
        </w:rPr>
        <w:t xml:space="preserve"> we find specifically that 38.4% of geography related papers were in the top 5% highly cited papers, and 13.7% were in the top 1% most cited papers. </w:t>
      </w:r>
      <w:r w:rsidR="00E516E9" w:rsidRPr="00E85C93">
        <w:t>Table SIM-1</w:t>
      </w:r>
      <w:r>
        <w:t>2</w:t>
      </w:r>
      <w:r w:rsidRPr="00AF29CE">
        <w:rPr>
          <w:rFonts w:ascii="Cambria" w:eastAsiaTheme="minorHAnsi" w:hAnsi="Cambria" w:cstheme="minorBidi"/>
          <w:sz w:val="22"/>
          <w:szCs w:val="22"/>
        </w:rPr>
        <w:t xml:space="preserve"> summarizes the data for</w:t>
      </w:r>
      <w:r>
        <w:t xml:space="preserve"> </w:t>
      </w:r>
      <w:r w:rsidRPr="00AF29CE">
        <w:rPr>
          <w:rFonts w:ascii="Cambria" w:eastAsiaTheme="minorHAnsi" w:hAnsi="Cambria" w:cstheme="minorBidi"/>
          <w:sz w:val="22"/>
          <w:szCs w:val="22"/>
        </w:rPr>
        <w:t>all the fields of study.</w:t>
      </w:r>
    </w:p>
    <w:p w14:paraId="4A018FCE" w14:textId="77777777" w:rsidR="00991C97" w:rsidRDefault="00991C97" w:rsidP="00991C97">
      <w:pPr>
        <w:ind w:left="576"/>
      </w:pPr>
    </w:p>
    <w:p w14:paraId="38F69ECA" w14:textId="77777777" w:rsidR="00991C97" w:rsidRDefault="00991C97" w:rsidP="00991C97">
      <w:pPr>
        <w:ind w:left="576"/>
      </w:pPr>
    </w:p>
    <w:p w14:paraId="7EB1256F" w14:textId="77777777" w:rsidR="00443EA0" w:rsidRDefault="00443EA0" w:rsidP="00443EA0">
      <w:pPr>
        <w:jc w:val="center"/>
      </w:pPr>
      <w:r>
        <w:rPr>
          <w:noProof/>
        </w:rPr>
        <w:lastRenderedPageBreak/>
        <w:drawing>
          <wp:inline distT="0" distB="0" distL="0" distR="0" wp14:anchorId="5C34D22E" wp14:editId="71701FDA">
            <wp:extent cx="5023725" cy="3107267"/>
            <wp:effectExtent l="0" t="0" r="571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5837" cy="311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1EEA" w14:textId="241A05A0" w:rsidR="00443EA0" w:rsidRPr="00DB6822" w:rsidRDefault="00443EA0" w:rsidP="00DB6822">
      <w:pPr>
        <w:ind w:left="540"/>
        <w:jc w:val="both"/>
        <w:rPr>
          <w:i/>
        </w:rPr>
      </w:pPr>
      <w:r>
        <w:rPr>
          <w:i/>
        </w:rPr>
        <w:t>Figure SIM-11</w:t>
      </w:r>
      <w:r w:rsidRPr="00DB6822">
        <w:rPr>
          <w:i/>
        </w:rPr>
        <w:t>. Percentage of XSEDE publications falling into the top 5% and top 1% for each field of study</w:t>
      </w:r>
    </w:p>
    <w:p w14:paraId="390CE022" w14:textId="77777777" w:rsidR="00443EA0" w:rsidRDefault="00443EA0" w:rsidP="00443EA0">
      <w:pPr>
        <w:jc w:val="center"/>
      </w:pPr>
    </w:p>
    <w:p w14:paraId="3DFF4C32" w14:textId="77777777" w:rsidR="00443EA0" w:rsidRDefault="00443EA0" w:rsidP="00443EA0">
      <w:pPr>
        <w:jc w:val="center"/>
      </w:pPr>
    </w:p>
    <w:p w14:paraId="061AFDD3" w14:textId="2DC207D1" w:rsidR="00443EA0" w:rsidRDefault="00443EA0" w:rsidP="00443EA0">
      <w:pPr>
        <w:jc w:val="center"/>
      </w:pPr>
      <w:r w:rsidRPr="00E85C93">
        <w:t>Table SIM-1</w:t>
      </w:r>
      <w:r>
        <w:t xml:space="preserve">2. </w:t>
      </w:r>
      <w:r w:rsidRPr="00AF29CE">
        <w:rPr>
          <w:rFonts w:ascii="Cambria" w:eastAsiaTheme="minorHAnsi" w:hAnsi="Cambria" w:cstheme="minorBidi"/>
          <w:sz w:val="22"/>
          <w:szCs w:val="22"/>
        </w:rPr>
        <w:t>Highly Cited Papers Statistics (in top 5% and 1%)</w:t>
      </w:r>
    </w:p>
    <w:p w14:paraId="54882B18" w14:textId="77777777" w:rsidR="00443EA0" w:rsidRDefault="00443EA0" w:rsidP="00443EA0">
      <w:r>
        <w:rPr>
          <w:noProof/>
        </w:rPr>
        <w:drawing>
          <wp:inline distT="0" distB="0" distL="0" distR="0" wp14:anchorId="7582D2AC" wp14:editId="36D900A7">
            <wp:extent cx="5486400" cy="2507615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0E57" w14:textId="77777777" w:rsidR="00443EA0" w:rsidRDefault="00443EA0" w:rsidP="00443EA0"/>
    <w:p w14:paraId="18D43D8D" w14:textId="77777777" w:rsidR="00991C97" w:rsidRDefault="00991C97" w:rsidP="00991C97">
      <w:pPr>
        <w:ind w:left="576"/>
      </w:pPr>
    </w:p>
    <w:sectPr w:rsidR="00991C97" w:rsidSect="000D2663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Headings CS)">
    <w:panose1 w:val="020B0604020202020204"/>
    <w:charset w:val="00"/>
    <w:family w:val="roman"/>
    <w:notTrueType/>
    <w:pitch w:val="default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16F15"/>
    <w:multiLevelType w:val="hybridMultilevel"/>
    <w:tmpl w:val="FFB6973E"/>
    <w:lvl w:ilvl="0" w:tplc="811C87A4">
      <w:numFmt w:val="bullet"/>
      <w:lvlText w:val=""/>
      <w:lvlJc w:val="left"/>
      <w:pPr>
        <w:ind w:left="180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1CC6320"/>
    <w:multiLevelType w:val="hybridMultilevel"/>
    <w:tmpl w:val="DC485F0C"/>
    <w:lvl w:ilvl="0" w:tplc="15D055E0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F056655"/>
    <w:multiLevelType w:val="multilevel"/>
    <w:tmpl w:val="556A545C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3F8349BB"/>
    <w:multiLevelType w:val="hybridMultilevel"/>
    <w:tmpl w:val="D6C0227E"/>
    <w:lvl w:ilvl="0" w:tplc="B134946E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C50762"/>
    <w:multiLevelType w:val="multilevel"/>
    <w:tmpl w:val="EEACC9F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pStyle w:val="Heading5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CC4338B"/>
    <w:multiLevelType w:val="hybridMultilevel"/>
    <w:tmpl w:val="83467B74"/>
    <w:lvl w:ilvl="0" w:tplc="670A6956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2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AAC"/>
    <w:rsid w:val="00027321"/>
    <w:rsid w:val="00247573"/>
    <w:rsid w:val="00443EA0"/>
    <w:rsid w:val="00532B46"/>
    <w:rsid w:val="00550E2D"/>
    <w:rsid w:val="0057737C"/>
    <w:rsid w:val="0062486D"/>
    <w:rsid w:val="00707F3F"/>
    <w:rsid w:val="0073113A"/>
    <w:rsid w:val="00817D6D"/>
    <w:rsid w:val="00892DD3"/>
    <w:rsid w:val="008F14BD"/>
    <w:rsid w:val="00991C97"/>
    <w:rsid w:val="009E7A65"/>
    <w:rsid w:val="00A22AAC"/>
    <w:rsid w:val="00D93796"/>
    <w:rsid w:val="00DB6822"/>
    <w:rsid w:val="00E516E9"/>
    <w:rsid w:val="00E5776A"/>
    <w:rsid w:val="00EB5838"/>
    <w:rsid w:val="00F20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AC898"/>
  <w15:chartTrackingRefBased/>
  <w15:docId w15:val="{09CB62AF-B883-5F45-BA56-A755C0ED6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737C"/>
    <w:rPr>
      <w:rFonts w:ascii="Times New Roman" w:eastAsia="Times New Roman" w:hAnsi="Times New Roman" w:cs="Times New Roman"/>
    </w:rPr>
  </w:style>
  <w:style w:type="paragraph" w:styleId="Heading1">
    <w:name w:val="heading 1"/>
    <w:aliases w:val="h1"/>
    <w:basedOn w:val="Normal"/>
    <w:next w:val="Normal"/>
    <w:link w:val="Heading1Char"/>
    <w:qFormat/>
    <w:rsid w:val="00A22AAC"/>
    <w:pPr>
      <w:keepNext/>
      <w:numPr>
        <w:numId w:val="1"/>
      </w:numPr>
      <w:pBdr>
        <w:bottom w:val="single" w:sz="4" w:space="1" w:color="auto"/>
      </w:pBdr>
      <w:spacing w:after="120"/>
      <w:jc w:val="both"/>
      <w:outlineLvl w:val="0"/>
    </w:pPr>
    <w:rPr>
      <w:b/>
      <w:bCs/>
      <w:sz w:val="28"/>
      <w:szCs w:val="22"/>
      <w:lang w:eastAsia="en-US"/>
    </w:rPr>
  </w:style>
  <w:style w:type="paragraph" w:styleId="Heading2">
    <w:name w:val="heading 2"/>
    <w:aliases w:val="h2"/>
    <w:basedOn w:val="Normal"/>
    <w:next w:val="Normal"/>
    <w:link w:val="Heading2Char"/>
    <w:uiPriority w:val="9"/>
    <w:qFormat/>
    <w:rsid w:val="00A22AAC"/>
    <w:pPr>
      <w:keepNext/>
      <w:numPr>
        <w:ilvl w:val="1"/>
        <w:numId w:val="1"/>
      </w:numPr>
      <w:spacing w:before="120" w:after="120"/>
      <w:jc w:val="both"/>
      <w:outlineLvl w:val="1"/>
    </w:pPr>
    <w:rPr>
      <w:b/>
      <w:sz w:val="22"/>
      <w:szCs w:val="28"/>
      <w:lang w:eastAsia="en-US"/>
    </w:rPr>
  </w:style>
  <w:style w:type="paragraph" w:styleId="Heading3">
    <w:name w:val="heading 3"/>
    <w:aliases w:val="h3"/>
    <w:basedOn w:val="Normal"/>
    <w:next w:val="Normal"/>
    <w:link w:val="Heading3Char"/>
    <w:uiPriority w:val="9"/>
    <w:qFormat/>
    <w:rsid w:val="00A22AAC"/>
    <w:pPr>
      <w:keepNext/>
      <w:numPr>
        <w:ilvl w:val="2"/>
        <w:numId w:val="1"/>
      </w:numPr>
      <w:spacing w:before="120" w:after="120"/>
      <w:jc w:val="both"/>
      <w:outlineLvl w:val="2"/>
    </w:pPr>
    <w:rPr>
      <w:i/>
      <w:sz w:val="22"/>
      <w:szCs w:val="26"/>
      <w:u w:val="single"/>
      <w:lang w:eastAsia="en-US"/>
    </w:rPr>
  </w:style>
  <w:style w:type="paragraph" w:styleId="Heading4">
    <w:name w:val="heading 4"/>
    <w:aliases w:val="h4,H4,l4"/>
    <w:basedOn w:val="Normal"/>
    <w:next w:val="Normal"/>
    <w:link w:val="Heading4Char"/>
    <w:uiPriority w:val="9"/>
    <w:qFormat/>
    <w:rsid w:val="00A22AAC"/>
    <w:pPr>
      <w:keepNext/>
      <w:numPr>
        <w:ilvl w:val="3"/>
        <w:numId w:val="1"/>
      </w:numPr>
      <w:spacing w:after="80"/>
      <w:jc w:val="both"/>
      <w:outlineLvl w:val="3"/>
    </w:pPr>
    <w:rPr>
      <w:i/>
      <w:sz w:val="22"/>
      <w:szCs w:val="22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qFormat/>
    <w:rsid w:val="00A22AAC"/>
    <w:pPr>
      <w:numPr>
        <w:ilvl w:val="4"/>
        <w:numId w:val="1"/>
      </w:numPr>
      <w:spacing w:before="240" w:after="60"/>
      <w:jc w:val="both"/>
      <w:outlineLvl w:val="4"/>
    </w:pPr>
    <w:rPr>
      <w:b/>
      <w:i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rsid w:val="00A22AAC"/>
    <w:rPr>
      <w:rFonts w:ascii="Times New Roman" w:eastAsia="Times New Roman" w:hAnsi="Times New Roman" w:cs="Times New Roman"/>
      <w:b/>
      <w:bCs/>
      <w:sz w:val="28"/>
      <w:szCs w:val="22"/>
      <w:lang w:eastAsia="en-US"/>
    </w:rPr>
  </w:style>
  <w:style w:type="character" w:customStyle="1" w:styleId="Heading2Char">
    <w:name w:val="Heading 2 Char"/>
    <w:aliases w:val="h2 Char"/>
    <w:basedOn w:val="DefaultParagraphFont"/>
    <w:link w:val="Heading2"/>
    <w:uiPriority w:val="9"/>
    <w:rsid w:val="00A22AAC"/>
    <w:rPr>
      <w:rFonts w:ascii="Times New Roman" w:eastAsia="Times New Roman" w:hAnsi="Times New Roman" w:cs="Times New Roman"/>
      <w:b/>
      <w:sz w:val="22"/>
      <w:szCs w:val="28"/>
      <w:lang w:eastAsia="en-US"/>
    </w:rPr>
  </w:style>
  <w:style w:type="character" w:customStyle="1" w:styleId="Heading3Char">
    <w:name w:val="Heading 3 Char"/>
    <w:aliases w:val="h3 Char"/>
    <w:basedOn w:val="DefaultParagraphFont"/>
    <w:link w:val="Heading3"/>
    <w:uiPriority w:val="9"/>
    <w:rsid w:val="00A22AAC"/>
    <w:rPr>
      <w:rFonts w:ascii="Times New Roman" w:eastAsia="Times New Roman" w:hAnsi="Times New Roman" w:cs="Times New Roman"/>
      <w:i/>
      <w:sz w:val="22"/>
      <w:szCs w:val="26"/>
      <w:u w:val="single"/>
      <w:lang w:eastAsia="en-US"/>
    </w:rPr>
  </w:style>
  <w:style w:type="character" w:customStyle="1" w:styleId="Heading4Char">
    <w:name w:val="Heading 4 Char"/>
    <w:aliases w:val="h4 Char,H4 Char,l4 Char"/>
    <w:basedOn w:val="DefaultParagraphFont"/>
    <w:link w:val="Heading4"/>
    <w:uiPriority w:val="9"/>
    <w:rsid w:val="00A22AAC"/>
    <w:rPr>
      <w:rFonts w:ascii="Times New Roman" w:eastAsia="Times New Roman" w:hAnsi="Times New Roman" w:cs="Times New Roman"/>
      <w:i/>
      <w:sz w:val="22"/>
      <w:szCs w:val="22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A22AAC"/>
    <w:rPr>
      <w:rFonts w:ascii="Times New Roman" w:eastAsia="Times New Roman" w:hAnsi="Times New Roman" w:cs="Times New Roman"/>
      <w:b/>
      <w:i/>
      <w:sz w:val="26"/>
      <w:szCs w:val="26"/>
      <w:lang w:eastAsia="en-US"/>
    </w:rPr>
  </w:style>
  <w:style w:type="character" w:styleId="Emphasis">
    <w:name w:val="Emphasis"/>
    <w:uiPriority w:val="20"/>
    <w:qFormat/>
    <w:rsid w:val="00A22AAC"/>
    <w:rPr>
      <w:i/>
      <w:iCs/>
    </w:rPr>
  </w:style>
  <w:style w:type="paragraph" w:styleId="ListParagraph">
    <w:name w:val="List Paragraph"/>
    <w:basedOn w:val="Normal"/>
    <w:qFormat/>
    <w:rsid w:val="00A22AAC"/>
    <w:pPr>
      <w:spacing w:after="120"/>
      <w:ind w:left="720"/>
      <w:contextualSpacing/>
      <w:jc w:val="both"/>
    </w:pPr>
    <w:rPr>
      <w:sz w:val="22"/>
      <w:szCs w:val="22"/>
      <w:lang w:eastAsia="en-US"/>
    </w:rPr>
  </w:style>
  <w:style w:type="character" w:customStyle="1" w:styleId="st">
    <w:name w:val="st"/>
    <w:basedOn w:val="DefaultParagraphFont"/>
    <w:rsid w:val="00A22AAC"/>
  </w:style>
  <w:style w:type="paragraph" w:styleId="Title">
    <w:name w:val="Title"/>
    <w:basedOn w:val="Normal"/>
    <w:next w:val="Normal"/>
    <w:link w:val="TitleChar"/>
    <w:uiPriority w:val="10"/>
    <w:qFormat/>
    <w:rsid w:val="008F14B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8F14BD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0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1314</Words>
  <Characters>6756</Characters>
  <Application>Microsoft Office Word</Application>
  <DocSecurity>0</DocSecurity>
  <Lines>204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7974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XSEDE Scientific Impact Metrics for the Yearly Report between May 1, 2020 to Apr 30, 2021 and the Period between Feb 1, 2021 - Apr 30, 2021</dc:title>
  <dc:subject/>
  <dc:creator>Wang, Fugang and Gregor von Laszewski</dc:creator>
  <cp:keywords/>
  <dc:description/>
  <cp:lastModifiedBy>Gregor von Laszewski</cp:lastModifiedBy>
  <cp:revision>15</cp:revision>
  <dcterms:created xsi:type="dcterms:W3CDTF">2021-05-05T08:08:00Z</dcterms:created>
  <dcterms:modified xsi:type="dcterms:W3CDTF">2021-05-05T23:38:00Z</dcterms:modified>
  <cp:category/>
</cp:coreProperties>
</file>